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2E0FCE" w14:textId="4B649E47" w:rsidR="00604561" w:rsidRPr="007C4247" w:rsidRDefault="00467320" w:rsidP="00467320">
      <w:pPr>
        <w:jc w:val="center"/>
        <w:rPr>
          <w:rFonts w:asciiTheme="majorHAnsi" w:hAnsiTheme="majorHAnsi" w:cstheme="majorHAnsi"/>
        </w:rPr>
      </w:pPr>
      <w:r w:rsidRPr="007C4247">
        <w:rPr>
          <w:rFonts w:asciiTheme="majorHAnsi" w:eastAsia="Arial" w:hAnsiTheme="majorHAnsi" w:cstheme="majorHAnsi"/>
          <w:b/>
        </w:rPr>
        <w:t xml:space="preserve">NORMA BRASILEIRA DE CONTABILIDADE, REVISÃO NBC </w:t>
      </w:r>
      <w:r w:rsidR="00B36685">
        <w:rPr>
          <w:rFonts w:asciiTheme="majorHAnsi" w:eastAsia="Arial" w:hAnsiTheme="majorHAnsi" w:cstheme="majorHAnsi"/>
          <w:b/>
        </w:rPr>
        <w:t>5</w:t>
      </w:r>
      <w:r w:rsidR="00615CC2">
        <w:rPr>
          <w:rFonts w:asciiTheme="majorHAnsi" w:eastAsia="Arial" w:hAnsiTheme="majorHAnsi" w:cstheme="majorHAnsi"/>
          <w:b/>
        </w:rPr>
        <w:t>0</w:t>
      </w:r>
      <w:r w:rsidRPr="007C4247">
        <w:rPr>
          <w:rFonts w:asciiTheme="majorHAnsi" w:eastAsia="Arial" w:hAnsiTheme="majorHAnsi" w:cstheme="majorHAnsi"/>
          <w:b/>
        </w:rPr>
        <w:t xml:space="preserve">, DE </w:t>
      </w:r>
      <w:r w:rsidR="004F35DC" w:rsidRPr="007C4247">
        <w:rPr>
          <w:rFonts w:asciiTheme="majorHAnsi" w:eastAsia="Arial" w:hAnsiTheme="majorHAnsi" w:cstheme="majorHAnsi"/>
          <w:b/>
        </w:rPr>
        <w:t>0</w:t>
      </w:r>
      <w:r w:rsidR="00AA692A">
        <w:rPr>
          <w:rFonts w:asciiTheme="majorHAnsi" w:eastAsia="Arial" w:hAnsiTheme="majorHAnsi" w:cstheme="majorHAnsi"/>
          <w:b/>
        </w:rPr>
        <w:t>9</w:t>
      </w:r>
      <w:r w:rsidR="004F35DC" w:rsidRPr="007C4247">
        <w:rPr>
          <w:rFonts w:asciiTheme="majorHAnsi" w:eastAsia="Arial" w:hAnsiTheme="majorHAnsi" w:cstheme="majorHAnsi"/>
          <w:b/>
        </w:rPr>
        <w:t xml:space="preserve"> DE OUTUBRO</w:t>
      </w:r>
      <w:r w:rsidR="008B3DEF" w:rsidRPr="007C4247">
        <w:rPr>
          <w:rFonts w:asciiTheme="majorHAnsi" w:eastAsia="Arial" w:hAnsiTheme="majorHAnsi" w:cstheme="majorHAnsi"/>
          <w:b/>
        </w:rPr>
        <w:t xml:space="preserve"> </w:t>
      </w:r>
      <w:r w:rsidRPr="007C4247">
        <w:rPr>
          <w:rFonts w:asciiTheme="majorHAnsi" w:eastAsia="Arial" w:hAnsiTheme="majorHAnsi" w:cstheme="majorHAnsi"/>
          <w:b/>
        </w:rPr>
        <w:t>DE 2026</w:t>
      </w:r>
    </w:p>
    <w:p w14:paraId="55EA1CEF" w14:textId="77777777" w:rsidR="009C5ADE" w:rsidRPr="007C4247" w:rsidRDefault="009C5ADE" w:rsidP="00A37D59">
      <w:pPr>
        <w:rPr>
          <w:rFonts w:asciiTheme="majorHAnsi" w:hAnsiTheme="majorHAnsi" w:cstheme="majorHAnsi"/>
        </w:rPr>
      </w:pPr>
    </w:p>
    <w:p w14:paraId="15D113CE" w14:textId="4A468204" w:rsidR="007F36CB" w:rsidRPr="007C4247" w:rsidRDefault="00765306" w:rsidP="00771551">
      <w:pPr>
        <w:autoSpaceDE w:val="0"/>
        <w:autoSpaceDN w:val="0"/>
        <w:adjustRightInd w:val="0"/>
        <w:spacing w:after="120" w:line="240" w:lineRule="auto"/>
        <w:ind w:left="4820"/>
        <w:jc w:val="both"/>
        <w:rPr>
          <w:rFonts w:asciiTheme="majorHAnsi" w:eastAsia="Times New Roman" w:hAnsiTheme="majorHAnsi" w:cstheme="majorHAnsi"/>
          <w:b/>
          <w:i/>
          <w:iCs/>
        </w:rPr>
      </w:pPr>
      <w:r w:rsidRPr="007C4247">
        <w:rPr>
          <w:rFonts w:asciiTheme="majorHAnsi" w:eastAsia="Times New Roman" w:hAnsiTheme="majorHAnsi" w:cstheme="majorHAnsi"/>
          <w:b/>
          <w:i/>
          <w:iCs/>
        </w:rPr>
        <w:t xml:space="preserve">Aprova a Revisão NBC </w:t>
      </w:r>
      <w:r w:rsidR="00B36685">
        <w:rPr>
          <w:rFonts w:asciiTheme="majorHAnsi" w:eastAsia="Times New Roman" w:hAnsiTheme="majorHAnsi" w:cstheme="majorHAnsi"/>
          <w:b/>
          <w:i/>
          <w:iCs/>
        </w:rPr>
        <w:t>5</w:t>
      </w:r>
      <w:r w:rsidR="00615CC2">
        <w:rPr>
          <w:rFonts w:asciiTheme="majorHAnsi" w:eastAsia="Times New Roman" w:hAnsiTheme="majorHAnsi" w:cstheme="majorHAnsi"/>
          <w:b/>
          <w:i/>
          <w:iCs/>
        </w:rPr>
        <w:t>0</w:t>
      </w:r>
      <w:r w:rsidRPr="007C4247">
        <w:rPr>
          <w:rFonts w:asciiTheme="majorHAnsi" w:eastAsia="Times New Roman" w:hAnsiTheme="majorHAnsi" w:cstheme="majorHAnsi"/>
          <w:b/>
          <w:i/>
          <w:iCs/>
        </w:rPr>
        <w:t xml:space="preserve">, que altera as </w:t>
      </w:r>
      <w:r w:rsidR="007F36CB" w:rsidRPr="007C4247">
        <w:rPr>
          <w:rFonts w:asciiTheme="majorHAnsi" w:eastAsia="Times New Roman" w:hAnsiTheme="majorHAnsi" w:cstheme="majorHAnsi"/>
          <w:b/>
          <w:i/>
          <w:iCs/>
        </w:rPr>
        <w:t>NBC TA 620 - UTILIZAÇÃO DO TRABALHO DE ESPECIALISTAS.</w:t>
      </w:r>
    </w:p>
    <w:p w14:paraId="6E0F78F5" w14:textId="51E2B0AE" w:rsidR="002B0D35" w:rsidRPr="007C4247" w:rsidRDefault="002B0D35" w:rsidP="002B0D35">
      <w:pPr>
        <w:spacing w:before="120" w:after="120" w:line="240" w:lineRule="auto"/>
        <w:ind w:left="3540"/>
        <w:jc w:val="both"/>
        <w:rPr>
          <w:rFonts w:asciiTheme="majorHAnsi" w:eastAsia="Times New Roman" w:hAnsiTheme="majorHAnsi" w:cstheme="majorHAnsi"/>
          <w:b/>
          <w:bCs/>
          <w:highlight w:val="yellow"/>
        </w:rPr>
      </w:pPr>
    </w:p>
    <w:p w14:paraId="59E1A6AF" w14:textId="710A7D16" w:rsidR="0030442F" w:rsidRPr="007C4247" w:rsidRDefault="008F6E5A" w:rsidP="002B0D35">
      <w:pPr>
        <w:spacing w:after="120" w:line="240" w:lineRule="auto"/>
        <w:ind w:firstLine="567"/>
        <w:jc w:val="both"/>
        <w:rPr>
          <w:rFonts w:asciiTheme="majorHAnsi" w:hAnsiTheme="majorHAnsi" w:cstheme="majorHAnsi"/>
        </w:rPr>
      </w:pPr>
      <w:r w:rsidRPr="007C4247">
        <w:rPr>
          <w:rFonts w:asciiTheme="majorHAnsi" w:hAnsiTheme="majorHAnsi" w:cstheme="majorHAnsi"/>
        </w:rPr>
        <w:t xml:space="preserve">O </w:t>
      </w:r>
      <w:r w:rsidRPr="007C4247">
        <w:rPr>
          <w:rFonts w:asciiTheme="majorHAnsi" w:hAnsiTheme="majorHAnsi" w:cstheme="majorHAnsi"/>
          <w:b/>
          <w:bCs/>
        </w:rPr>
        <w:t>CONSELHO FEDERAL DE CONTABILIDADE</w:t>
      </w:r>
      <w:r w:rsidRPr="007C4247">
        <w:rPr>
          <w:rFonts w:asciiTheme="majorHAnsi" w:hAnsiTheme="majorHAnsi" w:cstheme="majorHAnsi"/>
        </w:rPr>
        <w:t xml:space="preserve">, no exercício de suas atribuições legais e regimentais e com o fundamento no disposto na alínea f do art. 6º do Decreto-Lei nº 9.295, de 27 de maio de 1946, em seu artigo 76, alterado pela Lei nº 12.249, de 11 de junho de 2010, faz saber que foi aprovada em seu Plenário a Revisão NBC </w:t>
      </w:r>
      <w:r w:rsidR="004F51BE" w:rsidRPr="007C4247">
        <w:rPr>
          <w:rFonts w:asciiTheme="majorHAnsi" w:hAnsiTheme="majorHAnsi" w:cstheme="majorHAnsi"/>
        </w:rPr>
        <w:t>3</w:t>
      </w:r>
      <w:r w:rsidR="003A552D" w:rsidRPr="007C4247">
        <w:rPr>
          <w:rFonts w:asciiTheme="majorHAnsi" w:hAnsiTheme="majorHAnsi" w:cstheme="majorHAnsi"/>
        </w:rPr>
        <w:t>7</w:t>
      </w:r>
      <w:r w:rsidRPr="007C4247">
        <w:rPr>
          <w:rFonts w:asciiTheme="majorHAnsi" w:hAnsiTheme="majorHAnsi" w:cstheme="majorHAnsi"/>
        </w:rPr>
        <w:t>, que altera as seguintes Normas Brasileiras de Contabilidade (NBC):</w:t>
      </w:r>
    </w:p>
    <w:p w14:paraId="28B9D1C4" w14:textId="77777777" w:rsidR="002B0D35" w:rsidRPr="007C4247" w:rsidRDefault="002B0D35" w:rsidP="002B0D35">
      <w:pPr>
        <w:spacing w:after="0" w:line="312" w:lineRule="auto"/>
        <w:ind w:left="851" w:hanging="851"/>
        <w:jc w:val="both"/>
        <w:rPr>
          <w:rFonts w:asciiTheme="majorHAnsi" w:eastAsia="Arial" w:hAnsiTheme="majorHAnsi" w:cstheme="majorHAnsi"/>
          <w:bCs/>
          <w:highlight w:val="yellow"/>
        </w:rPr>
      </w:pPr>
    </w:p>
    <w:p w14:paraId="7B29E2E7" w14:textId="77777777" w:rsidR="005563CB" w:rsidRPr="007C4247" w:rsidRDefault="005563CB" w:rsidP="005563CB">
      <w:pPr>
        <w:rPr>
          <w:rFonts w:asciiTheme="majorHAnsi" w:hAnsiTheme="majorHAnsi" w:cstheme="majorHAnsi"/>
          <w:b/>
        </w:rPr>
      </w:pPr>
      <w:r w:rsidRPr="007C4247">
        <w:rPr>
          <w:rFonts w:asciiTheme="majorHAnsi" w:hAnsiTheme="majorHAnsi" w:cstheme="majorHAnsi"/>
          <w:b/>
        </w:rPr>
        <w:t>NBC TA 620 - UTILIZAÇÃO DO TRABALHO DE ESPECIALISTAS</w:t>
      </w:r>
    </w:p>
    <w:p w14:paraId="551BD088" w14:textId="786D92ED" w:rsidR="002B0D35" w:rsidRPr="009E4DC4" w:rsidRDefault="009E4DC4" w:rsidP="009E4DC4">
      <w:pPr>
        <w:pStyle w:val="PargrafodaLista"/>
        <w:numPr>
          <w:ilvl w:val="0"/>
          <w:numId w:val="30"/>
        </w:numPr>
        <w:spacing w:after="0" w:line="312" w:lineRule="auto"/>
        <w:jc w:val="both"/>
        <w:rPr>
          <w:rFonts w:asciiTheme="majorHAnsi" w:eastAsia="Arial" w:hAnsiTheme="majorHAnsi" w:cstheme="majorHAnsi"/>
          <w:b/>
        </w:rPr>
      </w:pPr>
      <w:r>
        <w:rPr>
          <w:rFonts w:asciiTheme="majorHAnsi" w:eastAsia="Arial" w:hAnsiTheme="majorHAnsi" w:cstheme="majorHAnsi"/>
          <w:b/>
        </w:rPr>
        <w:t xml:space="preserve"> Altera</w:t>
      </w:r>
      <w:r w:rsidR="00AE1692">
        <w:rPr>
          <w:rFonts w:asciiTheme="majorHAnsi" w:eastAsia="Arial" w:hAnsiTheme="majorHAnsi" w:cstheme="majorHAnsi"/>
          <w:b/>
        </w:rPr>
        <w:t xml:space="preserve">/inclui </w:t>
      </w:r>
      <w:r w:rsidR="00EB1D91">
        <w:rPr>
          <w:rFonts w:asciiTheme="majorHAnsi" w:eastAsia="Arial" w:hAnsiTheme="majorHAnsi" w:cstheme="majorHAnsi"/>
          <w:b/>
        </w:rPr>
        <w:t>os itens</w:t>
      </w:r>
      <w:r>
        <w:rPr>
          <w:rFonts w:asciiTheme="majorHAnsi" w:eastAsia="Arial" w:hAnsiTheme="majorHAnsi" w:cstheme="majorHAnsi"/>
          <w:b/>
        </w:rPr>
        <w:t xml:space="preserve"> 6 A, 6 B, 6 C</w:t>
      </w:r>
      <w:r w:rsidR="002A57B6">
        <w:rPr>
          <w:rFonts w:asciiTheme="majorHAnsi" w:eastAsia="Arial" w:hAnsiTheme="majorHAnsi" w:cstheme="majorHAnsi"/>
          <w:b/>
        </w:rPr>
        <w:t>, 8F</w:t>
      </w:r>
      <w:r w:rsidR="00EB1D91">
        <w:rPr>
          <w:rFonts w:asciiTheme="majorHAnsi" w:eastAsia="Arial" w:hAnsiTheme="majorHAnsi" w:cstheme="majorHAnsi"/>
          <w:b/>
        </w:rPr>
        <w:t>,9, 9</w:t>
      </w:r>
      <w:r w:rsidR="00B10313">
        <w:rPr>
          <w:rFonts w:asciiTheme="majorHAnsi" w:eastAsia="Arial" w:hAnsiTheme="majorHAnsi" w:cstheme="majorHAnsi"/>
          <w:b/>
        </w:rPr>
        <w:t>A</w:t>
      </w:r>
      <w:r w:rsidR="00EB1D91">
        <w:rPr>
          <w:rFonts w:asciiTheme="majorHAnsi" w:eastAsia="Arial" w:hAnsiTheme="majorHAnsi" w:cstheme="majorHAnsi"/>
          <w:b/>
        </w:rPr>
        <w:t xml:space="preserve">, 9B, 9C, </w:t>
      </w:r>
      <w:r w:rsidR="004834A9">
        <w:rPr>
          <w:rFonts w:asciiTheme="majorHAnsi" w:eastAsia="Arial" w:hAnsiTheme="majorHAnsi" w:cstheme="majorHAnsi"/>
          <w:b/>
        </w:rPr>
        <w:t>A11, A12, A13, A13A, A18, A19, A19B, A24, A25</w:t>
      </w:r>
      <w:r w:rsidR="00B10313">
        <w:rPr>
          <w:rFonts w:asciiTheme="majorHAnsi" w:eastAsia="Arial" w:hAnsiTheme="majorHAnsi" w:cstheme="majorHAnsi"/>
          <w:b/>
        </w:rPr>
        <w:t xml:space="preserve"> da NBC TA 620 </w:t>
      </w:r>
      <w:r w:rsidR="00B10313" w:rsidRPr="00B10313">
        <w:rPr>
          <w:rFonts w:asciiTheme="majorHAnsi" w:eastAsia="Arial" w:hAnsiTheme="majorHAnsi" w:cstheme="majorHAnsi"/>
          <w:b/>
        </w:rPr>
        <w:t>que passam a vigorar com as seguintes redações:</w:t>
      </w:r>
    </w:p>
    <w:p w14:paraId="552D3484" w14:textId="77777777" w:rsidR="00680260" w:rsidRPr="007C4247" w:rsidRDefault="00680260" w:rsidP="00680260">
      <w:pPr>
        <w:spacing w:before="169" w:line="293" w:lineRule="auto"/>
        <w:ind w:right="357"/>
        <w:rPr>
          <w:rFonts w:asciiTheme="majorHAnsi" w:hAnsiTheme="majorHAnsi" w:cstheme="majorHAnsi"/>
          <w:b/>
          <w:bCs/>
        </w:rPr>
      </w:pPr>
      <w:r w:rsidRPr="007C4247">
        <w:rPr>
          <w:rFonts w:asciiTheme="majorHAnsi" w:hAnsiTheme="majorHAnsi" w:cstheme="majorHAnsi"/>
          <w:b/>
          <w:bCs/>
        </w:rPr>
        <w:t>Definições</w:t>
      </w:r>
    </w:p>
    <w:p w14:paraId="479888B3" w14:textId="77777777" w:rsidR="00680260" w:rsidRPr="007C4247" w:rsidRDefault="00680260" w:rsidP="00680260">
      <w:pPr>
        <w:spacing w:before="169" w:line="293" w:lineRule="auto"/>
        <w:ind w:right="357"/>
        <w:rPr>
          <w:rFonts w:asciiTheme="majorHAnsi" w:hAnsiTheme="majorHAnsi" w:cstheme="majorHAnsi"/>
        </w:rPr>
      </w:pPr>
      <w:r w:rsidRPr="007C4247">
        <w:rPr>
          <w:rFonts w:asciiTheme="majorHAnsi" w:hAnsiTheme="majorHAnsi" w:cstheme="majorHAnsi"/>
        </w:rPr>
        <w:t>Definições</w:t>
      </w:r>
    </w:p>
    <w:p w14:paraId="2A105A61" w14:textId="77777777" w:rsidR="00680260" w:rsidRPr="007C4247" w:rsidRDefault="00680260" w:rsidP="00680260">
      <w:pPr>
        <w:spacing w:before="169" w:line="293" w:lineRule="auto"/>
        <w:ind w:right="357"/>
        <w:rPr>
          <w:rFonts w:asciiTheme="majorHAnsi" w:hAnsiTheme="majorHAnsi" w:cstheme="majorHAnsi"/>
        </w:rPr>
      </w:pPr>
      <w:r w:rsidRPr="007C4247">
        <w:rPr>
          <w:rFonts w:asciiTheme="majorHAnsi" w:hAnsiTheme="majorHAnsi" w:cstheme="majorHAnsi"/>
        </w:rPr>
        <w:t>6.</w:t>
      </w:r>
      <w:r w:rsidRPr="007C4247">
        <w:rPr>
          <w:rFonts w:asciiTheme="majorHAnsi" w:hAnsiTheme="majorHAnsi" w:cstheme="majorHAnsi"/>
        </w:rPr>
        <w:tab/>
        <w:t>Para fins desta Norma, os termos a seguir possuem os significados a eles atribuídos:</w:t>
      </w:r>
    </w:p>
    <w:p w14:paraId="40DB7605" w14:textId="1B695C8B" w:rsidR="00680260" w:rsidRPr="007C4247" w:rsidRDefault="00F32A5E" w:rsidP="00C36D5A">
      <w:pPr>
        <w:spacing w:before="169" w:line="293" w:lineRule="auto"/>
        <w:ind w:right="357"/>
        <w:jc w:val="both"/>
        <w:rPr>
          <w:rFonts w:asciiTheme="majorHAnsi" w:hAnsiTheme="majorHAnsi" w:cstheme="majorHAnsi"/>
        </w:rPr>
      </w:pPr>
      <w:r w:rsidRPr="005F0A07">
        <w:rPr>
          <w:rFonts w:asciiTheme="majorHAnsi" w:hAnsiTheme="majorHAnsi" w:cstheme="majorHAnsi"/>
          <w:u w:val="single"/>
        </w:rPr>
        <w:t>(a)</w:t>
      </w:r>
      <w:r w:rsidRPr="00B71697">
        <w:rPr>
          <w:rFonts w:asciiTheme="majorHAnsi" w:hAnsiTheme="majorHAnsi" w:cstheme="majorHAnsi"/>
        </w:rPr>
        <w:t xml:space="preserve"> Especialista do auditor </w:t>
      </w:r>
      <w:r w:rsidRPr="00F43A9B">
        <w:rPr>
          <w:rFonts w:asciiTheme="majorHAnsi" w:hAnsiTheme="majorHAnsi" w:cstheme="majorHAnsi"/>
          <w:strike/>
        </w:rPr>
        <w:t xml:space="preserve">é é – uma pessoa uma pessoa </w:t>
      </w:r>
      <w:r w:rsidRPr="000C2E5F">
        <w:rPr>
          <w:rFonts w:asciiTheme="majorHAnsi" w:hAnsiTheme="majorHAnsi" w:cstheme="majorHAnsi"/>
          <w:u w:val="single"/>
        </w:rPr>
        <w:t xml:space="preserve">um indivíduo </w:t>
      </w:r>
      <w:r w:rsidR="00680260" w:rsidRPr="000C2E5F">
        <w:rPr>
          <w:rFonts w:asciiTheme="majorHAnsi" w:hAnsiTheme="majorHAnsi" w:cstheme="majorHAnsi"/>
          <w:u w:val="single"/>
        </w:rPr>
        <w:t>ou</w:t>
      </w:r>
      <w:r w:rsidR="00680260" w:rsidRPr="007C4247">
        <w:rPr>
          <w:rFonts w:asciiTheme="majorHAnsi" w:hAnsiTheme="majorHAnsi" w:cstheme="majorHAnsi"/>
        </w:rPr>
        <w:t xml:space="preserve"> organização com especialização em área que não contabilidade ou auditoria, contratado pelo auditor, cujo trabalho nessa área é utilizado pelo auditor para ajudá-lo a obter evidência de auditoria suficiente e apropriada. O especialista do auditor pode ser interno (um sócio, ou equivalente no setor público quando relevante, ou uma pessoa que faz parte da equipe, incluindo equipe temporária, da firma do auditor ou de firma da rede), ou externo (ver itens A1 a A3, </w:t>
      </w:r>
      <w:r w:rsidR="00680260" w:rsidRPr="007C4247">
        <w:rPr>
          <w:rFonts w:asciiTheme="majorHAnsi" w:hAnsiTheme="majorHAnsi" w:cstheme="majorHAnsi"/>
          <w:u w:val="single"/>
        </w:rPr>
        <w:t>A11 a A13</w:t>
      </w:r>
      <w:r w:rsidR="00680260" w:rsidRPr="007C4247">
        <w:rPr>
          <w:rFonts w:asciiTheme="majorHAnsi" w:hAnsiTheme="majorHAnsi" w:cstheme="majorHAnsi"/>
        </w:rPr>
        <w:t xml:space="preserve">). </w:t>
      </w:r>
    </w:p>
    <w:p w14:paraId="78FDD813" w14:textId="79E1E434" w:rsidR="00680260" w:rsidRPr="007C4247" w:rsidRDefault="00680260" w:rsidP="00C36D5A">
      <w:pPr>
        <w:spacing w:before="169" w:line="293" w:lineRule="auto"/>
        <w:ind w:right="357"/>
        <w:jc w:val="both"/>
        <w:rPr>
          <w:rFonts w:asciiTheme="majorHAnsi" w:hAnsiTheme="majorHAnsi" w:cstheme="majorHAnsi"/>
        </w:rPr>
      </w:pPr>
      <w:r w:rsidRPr="007C4247">
        <w:rPr>
          <w:rFonts w:asciiTheme="majorHAnsi" w:hAnsiTheme="majorHAnsi" w:cstheme="majorHAnsi"/>
        </w:rPr>
        <w:t xml:space="preserve">(b) Especialização </w:t>
      </w:r>
      <w:r w:rsidR="003C3701" w:rsidRPr="007C4247">
        <w:rPr>
          <w:rFonts w:asciiTheme="majorHAnsi" w:hAnsiTheme="majorHAnsi" w:cstheme="majorHAnsi"/>
          <w:strike/>
        </w:rPr>
        <w:t>compreende</w:t>
      </w:r>
      <w:r w:rsidRPr="007C4247">
        <w:rPr>
          <w:rFonts w:asciiTheme="majorHAnsi" w:hAnsiTheme="majorHAnsi" w:cstheme="majorHAnsi"/>
        </w:rPr>
        <w:t xml:space="preserve"> - habilidades, conhecimento e experiência em área específica. </w:t>
      </w:r>
    </w:p>
    <w:p w14:paraId="4237A702" w14:textId="19117D66" w:rsidR="00680260" w:rsidRPr="007C4247" w:rsidRDefault="00680260" w:rsidP="00C36D5A">
      <w:pPr>
        <w:spacing w:before="169" w:line="293" w:lineRule="auto"/>
        <w:ind w:right="357"/>
        <w:jc w:val="both"/>
        <w:rPr>
          <w:rFonts w:asciiTheme="majorHAnsi" w:hAnsiTheme="majorHAnsi" w:cstheme="majorHAnsi"/>
        </w:rPr>
      </w:pPr>
      <w:r w:rsidRPr="007C4247">
        <w:rPr>
          <w:rFonts w:asciiTheme="majorHAnsi" w:hAnsiTheme="majorHAnsi" w:cstheme="majorHAnsi"/>
        </w:rPr>
        <w:t xml:space="preserve">(c) Especialista da administração é - uma pessoa ou organização com especialização em área que não contabilidade ou auditoria, contratado pela administração, </w:t>
      </w:r>
      <w:r w:rsidRPr="007C4247">
        <w:rPr>
          <w:rFonts w:asciiTheme="majorHAnsi" w:hAnsiTheme="majorHAnsi" w:cstheme="majorHAnsi"/>
          <w:strike/>
        </w:rPr>
        <w:t xml:space="preserve">em que o </w:t>
      </w:r>
      <w:r w:rsidR="00820F09" w:rsidRPr="007C4247">
        <w:rPr>
          <w:rFonts w:asciiTheme="majorHAnsi" w:hAnsiTheme="majorHAnsi" w:cstheme="majorHAnsi"/>
          <w:strike/>
        </w:rPr>
        <w:t xml:space="preserve">em que </w:t>
      </w:r>
      <w:r w:rsidRPr="00C36D5A">
        <w:rPr>
          <w:rFonts w:asciiTheme="majorHAnsi" w:hAnsiTheme="majorHAnsi" w:cstheme="majorHAnsi"/>
          <w:u w:val="single"/>
        </w:rPr>
        <w:t>cuj</w:t>
      </w:r>
      <w:r w:rsidRPr="00C36D5A">
        <w:rPr>
          <w:rFonts w:asciiTheme="majorHAnsi" w:hAnsiTheme="majorHAnsi" w:cstheme="majorHAnsi"/>
        </w:rPr>
        <w:t>o</w:t>
      </w:r>
      <w:r w:rsidRPr="007C4247">
        <w:rPr>
          <w:rFonts w:asciiTheme="majorHAnsi" w:hAnsiTheme="majorHAnsi" w:cstheme="majorHAnsi"/>
        </w:rPr>
        <w:t xml:space="preserve"> trabalho nessa área é usado pela entidade para ajudá-la na elaboração das demonstrações contábeis. Um exemplo bastante comum no Brasil é a utilização de atuário pela administração de uma seguradora ou de um fundo de pensão para estimar certas provisões.</w:t>
      </w:r>
    </w:p>
    <w:p w14:paraId="6C0EDF93" w14:textId="77777777" w:rsidR="00680260" w:rsidRPr="007C4247" w:rsidRDefault="00680260" w:rsidP="00680260">
      <w:pPr>
        <w:spacing w:before="169" w:line="293" w:lineRule="auto"/>
        <w:ind w:right="357"/>
        <w:rPr>
          <w:rFonts w:asciiTheme="majorHAnsi" w:hAnsiTheme="majorHAnsi" w:cstheme="majorHAnsi"/>
        </w:rPr>
      </w:pPr>
      <w:r w:rsidRPr="007C4247">
        <w:rPr>
          <w:rFonts w:asciiTheme="majorHAnsi" w:hAnsiTheme="majorHAnsi" w:cstheme="majorHAnsi"/>
        </w:rPr>
        <w:t>…</w:t>
      </w:r>
    </w:p>
    <w:p w14:paraId="11A4012B" w14:textId="77777777" w:rsidR="00680260" w:rsidRPr="007C4247" w:rsidRDefault="00680260" w:rsidP="00680260">
      <w:pPr>
        <w:spacing w:before="169" w:line="293" w:lineRule="auto"/>
        <w:ind w:right="357"/>
        <w:rPr>
          <w:rFonts w:asciiTheme="majorHAnsi" w:hAnsiTheme="majorHAnsi" w:cstheme="majorHAnsi"/>
        </w:rPr>
      </w:pPr>
    </w:p>
    <w:p w14:paraId="5BCD7E59" w14:textId="77777777" w:rsidR="00680260" w:rsidRPr="007C4247" w:rsidRDefault="00680260" w:rsidP="00680260">
      <w:pPr>
        <w:spacing w:before="169" w:line="293" w:lineRule="auto"/>
        <w:ind w:right="357"/>
        <w:rPr>
          <w:rFonts w:asciiTheme="majorHAnsi" w:hAnsiTheme="majorHAnsi" w:cstheme="majorHAnsi"/>
        </w:rPr>
      </w:pPr>
      <w:r w:rsidRPr="007C4247">
        <w:rPr>
          <w:rFonts w:asciiTheme="majorHAnsi" w:hAnsiTheme="majorHAnsi" w:cstheme="majorHAnsi"/>
        </w:rPr>
        <w:lastRenderedPageBreak/>
        <w:t>Requisitos</w:t>
      </w:r>
    </w:p>
    <w:p w14:paraId="75751138" w14:textId="77777777" w:rsidR="00680260" w:rsidRPr="007C4247" w:rsidRDefault="00680260" w:rsidP="00680260">
      <w:pPr>
        <w:spacing w:before="169" w:line="293" w:lineRule="auto"/>
        <w:ind w:right="357"/>
        <w:rPr>
          <w:rFonts w:asciiTheme="majorHAnsi" w:hAnsiTheme="majorHAnsi" w:cstheme="majorHAnsi"/>
        </w:rPr>
      </w:pPr>
      <w:r w:rsidRPr="007C4247">
        <w:rPr>
          <w:rFonts w:asciiTheme="majorHAnsi" w:hAnsiTheme="majorHAnsi" w:cstheme="majorHAnsi"/>
        </w:rPr>
        <w:t>…</w:t>
      </w:r>
    </w:p>
    <w:p w14:paraId="7087A406" w14:textId="77777777" w:rsidR="00680260" w:rsidRPr="007C4247" w:rsidRDefault="00680260" w:rsidP="00C36D5A">
      <w:pPr>
        <w:spacing w:before="169" w:line="293" w:lineRule="auto"/>
        <w:ind w:right="357"/>
        <w:jc w:val="both"/>
        <w:rPr>
          <w:rFonts w:asciiTheme="majorHAnsi" w:hAnsiTheme="majorHAnsi" w:cstheme="majorHAnsi"/>
        </w:rPr>
      </w:pPr>
      <w:r w:rsidRPr="007C4247">
        <w:rPr>
          <w:rFonts w:asciiTheme="majorHAnsi" w:hAnsiTheme="majorHAnsi" w:cstheme="majorHAnsi"/>
        </w:rPr>
        <w:t>Natureza, época e extensão dos procedimentos de auditoria</w:t>
      </w:r>
    </w:p>
    <w:p w14:paraId="1EAC6388" w14:textId="77777777" w:rsidR="00680260" w:rsidRPr="007C4247" w:rsidRDefault="00680260" w:rsidP="00C36D5A">
      <w:pPr>
        <w:spacing w:before="169" w:line="293" w:lineRule="auto"/>
        <w:ind w:right="357"/>
        <w:jc w:val="both"/>
        <w:rPr>
          <w:rFonts w:asciiTheme="majorHAnsi" w:hAnsiTheme="majorHAnsi" w:cstheme="majorHAnsi"/>
        </w:rPr>
      </w:pPr>
      <w:r w:rsidRPr="007C4247">
        <w:rPr>
          <w:rFonts w:asciiTheme="majorHAnsi" w:hAnsiTheme="majorHAnsi" w:cstheme="majorHAnsi"/>
        </w:rPr>
        <w:t>8.</w:t>
      </w:r>
      <w:r w:rsidRPr="007C4247">
        <w:rPr>
          <w:rFonts w:asciiTheme="majorHAnsi" w:hAnsiTheme="majorHAnsi" w:cstheme="majorHAnsi"/>
        </w:rPr>
        <w:tab/>
        <w:t xml:space="preserve">A natureza, </w:t>
      </w:r>
      <w:r w:rsidRPr="007C4247">
        <w:rPr>
          <w:rFonts w:asciiTheme="majorHAnsi" w:hAnsiTheme="majorHAnsi" w:cstheme="majorHAnsi"/>
          <w:u w:val="single"/>
        </w:rPr>
        <w:t>a</w:t>
      </w:r>
      <w:r w:rsidRPr="007C4247">
        <w:rPr>
          <w:rFonts w:asciiTheme="majorHAnsi" w:hAnsiTheme="majorHAnsi" w:cstheme="majorHAnsi"/>
        </w:rPr>
        <w:t xml:space="preserve"> época e </w:t>
      </w:r>
      <w:r w:rsidRPr="007C4247">
        <w:rPr>
          <w:rFonts w:asciiTheme="majorHAnsi" w:hAnsiTheme="majorHAnsi" w:cstheme="majorHAnsi"/>
          <w:u w:val="single"/>
        </w:rPr>
        <w:t xml:space="preserve">a </w:t>
      </w:r>
      <w:r w:rsidRPr="007C4247">
        <w:rPr>
          <w:rFonts w:asciiTheme="majorHAnsi" w:hAnsiTheme="majorHAnsi" w:cstheme="majorHAnsi"/>
        </w:rPr>
        <w:t xml:space="preserve">extensão dos procedimentos do auditor com relação aos requisitos dos itens 9 a 13 desta Norma podem variar dependendo das circunstâncias.  Ao determinar a natureza, </w:t>
      </w:r>
      <w:r w:rsidRPr="007C4247">
        <w:rPr>
          <w:rFonts w:asciiTheme="majorHAnsi" w:hAnsiTheme="majorHAnsi" w:cstheme="majorHAnsi"/>
          <w:u w:val="single"/>
        </w:rPr>
        <w:t>a</w:t>
      </w:r>
      <w:r w:rsidRPr="007C4247">
        <w:rPr>
          <w:rFonts w:asciiTheme="majorHAnsi" w:hAnsiTheme="majorHAnsi" w:cstheme="majorHAnsi"/>
        </w:rPr>
        <w:t xml:space="preserve"> época e </w:t>
      </w:r>
      <w:r w:rsidRPr="007C4247">
        <w:rPr>
          <w:rFonts w:asciiTheme="majorHAnsi" w:hAnsiTheme="majorHAnsi" w:cstheme="majorHAnsi"/>
          <w:u w:val="single"/>
        </w:rPr>
        <w:t>a</w:t>
      </w:r>
      <w:r w:rsidRPr="007C4247">
        <w:rPr>
          <w:rFonts w:asciiTheme="majorHAnsi" w:hAnsiTheme="majorHAnsi" w:cstheme="majorHAnsi"/>
        </w:rPr>
        <w:t xml:space="preserve"> extensão desses procedimentos, o auditor deve considerar determinados assuntos, incluindo (ver item A10):</w:t>
      </w:r>
    </w:p>
    <w:p w14:paraId="56731ADE" w14:textId="77777777" w:rsidR="00680260" w:rsidRPr="007C4247" w:rsidRDefault="00680260" w:rsidP="00C36D5A">
      <w:pPr>
        <w:spacing w:before="169" w:line="293" w:lineRule="auto"/>
        <w:ind w:right="357"/>
        <w:jc w:val="both"/>
        <w:rPr>
          <w:rFonts w:asciiTheme="majorHAnsi" w:hAnsiTheme="majorHAnsi" w:cstheme="majorHAnsi"/>
        </w:rPr>
      </w:pPr>
      <w:r w:rsidRPr="007C4247">
        <w:rPr>
          <w:rFonts w:asciiTheme="majorHAnsi" w:hAnsiTheme="majorHAnsi" w:cstheme="majorHAnsi"/>
        </w:rPr>
        <w:t>(a)</w:t>
      </w:r>
      <w:r w:rsidRPr="007C4247">
        <w:rPr>
          <w:rFonts w:asciiTheme="majorHAnsi" w:hAnsiTheme="majorHAnsi" w:cstheme="majorHAnsi"/>
        </w:rPr>
        <w:tab/>
        <w:t>a natureza do assunto a que se refere o trabalho desse especialista;</w:t>
      </w:r>
    </w:p>
    <w:p w14:paraId="18DA94E9" w14:textId="77777777" w:rsidR="00680260" w:rsidRPr="007C4247" w:rsidRDefault="00680260" w:rsidP="00C36D5A">
      <w:pPr>
        <w:spacing w:before="169" w:line="293" w:lineRule="auto"/>
        <w:ind w:right="357"/>
        <w:jc w:val="both"/>
        <w:rPr>
          <w:rFonts w:asciiTheme="majorHAnsi" w:hAnsiTheme="majorHAnsi" w:cstheme="majorHAnsi"/>
        </w:rPr>
      </w:pPr>
      <w:r w:rsidRPr="007C4247">
        <w:rPr>
          <w:rFonts w:asciiTheme="majorHAnsi" w:hAnsiTheme="majorHAnsi" w:cstheme="majorHAnsi"/>
        </w:rPr>
        <w:t>(b)</w:t>
      </w:r>
      <w:r w:rsidRPr="007C4247">
        <w:rPr>
          <w:rFonts w:asciiTheme="majorHAnsi" w:hAnsiTheme="majorHAnsi" w:cstheme="majorHAnsi"/>
        </w:rPr>
        <w:tab/>
        <w:t>os riscos de distorção relevante no assunto a que se refere o trabalho desse especialista;</w:t>
      </w:r>
    </w:p>
    <w:p w14:paraId="148F7574" w14:textId="77777777" w:rsidR="00680260" w:rsidRPr="007C4247" w:rsidRDefault="00680260" w:rsidP="00C36D5A">
      <w:pPr>
        <w:spacing w:before="169" w:line="293" w:lineRule="auto"/>
        <w:ind w:right="357"/>
        <w:jc w:val="both"/>
        <w:rPr>
          <w:rFonts w:asciiTheme="majorHAnsi" w:hAnsiTheme="majorHAnsi" w:cstheme="majorHAnsi"/>
        </w:rPr>
      </w:pPr>
      <w:r w:rsidRPr="007C4247">
        <w:rPr>
          <w:rFonts w:asciiTheme="majorHAnsi" w:hAnsiTheme="majorHAnsi" w:cstheme="majorHAnsi"/>
        </w:rPr>
        <w:t>(c)</w:t>
      </w:r>
      <w:r w:rsidRPr="007C4247">
        <w:rPr>
          <w:rFonts w:asciiTheme="majorHAnsi" w:hAnsiTheme="majorHAnsi" w:cstheme="majorHAnsi"/>
        </w:rPr>
        <w:tab/>
        <w:t>a importância do trabalho do especialista no contexto da auditoria;</w:t>
      </w:r>
    </w:p>
    <w:p w14:paraId="5E99AF91" w14:textId="77777777" w:rsidR="00680260" w:rsidRPr="007C4247" w:rsidRDefault="00680260" w:rsidP="00C36D5A">
      <w:pPr>
        <w:spacing w:before="169" w:line="293" w:lineRule="auto"/>
        <w:ind w:right="357"/>
        <w:jc w:val="both"/>
        <w:rPr>
          <w:rFonts w:asciiTheme="majorHAnsi" w:hAnsiTheme="majorHAnsi" w:cstheme="majorHAnsi"/>
        </w:rPr>
      </w:pPr>
      <w:r w:rsidRPr="007C4247">
        <w:rPr>
          <w:rFonts w:asciiTheme="majorHAnsi" w:hAnsiTheme="majorHAnsi" w:cstheme="majorHAnsi"/>
        </w:rPr>
        <w:t>(d)</w:t>
      </w:r>
      <w:r w:rsidRPr="007C4247">
        <w:rPr>
          <w:rFonts w:asciiTheme="majorHAnsi" w:hAnsiTheme="majorHAnsi" w:cstheme="majorHAnsi"/>
        </w:rPr>
        <w:tab/>
        <w:t>o conhecimento e a experiência do auditor em relação a trabalho anterior executado por esse especialista; e</w:t>
      </w:r>
    </w:p>
    <w:p w14:paraId="48F13201" w14:textId="46CD9DEE" w:rsidR="00680260" w:rsidRPr="007C4247" w:rsidRDefault="00680260" w:rsidP="00C36D5A">
      <w:pPr>
        <w:spacing w:before="169" w:line="293" w:lineRule="auto"/>
        <w:ind w:right="357"/>
        <w:jc w:val="both"/>
        <w:rPr>
          <w:rFonts w:asciiTheme="majorHAnsi" w:hAnsiTheme="majorHAnsi" w:cstheme="majorHAnsi"/>
        </w:rPr>
      </w:pPr>
      <w:r w:rsidRPr="007C4247">
        <w:rPr>
          <w:rFonts w:asciiTheme="majorHAnsi" w:hAnsiTheme="majorHAnsi" w:cstheme="majorHAnsi"/>
        </w:rPr>
        <w:t>(e)</w:t>
      </w:r>
      <w:r w:rsidRPr="007C4247">
        <w:rPr>
          <w:rFonts w:asciiTheme="majorHAnsi" w:hAnsiTheme="majorHAnsi" w:cstheme="majorHAnsi"/>
        </w:rPr>
        <w:tab/>
        <w:t xml:space="preserve">se esse especialista está sujeito </w:t>
      </w:r>
      <w:r w:rsidRPr="007C4247">
        <w:rPr>
          <w:rFonts w:asciiTheme="majorHAnsi" w:hAnsiTheme="majorHAnsi" w:cstheme="majorHAnsi"/>
          <w:strike/>
        </w:rPr>
        <w:t>às políticas e procedimentos de controle</w:t>
      </w:r>
      <w:r w:rsidR="00820F09" w:rsidRPr="007C4247">
        <w:rPr>
          <w:rFonts w:asciiTheme="majorHAnsi" w:hAnsiTheme="majorHAnsi" w:cstheme="majorHAnsi"/>
        </w:rPr>
        <w:t xml:space="preserve"> </w:t>
      </w:r>
      <w:r w:rsidRPr="007C4247">
        <w:rPr>
          <w:rFonts w:asciiTheme="majorHAnsi" w:hAnsiTheme="majorHAnsi" w:cstheme="majorHAnsi"/>
          <w:u w:val="single"/>
        </w:rPr>
        <w:t>ao sistema de gestão</w:t>
      </w:r>
      <w:r w:rsidRPr="007C4247">
        <w:rPr>
          <w:rFonts w:asciiTheme="majorHAnsi" w:hAnsiTheme="majorHAnsi" w:cstheme="majorHAnsi"/>
        </w:rPr>
        <w:t xml:space="preserve"> de qualidade da firma de auditoria (ver itens A11 a A13); e</w:t>
      </w:r>
    </w:p>
    <w:p w14:paraId="68183284" w14:textId="77777777" w:rsidR="00680260" w:rsidRPr="007C4247" w:rsidRDefault="00680260" w:rsidP="00C36D5A">
      <w:pPr>
        <w:spacing w:before="169" w:line="293" w:lineRule="auto"/>
        <w:ind w:right="357"/>
        <w:jc w:val="both"/>
        <w:rPr>
          <w:rFonts w:asciiTheme="majorHAnsi" w:hAnsiTheme="majorHAnsi" w:cstheme="majorHAnsi"/>
          <w:u w:val="single"/>
        </w:rPr>
      </w:pPr>
      <w:r w:rsidRPr="007C4247">
        <w:rPr>
          <w:rFonts w:asciiTheme="majorHAnsi" w:hAnsiTheme="majorHAnsi" w:cstheme="majorHAnsi"/>
        </w:rPr>
        <w:t>(</w:t>
      </w:r>
      <w:r w:rsidRPr="007C4247">
        <w:rPr>
          <w:rFonts w:asciiTheme="majorHAnsi" w:hAnsiTheme="majorHAnsi" w:cstheme="majorHAnsi"/>
          <w:u w:val="single"/>
        </w:rPr>
        <w:t>f)</w:t>
      </w:r>
      <w:r w:rsidRPr="007C4247">
        <w:rPr>
          <w:rFonts w:asciiTheme="majorHAnsi" w:hAnsiTheme="majorHAnsi" w:cstheme="majorHAnsi"/>
          <w:u w:val="single"/>
        </w:rPr>
        <w:tab/>
        <w:t>se os requisitos éticos relevantes incluem disposições relacionadas com a utilização do trabalho de um especialista (ver item A13A).</w:t>
      </w:r>
    </w:p>
    <w:p w14:paraId="6691751F" w14:textId="77777777" w:rsidR="00680260" w:rsidRPr="00AA692A" w:rsidRDefault="00680260" w:rsidP="00C36D5A">
      <w:pPr>
        <w:spacing w:before="169" w:line="293" w:lineRule="auto"/>
        <w:ind w:right="357"/>
        <w:jc w:val="both"/>
        <w:rPr>
          <w:rFonts w:asciiTheme="majorHAnsi" w:eastAsiaTheme="minorHAnsi" w:hAnsiTheme="majorHAnsi" w:cstheme="majorHAnsi"/>
          <w:b/>
          <w:lang w:eastAsia="en-US"/>
        </w:rPr>
      </w:pPr>
      <w:r w:rsidRPr="00AA692A">
        <w:rPr>
          <w:rFonts w:asciiTheme="majorHAnsi" w:eastAsiaTheme="minorHAnsi" w:hAnsiTheme="majorHAnsi" w:cstheme="majorHAnsi"/>
          <w:b/>
          <w:lang w:eastAsia="en-US"/>
        </w:rPr>
        <w:t>Competência, habilidade e objetividade do especialista do auditor</w:t>
      </w:r>
    </w:p>
    <w:p w14:paraId="7547111B" w14:textId="59308D99" w:rsidR="00680260" w:rsidRPr="00AA692A" w:rsidRDefault="00680260" w:rsidP="00C36D5A">
      <w:pPr>
        <w:spacing w:before="169" w:line="293" w:lineRule="auto"/>
        <w:ind w:right="357"/>
        <w:jc w:val="both"/>
        <w:rPr>
          <w:rFonts w:asciiTheme="majorHAnsi" w:eastAsiaTheme="minorHAnsi" w:hAnsiTheme="majorHAnsi" w:cstheme="majorHAnsi"/>
          <w:u w:val="single"/>
          <w:lang w:eastAsia="en-US"/>
        </w:rPr>
      </w:pPr>
      <w:r w:rsidRPr="00AA692A">
        <w:rPr>
          <w:rFonts w:asciiTheme="majorHAnsi" w:hAnsiTheme="majorHAnsi" w:cstheme="majorHAnsi"/>
        </w:rPr>
        <w:t>9.</w:t>
      </w:r>
      <w:r w:rsidRPr="00AA692A">
        <w:rPr>
          <w:rFonts w:asciiTheme="majorHAnsi" w:hAnsiTheme="majorHAnsi" w:cstheme="majorHAnsi"/>
        </w:rPr>
        <w:tab/>
      </w:r>
      <w:r w:rsidRPr="00AA692A">
        <w:rPr>
          <w:rFonts w:asciiTheme="majorHAnsi" w:eastAsiaTheme="minorHAnsi" w:hAnsiTheme="majorHAnsi" w:cstheme="majorHAnsi"/>
          <w:u w:val="single"/>
          <w:lang w:eastAsia="en-US"/>
        </w:rPr>
        <w:t>O auditor deve avaliar se o especialista por ele contratado possui competência, habilidade e objetividade necessárias para fins da auditoria.  No caso de especialista externo, a avaliação da objetividade deve incluir a indagação sobre interesses e relações que podem criar uma ameaça à objetividade desse especialista (ver itens A14 a A20).</w:t>
      </w:r>
    </w:p>
    <w:p w14:paraId="426839C3" w14:textId="77777777" w:rsidR="00680260" w:rsidRPr="007C4247" w:rsidRDefault="00680260" w:rsidP="00C36D5A">
      <w:pPr>
        <w:spacing w:before="169" w:line="293" w:lineRule="auto"/>
        <w:ind w:right="357"/>
        <w:jc w:val="both"/>
        <w:rPr>
          <w:rFonts w:asciiTheme="majorHAnsi" w:hAnsiTheme="majorHAnsi" w:cstheme="majorHAnsi"/>
          <w:u w:val="single"/>
        </w:rPr>
      </w:pPr>
      <w:r w:rsidRPr="007C4247">
        <w:rPr>
          <w:rFonts w:asciiTheme="majorHAnsi" w:hAnsiTheme="majorHAnsi" w:cstheme="majorHAnsi"/>
          <w:u w:val="single"/>
        </w:rPr>
        <w:t>9A. Se, com base na avaliação de acordo com o item 9, o auditor conclui que o especialista do auditor não tem a competência ou habilidade necessária, ou que as ameaças à objetividade do especialista não podem ser eliminadas ou reduzidas a um nível aceitável, o auditor não deve usar o trabalho desse especialista (ver itens A19A e A19B).</w:t>
      </w:r>
    </w:p>
    <w:p w14:paraId="337CB88B" w14:textId="77777777" w:rsidR="00680260" w:rsidRPr="007C4247" w:rsidRDefault="00680260" w:rsidP="00680260">
      <w:pPr>
        <w:spacing w:before="169" w:line="293" w:lineRule="auto"/>
        <w:ind w:right="357"/>
        <w:rPr>
          <w:rFonts w:asciiTheme="majorHAnsi" w:hAnsiTheme="majorHAnsi" w:cstheme="majorHAnsi"/>
        </w:rPr>
      </w:pPr>
      <w:r w:rsidRPr="007C4247">
        <w:rPr>
          <w:rFonts w:asciiTheme="majorHAnsi" w:hAnsiTheme="majorHAnsi" w:cstheme="majorHAnsi"/>
        </w:rPr>
        <w:t>……</w:t>
      </w:r>
    </w:p>
    <w:p w14:paraId="3F7B3C94" w14:textId="1778F1D3" w:rsidR="00680260" w:rsidRPr="007C4247" w:rsidRDefault="00680260" w:rsidP="00680260">
      <w:pPr>
        <w:spacing w:before="169" w:line="293" w:lineRule="auto"/>
        <w:ind w:right="357"/>
        <w:rPr>
          <w:rFonts w:asciiTheme="majorHAnsi" w:hAnsiTheme="majorHAnsi" w:cstheme="majorHAnsi"/>
          <w:b/>
          <w:bCs/>
        </w:rPr>
      </w:pPr>
      <w:r w:rsidRPr="007C4247">
        <w:rPr>
          <w:rFonts w:asciiTheme="majorHAnsi" w:hAnsiTheme="majorHAnsi" w:cstheme="majorHAnsi"/>
          <w:b/>
          <w:bCs/>
        </w:rPr>
        <w:t>Acordo com o especialista do auditor</w:t>
      </w:r>
    </w:p>
    <w:p w14:paraId="3F606537" w14:textId="77777777" w:rsidR="00680260" w:rsidRPr="00AA692A" w:rsidRDefault="00680260" w:rsidP="00C36D5A">
      <w:pPr>
        <w:spacing w:before="169" w:line="293" w:lineRule="auto"/>
        <w:ind w:right="357"/>
        <w:jc w:val="both"/>
        <w:rPr>
          <w:rFonts w:asciiTheme="majorHAnsi" w:eastAsiaTheme="minorHAnsi" w:hAnsiTheme="majorHAnsi" w:cstheme="majorHAnsi"/>
          <w:lang w:eastAsia="en-US"/>
        </w:rPr>
      </w:pPr>
      <w:r w:rsidRPr="00AA692A">
        <w:rPr>
          <w:rFonts w:asciiTheme="majorHAnsi" w:eastAsiaTheme="minorHAnsi" w:hAnsiTheme="majorHAnsi" w:cstheme="majorHAnsi"/>
          <w:lang w:eastAsia="en-US"/>
        </w:rPr>
        <w:t>11.</w:t>
      </w:r>
      <w:r w:rsidRPr="00AA692A">
        <w:rPr>
          <w:rFonts w:asciiTheme="majorHAnsi" w:eastAsiaTheme="minorHAnsi" w:hAnsiTheme="majorHAnsi" w:cstheme="majorHAnsi"/>
          <w:lang w:eastAsia="en-US"/>
        </w:rPr>
        <w:tab/>
        <w:t>O auditor deve estabelecer acordo, por escrito, com o especialista por ele contratado, quando apropriado, sobre os seguintes assuntos (ver itens A23 a A26):</w:t>
      </w:r>
    </w:p>
    <w:p w14:paraId="7017CE10" w14:textId="77777777" w:rsidR="00680260" w:rsidRPr="00AA692A" w:rsidRDefault="00680260" w:rsidP="00C36D5A">
      <w:pPr>
        <w:spacing w:before="169" w:line="293" w:lineRule="auto"/>
        <w:ind w:right="357"/>
        <w:jc w:val="both"/>
        <w:rPr>
          <w:rFonts w:asciiTheme="majorHAnsi" w:eastAsiaTheme="minorHAnsi" w:hAnsiTheme="majorHAnsi" w:cstheme="majorHAnsi"/>
          <w:lang w:eastAsia="en-US"/>
        </w:rPr>
      </w:pPr>
      <w:r w:rsidRPr="00AA692A">
        <w:rPr>
          <w:rFonts w:asciiTheme="majorHAnsi" w:eastAsiaTheme="minorHAnsi" w:hAnsiTheme="majorHAnsi" w:cstheme="majorHAnsi"/>
          <w:lang w:eastAsia="en-US"/>
        </w:rPr>
        <w:t>(a)</w:t>
      </w:r>
      <w:r w:rsidRPr="00AA692A">
        <w:rPr>
          <w:rFonts w:asciiTheme="majorHAnsi" w:eastAsiaTheme="minorHAnsi" w:hAnsiTheme="majorHAnsi" w:cstheme="majorHAnsi"/>
          <w:lang w:eastAsia="en-US"/>
        </w:rPr>
        <w:tab/>
        <w:t>a natureza, o alcance e os objetivos do trabalho desse especialista (ver item A27);</w:t>
      </w:r>
    </w:p>
    <w:p w14:paraId="5C4928E8" w14:textId="77777777" w:rsidR="00680260" w:rsidRPr="00AA692A" w:rsidRDefault="00680260" w:rsidP="00C36D5A">
      <w:pPr>
        <w:spacing w:before="169" w:line="293" w:lineRule="auto"/>
        <w:ind w:right="357"/>
        <w:jc w:val="both"/>
        <w:rPr>
          <w:rFonts w:asciiTheme="majorHAnsi" w:eastAsiaTheme="minorHAnsi" w:hAnsiTheme="majorHAnsi" w:cstheme="majorHAnsi"/>
          <w:lang w:eastAsia="en-US"/>
        </w:rPr>
      </w:pPr>
      <w:r w:rsidRPr="00AA692A">
        <w:rPr>
          <w:rFonts w:asciiTheme="majorHAnsi" w:eastAsiaTheme="minorHAnsi" w:hAnsiTheme="majorHAnsi" w:cstheme="majorHAnsi"/>
          <w:lang w:eastAsia="en-US"/>
        </w:rPr>
        <w:lastRenderedPageBreak/>
        <w:t>(b)</w:t>
      </w:r>
      <w:r w:rsidRPr="00AA692A">
        <w:rPr>
          <w:rFonts w:asciiTheme="majorHAnsi" w:eastAsiaTheme="minorHAnsi" w:hAnsiTheme="majorHAnsi" w:cstheme="majorHAnsi"/>
          <w:lang w:eastAsia="en-US"/>
        </w:rPr>
        <w:tab/>
        <w:t>as respectivas atribuições e responsabilidades do auditor e desse especialista (ver itens A28 e A29);</w:t>
      </w:r>
    </w:p>
    <w:p w14:paraId="7DB3381A" w14:textId="77777777" w:rsidR="00680260" w:rsidRPr="00AA692A" w:rsidRDefault="00680260" w:rsidP="00C36D5A">
      <w:pPr>
        <w:spacing w:before="169" w:line="293" w:lineRule="auto"/>
        <w:ind w:right="357"/>
        <w:jc w:val="both"/>
        <w:rPr>
          <w:rFonts w:asciiTheme="majorHAnsi" w:eastAsiaTheme="minorHAnsi" w:hAnsiTheme="majorHAnsi" w:cstheme="majorHAnsi"/>
          <w:lang w:eastAsia="en-US"/>
        </w:rPr>
      </w:pPr>
      <w:r w:rsidRPr="00AA692A">
        <w:rPr>
          <w:rFonts w:asciiTheme="majorHAnsi" w:eastAsiaTheme="minorHAnsi" w:hAnsiTheme="majorHAnsi" w:cstheme="majorHAnsi"/>
          <w:lang w:eastAsia="en-US"/>
        </w:rPr>
        <w:t>(c)</w:t>
      </w:r>
      <w:r w:rsidRPr="00AA692A">
        <w:rPr>
          <w:rFonts w:asciiTheme="majorHAnsi" w:eastAsiaTheme="minorHAnsi" w:hAnsiTheme="majorHAnsi" w:cstheme="majorHAnsi"/>
          <w:lang w:eastAsia="en-US"/>
        </w:rPr>
        <w:tab/>
        <w:t>a natureza, a época e a extensão da comunicação entre o auditor e esse especialista, incluindo o formato de qualquer relatório a ser fornecido por esse especialista (ver item A30); e</w:t>
      </w:r>
    </w:p>
    <w:p w14:paraId="38C6A420" w14:textId="77777777" w:rsidR="00680260" w:rsidRPr="00AA692A" w:rsidRDefault="00680260" w:rsidP="00C36D5A">
      <w:pPr>
        <w:spacing w:before="169" w:line="293" w:lineRule="auto"/>
        <w:ind w:right="357"/>
        <w:jc w:val="both"/>
        <w:rPr>
          <w:rFonts w:asciiTheme="majorHAnsi" w:eastAsiaTheme="minorHAnsi" w:hAnsiTheme="majorHAnsi" w:cstheme="majorHAnsi"/>
          <w:lang w:eastAsia="en-US"/>
        </w:rPr>
      </w:pPr>
      <w:r w:rsidRPr="00AA692A">
        <w:rPr>
          <w:rFonts w:asciiTheme="majorHAnsi" w:eastAsiaTheme="minorHAnsi" w:hAnsiTheme="majorHAnsi" w:cstheme="majorHAnsi"/>
          <w:lang w:eastAsia="en-US"/>
        </w:rPr>
        <w:t>(d)</w:t>
      </w:r>
      <w:r w:rsidRPr="00AA692A">
        <w:rPr>
          <w:rFonts w:asciiTheme="majorHAnsi" w:eastAsiaTheme="minorHAnsi" w:hAnsiTheme="majorHAnsi" w:cstheme="majorHAnsi"/>
          <w:lang w:eastAsia="en-US"/>
        </w:rPr>
        <w:tab/>
        <w:t>a necessidade de o especialista observar requisitos de confidencialidade (ver item A31).</w:t>
      </w:r>
    </w:p>
    <w:p w14:paraId="7ABE5DA7" w14:textId="77777777" w:rsidR="00680260" w:rsidRPr="007C4247" w:rsidRDefault="00680260" w:rsidP="00C36D5A">
      <w:pPr>
        <w:spacing w:before="169" w:line="293" w:lineRule="auto"/>
        <w:ind w:right="357"/>
        <w:jc w:val="both"/>
        <w:rPr>
          <w:rFonts w:asciiTheme="majorHAnsi" w:hAnsiTheme="majorHAnsi" w:cstheme="majorHAnsi"/>
          <w:b/>
          <w:bCs/>
        </w:rPr>
      </w:pPr>
      <w:r w:rsidRPr="007C4247">
        <w:rPr>
          <w:rFonts w:asciiTheme="majorHAnsi" w:hAnsiTheme="majorHAnsi" w:cstheme="majorHAnsi"/>
          <w:b/>
          <w:bCs/>
        </w:rPr>
        <w:t>Avaliação da adequação do trabalho do especialista do auditor</w:t>
      </w:r>
    </w:p>
    <w:p w14:paraId="71913331" w14:textId="77777777" w:rsidR="00680260" w:rsidRPr="00AA692A" w:rsidRDefault="00680260" w:rsidP="00C36D5A">
      <w:pPr>
        <w:spacing w:before="169" w:line="293" w:lineRule="auto"/>
        <w:ind w:right="357"/>
        <w:jc w:val="both"/>
        <w:rPr>
          <w:rFonts w:asciiTheme="majorHAnsi" w:eastAsiaTheme="minorHAnsi" w:hAnsiTheme="majorHAnsi" w:cstheme="majorHAnsi"/>
          <w:lang w:eastAsia="en-US"/>
        </w:rPr>
      </w:pPr>
      <w:r w:rsidRPr="00AA692A">
        <w:rPr>
          <w:rFonts w:asciiTheme="majorHAnsi" w:hAnsiTheme="majorHAnsi" w:cstheme="majorHAnsi"/>
        </w:rPr>
        <w:t>12.</w:t>
      </w:r>
      <w:r w:rsidRPr="00AA692A">
        <w:rPr>
          <w:rFonts w:asciiTheme="majorHAnsi" w:hAnsiTheme="majorHAnsi" w:cstheme="majorHAnsi"/>
        </w:rPr>
        <w:tab/>
      </w:r>
      <w:r w:rsidRPr="00AA692A">
        <w:rPr>
          <w:rFonts w:asciiTheme="majorHAnsi" w:hAnsiTheme="majorHAnsi" w:cstheme="majorHAnsi"/>
        </w:rPr>
        <w:tab/>
      </w:r>
      <w:r w:rsidRPr="00AA692A">
        <w:rPr>
          <w:rFonts w:asciiTheme="majorHAnsi" w:eastAsiaTheme="minorHAnsi" w:hAnsiTheme="majorHAnsi" w:cstheme="majorHAnsi"/>
          <w:lang w:eastAsia="en-US"/>
        </w:rPr>
        <w:t>O auditor deve avaliar a adequação do trabalho do especialista do auditor para fins da auditoria, incluindo (ver item A32):</w:t>
      </w:r>
    </w:p>
    <w:p w14:paraId="6A65E525" w14:textId="77777777" w:rsidR="00680260" w:rsidRPr="00AA692A" w:rsidRDefault="00680260" w:rsidP="00C36D5A">
      <w:pPr>
        <w:spacing w:before="169" w:line="293" w:lineRule="auto"/>
        <w:ind w:right="357"/>
        <w:jc w:val="both"/>
        <w:rPr>
          <w:rFonts w:asciiTheme="majorHAnsi" w:eastAsiaTheme="minorHAnsi" w:hAnsiTheme="majorHAnsi" w:cstheme="majorHAnsi"/>
          <w:lang w:eastAsia="en-US"/>
        </w:rPr>
      </w:pPr>
      <w:r w:rsidRPr="00AA692A">
        <w:rPr>
          <w:rFonts w:asciiTheme="majorHAnsi" w:eastAsiaTheme="minorHAnsi" w:hAnsiTheme="majorHAnsi" w:cstheme="majorHAnsi"/>
          <w:lang w:eastAsia="en-US"/>
        </w:rPr>
        <w:t>(a)</w:t>
      </w:r>
      <w:r w:rsidRPr="00AA692A">
        <w:rPr>
          <w:rFonts w:asciiTheme="majorHAnsi" w:eastAsiaTheme="minorHAnsi" w:hAnsiTheme="majorHAnsi" w:cstheme="majorHAnsi"/>
          <w:lang w:eastAsia="en-US"/>
        </w:rPr>
        <w:tab/>
        <w:t xml:space="preserve">a relevância e razoabilidade das constatações ou conclusões desse especialista, e sua coerência com outra evidência de auditoria (itens A33 e A34); </w:t>
      </w:r>
    </w:p>
    <w:p w14:paraId="6214B081" w14:textId="77777777" w:rsidR="00680260" w:rsidRPr="00AA692A" w:rsidRDefault="00680260" w:rsidP="00C36D5A">
      <w:pPr>
        <w:spacing w:before="169" w:line="293" w:lineRule="auto"/>
        <w:ind w:right="357"/>
        <w:jc w:val="both"/>
        <w:rPr>
          <w:rFonts w:asciiTheme="majorHAnsi" w:eastAsiaTheme="minorHAnsi" w:hAnsiTheme="majorHAnsi" w:cstheme="majorHAnsi"/>
          <w:lang w:eastAsia="en-US"/>
        </w:rPr>
      </w:pPr>
      <w:r w:rsidRPr="00AA692A">
        <w:rPr>
          <w:rFonts w:asciiTheme="majorHAnsi" w:eastAsiaTheme="minorHAnsi" w:hAnsiTheme="majorHAnsi" w:cstheme="majorHAnsi"/>
          <w:lang w:eastAsia="en-US"/>
        </w:rPr>
        <w:t>(b)</w:t>
      </w:r>
      <w:r w:rsidRPr="00AA692A">
        <w:rPr>
          <w:rFonts w:asciiTheme="majorHAnsi" w:eastAsiaTheme="minorHAnsi" w:hAnsiTheme="majorHAnsi" w:cstheme="majorHAnsi"/>
          <w:lang w:eastAsia="en-US"/>
        </w:rPr>
        <w:tab/>
        <w:t>se o trabalho do especialista envolve o uso de premissas e métodos significativos, a relevância e a razoabilidade dessas premissas e desses métodos nas circunstâncias (ver itens A35 a A37); e</w:t>
      </w:r>
    </w:p>
    <w:p w14:paraId="4EC42C90" w14:textId="77777777" w:rsidR="00680260" w:rsidRPr="00AA692A" w:rsidRDefault="00680260" w:rsidP="00C36D5A">
      <w:pPr>
        <w:spacing w:before="169" w:line="293" w:lineRule="auto"/>
        <w:ind w:right="357"/>
        <w:jc w:val="both"/>
        <w:rPr>
          <w:rFonts w:asciiTheme="majorHAnsi" w:eastAsiaTheme="minorHAnsi" w:hAnsiTheme="majorHAnsi" w:cstheme="majorHAnsi"/>
          <w:lang w:eastAsia="en-US"/>
        </w:rPr>
      </w:pPr>
      <w:r w:rsidRPr="00AA692A">
        <w:rPr>
          <w:rFonts w:asciiTheme="majorHAnsi" w:eastAsiaTheme="minorHAnsi" w:hAnsiTheme="majorHAnsi" w:cstheme="majorHAnsi"/>
          <w:lang w:eastAsia="en-US"/>
        </w:rPr>
        <w:t>(c)</w:t>
      </w:r>
      <w:r w:rsidRPr="00AA692A">
        <w:rPr>
          <w:rFonts w:asciiTheme="majorHAnsi" w:eastAsiaTheme="minorHAnsi" w:hAnsiTheme="majorHAnsi" w:cstheme="majorHAnsi"/>
          <w:lang w:eastAsia="en-US"/>
        </w:rPr>
        <w:tab/>
        <w:t>se o trabalho do especialista envolve o uso de dados-fonte significativos para o seu trabalho, a relevância, integridade e precisão desses dados-fonte (ver itens A38 a e A39).</w:t>
      </w:r>
    </w:p>
    <w:p w14:paraId="56EE7923" w14:textId="77777777" w:rsidR="00680260" w:rsidRPr="007C4247" w:rsidRDefault="00680260" w:rsidP="00680260">
      <w:pPr>
        <w:spacing w:before="169" w:line="293" w:lineRule="auto"/>
        <w:ind w:right="357"/>
        <w:rPr>
          <w:rFonts w:asciiTheme="majorHAnsi" w:hAnsiTheme="majorHAnsi" w:cstheme="majorHAnsi"/>
        </w:rPr>
      </w:pPr>
      <w:r w:rsidRPr="007C4247">
        <w:rPr>
          <w:rFonts w:asciiTheme="majorHAnsi" w:hAnsiTheme="majorHAnsi" w:cstheme="majorHAnsi"/>
        </w:rPr>
        <w:t>…</w:t>
      </w:r>
    </w:p>
    <w:p w14:paraId="38806AA1" w14:textId="77777777" w:rsidR="00680260" w:rsidRPr="007C4247" w:rsidRDefault="00680260" w:rsidP="00680260">
      <w:pPr>
        <w:spacing w:before="169" w:line="293" w:lineRule="auto"/>
        <w:ind w:right="357"/>
        <w:rPr>
          <w:rFonts w:asciiTheme="majorHAnsi" w:hAnsiTheme="majorHAnsi" w:cstheme="majorHAnsi"/>
          <w:b/>
          <w:bCs/>
        </w:rPr>
      </w:pPr>
      <w:r w:rsidRPr="007C4247">
        <w:rPr>
          <w:rFonts w:asciiTheme="majorHAnsi" w:hAnsiTheme="majorHAnsi" w:cstheme="majorHAnsi"/>
          <w:b/>
          <w:bCs/>
        </w:rPr>
        <w:t>Aplicação e outros materiais explicativos</w:t>
      </w:r>
    </w:p>
    <w:p w14:paraId="31876EEB" w14:textId="77777777" w:rsidR="00680260" w:rsidRPr="007C4247" w:rsidRDefault="00680260" w:rsidP="00680260">
      <w:pPr>
        <w:spacing w:before="169" w:line="293" w:lineRule="auto"/>
        <w:ind w:right="357"/>
        <w:rPr>
          <w:rFonts w:asciiTheme="majorHAnsi" w:hAnsiTheme="majorHAnsi" w:cstheme="majorHAnsi"/>
        </w:rPr>
      </w:pPr>
      <w:r w:rsidRPr="007C4247">
        <w:rPr>
          <w:rFonts w:asciiTheme="majorHAnsi" w:hAnsiTheme="majorHAnsi" w:cstheme="majorHAnsi"/>
        </w:rPr>
        <w:t>…</w:t>
      </w:r>
    </w:p>
    <w:p w14:paraId="0B6F2467" w14:textId="77777777" w:rsidR="00680260" w:rsidRPr="007C4247" w:rsidRDefault="00680260" w:rsidP="00680260">
      <w:pPr>
        <w:spacing w:before="169" w:line="293" w:lineRule="auto"/>
        <w:ind w:right="357"/>
        <w:rPr>
          <w:rFonts w:asciiTheme="majorHAnsi" w:hAnsiTheme="majorHAnsi" w:cstheme="majorHAnsi"/>
          <w:b/>
          <w:bCs/>
        </w:rPr>
      </w:pPr>
      <w:r w:rsidRPr="007C4247">
        <w:rPr>
          <w:rFonts w:asciiTheme="majorHAnsi" w:hAnsiTheme="majorHAnsi" w:cstheme="majorHAnsi"/>
          <w:b/>
          <w:bCs/>
        </w:rPr>
        <w:t>Natureza, época e extensão dos procedimentos de auditoria (ver item 8)</w:t>
      </w:r>
    </w:p>
    <w:p w14:paraId="41D434F2" w14:textId="77777777" w:rsidR="00680260" w:rsidRPr="007C4247" w:rsidRDefault="00680260" w:rsidP="00680260">
      <w:pPr>
        <w:spacing w:before="169" w:line="293" w:lineRule="auto"/>
        <w:ind w:right="357"/>
        <w:rPr>
          <w:rFonts w:asciiTheme="majorHAnsi" w:hAnsiTheme="majorHAnsi" w:cstheme="majorHAnsi"/>
        </w:rPr>
      </w:pPr>
      <w:r w:rsidRPr="007C4247">
        <w:rPr>
          <w:rFonts w:asciiTheme="majorHAnsi" w:hAnsiTheme="majorHAnsi" w:cstheme="majorHAnsi"/>
        </w:rPr>
        <w:t>…</w:t>
      </w:r>
    </w:p>
    <w:p w14:paraId="42449D05" w14:textId="0500043B" w:rsidR="00680260" w:rsidRPr="00AA692A" w:rsidRDefault="00680260" w:rsidP="00C36D5A">
      <w:pPr>
        <w:spacing w:before="169" w:line="293" w:lineRule="auto"/>
        <w:ind w:right="357"/>
        <w:jc w:val="both"/>
        <w:rPr>
          <w:rFonts w:asciiTheme="majorHAnsi" w:hAnsiTheme="majorHAnsi" w:cstheme="majorHAnsi"/>
        </w:rPr>
      </w:pPr>
      <w:r w:rsidRPr="007C4247">
        <w:rPr>
          <w:rFonts w:asciiTheme="majorHAnsi" w:hAnsiTheme="majorHAnsi" w:cstheme="majorHAnsi"/>
          <w:strike/>
        </w:rPr>
        <w:t>Políticas e procedimentos de controle de qualidade da firma de auditoria</w:t>
      </w:r>
      <w:r w:rsidRPr="007C4247">
        <w:rPr>
          <w:rFonts w:asciiTheme="majorHAnsi" w:hAnsiTheme="majorHAnsi" w:cstheme="majorHAnsi"/>
        </w:rPr>
        <w:t xml:space="preserve"> </w:t>
      </w:r>
      <w:r w:rsidRPr="007C4247">
        <w:rPr>
          <w:rFonts w:asciiTheme="majorHAnsi" w:hAnsiTheme="majorHAnsi" w:cstheme="majorHAnsi"/>
          <w:u w:val="single"/>
        </w:rPr>
        <w:t xml:space="preserve">Sistema de gestão de qualidade da </w:t>
      </w:r>
      <w:r w:rsidRPr="00AA692A">
        <w:rPr>
          <w:rFonts w:asciiTheme="majorHAnsi" w:hAnsiTheme="majorHAnsi" w:cstheme="majorHAnsi"/>
          <w:u w:val="single"/>
        </w:rPr>
        <w:t>firma de auditoria</w:t>
      </w:r>
      <w:r w:rsidRPr="00AA692A">
        <w:rPr>
          <w:rFonts w:asciiTheme="majorHAnsi" w:hAnsiTheme="majorHAnsi" w:cstheme="majorHAnsi"/>
        </w:rPr>
        <w:t xml:space="preserve"> (ver item 8(e))</w:t>
      </w:r>
    </w:p>
    <w:p w14:paraId="33DB2100" w14:textId="77777777" w:rsidR="00680260" w:rsidRPr="00AA692A" w:rsidRDefault="00680260" w:rsidP="00C36D5A">
      <w:pPr>
        <w:spacing w:before="169" w:line="293" w:lineRule="auto"/>
        <w:ind w:right="357"/>
        <w:jc w:val="both"/>
        <w:rPr>
          <w:rFonts w:asciiTheme="majorHAnsi" w:eastAsiaTheme="minorHAnsi" w:hAnsiTheme="majorHAnsi" w:cstheme="majorHAnsi"/>
          <w:lang w:eastAsia="en-US"/>
        </w:rPr>
      </w:pPr>
      <w:r w:rsidRPr="00AA692A">
        <w:rPr>
          <w:rFonts w:asciiTheme="majorHAnsi" w:eastAsiaTheme="minorHAnsi" w:hAnsiTheme="majorHAnsi" w:cstheme="majorHAnsi"/>
          <w:lang w:eastAsia="en-US"/>
        </w:rPr>
        <w:t xml:space="preserve">A11. Quando o especialista do auditor for interno, pode ser um sócio ou um membro da equipe, incluindo equipe temporária, da firma do auditor, estando, portanto, sujeito </w:t>
      </w:r>
      <w:r w:rsidRPr="00AA692A">
        <w:rPr>
          <w:rFonts w:asciiTheme="majorHAnsi" w:eastAsiaTheme="minorHAnsi" w:hAnsiTheme="majorHAnsi" w:cstheme="majorHAnsi"/>
          <w:strike/>
          <w:lang w:eastAsia="en-US"/>
        </w:rPr>
        <w:t>às políticas e aos procedimentos de controle ao sistema de gestão</w:t>
      </w:r>
      <w:r w:rsidRPr="00AA692A">
        <w:rPr>
          <w:rFonts w:asciiTheme="majorHAnsi" w:eastAsiaTheme="minorHAnsi" w:hAnsiTheme="majorHAnsi" w:cstheme="majorHAnsi"/>
          <w:lang w:eastAsia="en-US"/>
        </w:rPr>
        <w:t xml:space="preserve"> de qualidade dessa firma de acordo com a NBC PA 01 (ver NBC TA 220, item 2). Alternativamente, o especialista interno pode ser um sócio ou um membro da equipe, incluindo equipe temporária, de firma-membro, que compartilha políticas e procedimentos de controle de qualidade com a firma do auditor.</w:t>
      </w:r>
    </w:p>
    <w:p w14:paraId="61540902" w14:textId="77777777" w:rsidR="00680260" w:rsidRPr="00AA692A" w:rsidRDefault="00680260" w:rsidP="00C36D5A">
      <w:pPr>
        <w:spacing w:before="169" w:line="293" w:lineRule="auto"/>
        <w:ind w:right="357"/>
        <w:jc w:val="both"/>
        <w:rPr>
          <w:rFonts w:asciiTheme="majorHAnsi" w:eastAsiaTheme="minorHAnsi" w:hAnsiTheme="majorHAnsi" w:cstheme="majorHAnsi"/>
          <w:strike/>
          <w:lang w:eastAsia="en-US"/>
        </w:rPr>
      </w:pPr>
      <w:r w:rsidRPr="00AA692A">
        <w:rPr>
          <w:rFonts w:asciiTheme="majorHAnsi" w:eastAsiaTheme="minorHAnsi" w:hAnsiTheme="majorHAnsi" w:cstheme="majorHAnsi"/>
          <w:strike/>
          <w:lang w:eastAsia="en-US"/>
        </w:rPr>
        <w:t xml:space="preserve">A12. </w:t>
      </w:r>
      <w:r w:rsidRPr="00AA692A">
        <w:rPr>
          <w:rFonts w:asciiTheme="majorHAnsi" w:eastAsiaTheme="minorHAnsi" w:hAnsiTheme="majorHAnsi" w:cstheme="majorHAnsi"/>
          <w:strike/>
          <w:lang w:eastAsia="en-US"/>
        </w:rPr>
        <w:tab/>
        <w:t xml:space="preserve">Quando um especialista do auditor for externo, ele não é um membro da equipe de trabalho e não estará sujeito às políticas e procedimentos de controle de qualidade de acordo com a NBC PA 01 (ver NBC TA 220, item 2). Contudo, em algumas circunstâncias, legislação ou regulamentação específica emitida por órgãos </w:t>
      </w:r>
      <w:r w:rsidRPr="00AA692A">
        <w:rPr>
          <w:rFonts w:asciiTheme="majorHAnsi" w:eastAsiaTheme="minorHAnsi" w:hAnsiTheme="majorHAnsi" w:cstheme="majorHAnsi"/>
          <w:strike/>
          <w:lang w:eastAsia="en-US"/>
        </w:rPr>
        <w:lastRenderedPageBreak/>
        <w:t xml:space="preserve">reguladores, pode requerer que especialista externo seja tratado como membro da equipe de trabalho podendo, portanto, estar sujeito a exigências éticas pertinentes, incluindo aquelas relativas à independência, e outros requisitos profissionais, conforme determinado pela referida lei ou regulamento (ver NBC PA 01, item 12(f)). </w:t>
      </w:r>
    </w:p>
    <w:p w14:paraId="6FEA6B0A" w14:textId="0F37289A" w:rsidR="00680260" w:rsidRPr="007C4247" w:rsidRDefault="00680260" w:rsidP="00C36D5A">
      <w:pPr>
        <w:spacing w:before="169" w:line="293" w:lineRule="auto"/>
        <w:ind w:right="357"/>
        <w:jc w:val="both"/>
        <w:rPr>
          <w:rFonts w:asciiTheme="majorHAnsi" w:hAnsiTheme="majorHAnsi" w:cstheme="majorHAnsi"/>
          <w:u w:val="single"/>
        </w:rPr>
      </w:pPr>
      <w:r w:rsidRPr="007C4247">
        <w:rPr>
          <w:rFonts w:asciiTheme="majorHAnsi" w:hAnsiTheme="majorHAnsi" w:cstheme="majorHAnsi"/>
          <w:u w:val="single"/>
        </w:rPr>
        <w:t xml:space="preserve">A12. </w:t>
      </w:r>
      <w:r w:rsidR="004C6CC8" w:rsidRPr="007C4247">
        <w:rPr>
          <w:rFonts w:asciiTheme="majorHAnsi" w:hAnsiTheme="majorHAnsi" w:cstheme="majorHAnsi"/>
          <w:u w:val="single"/>
        </w:rPr>
        <w:t>A</w:t>
      </w:r>
      <w:r w:rsidRPr="007C4247">
        <w:rPr>
          <w:rFonts w:asciiTheme="majorHAnsi" w:hAnsiTheme="majorHAnsi" w:cstheme="majorHAnsi"/>
          <w:u w:val="single"/>
        </w:rPr>
        <w:t xml:space="preserve">O item 32 da </w:t>
      </w:r>
      <w:r w:rsidRPr="007C4247">
        <w:rPr>
          <w:rFonts w:asciiTheme="majorHAnsi" w:eastAsiaTheme="minorHAnsi" w:hAnsiTheme="majorHAnsi" w:cstheme="majorHAnsi"/>
          <w:u w:val="single"/>
          <w:lang w:eastAsia="en-US"/>
        </w:rPr>
        <w:t>NBC PA 01 requer que a firma trate da utilização de recursos de um prestador de serviço, que incluem o uso de um especialista externo. Quando um especialista do auditor for externo, ele não é um membro da equipe de trabalho e pode não estar sujeito às políticas e aos procedimentos da firma de acordo com o seu sistema de gestão de qualidade</w:t>
      </w:r>
      <w:r w:rsidRPr="007C4247">
        <w:rPr>
          <w:rFonts w:asciiTheme="majorHAnsi" w:hAnsiTheme="majorHAnsi" w:cstheme="majorHAnsi"/>
          <w:u w:val="single"/>
        </w:rPr>
        <w:t xml:space="preserve"> (ver item 16(f) da NBC PA 01). Além disso, as políticas ou os procedimentos da firma para requisitos éticos relevantes podem incluir políticas ou procedimentos que se aplicam ao especialista externo do auditor (ver item 29(b) da NBC PA 01). Em alguns casos, os requisitos éticos relevantes ou lei ou regulamento podem requer que o especialista externo do auditor seja:</w:t>
      </w:r>
    </w:p>
    <w:p w14:paraId="0F194C42" w14:textId="77777777" w:rsidR="00680260" w:rsidRPr="007C4247" w:rsidRDefault="00680260" w:rsidP="00C36D5A">
      <w:pPr>
        <w:spacing w:before="169" w:line="293" w:lineRule="auto"/>
        <w:ind w:right="357"/>
        <w:jc w:val="both"/>
        <w:rPr>
          <w:rFonts w:asciiTheme="majorHAnsi" w:hAnsiTheme="majorHAnsi" w:cstheme="majorHAnsi"/>
          <w:u w:val="single"/>
        </w:rPr>
      </w:pPr>
      <w:r w:rsidRPr="007C4247">
        <w:rPr>
          <w:rFonts w:asciiTheme="majorHAnsi" w:hAnsiTheme="majorHAnsi" w:cstheme="majorHAnsi"/>
          <w:u w:val="single"/>
        </w:rPr>
        <w:t>•</w:t>
      </w:r>
      <w:r w:rsidRPr="007C4247">
        <w:rPr>
          <w:rFonts w:asciiTheme="majorHAnsi" w:hAnsiTheme="majorHAnsi" w:cstheme="majorHAnsi"/>
          <w:u w:val="single"/>
        </w:rPr>
        <w:tab/>
        <w:t>tratado como membro da equipe de trabalho (ou seja, o especialista externo pode estar sujeito a requisitos éticos relevantes, incluindo aqueles relacionados com independência); ou</w:t>
      </w:r>
    </w:p>
    <w:p w14:paraId="588F2990" w14:textId="77777777" w:rsidR="00680260" w:rsidRPr="007C4247" w:rsidRDefault="00680260" w:rsidP="00C36D5A">
      <w:pPr>
        <w:spacing w:before="169" w:line="293" w:lineRule="auto"/>
        <w:ind w:right="357"/>
        <w:jc w:val="both"/>
        <w:rPr>
          <w:rFonts w:asciiTheme="majorHAnsi" w:hAnsiTheme="majorHAnsi" w:cstheme="majorHAnsi"/>
          <w:u w:val="single"/>
        </w:rPr>
      </w:pPr>
      <w:r w:rsidRPr="007C4247">
        <w:rPr>
          <w:rFonts w:asciiTheme="majorHAnsi" w:hAnsiTheme="majorHAnsi" w:cstheme="majorHAnsi"/>
          <w:u w:val="single"/>
        </w:rPr>
        <w:t>•</w:t>
      </w:r>
      <w:r w:rsidRPr="007C4247">
        <w:rPr>
          <w:rFonts w:asciiTheme="majorHAnsi" w:hAnsiTheme="majorHAnsi" w:cstheme="majorHAnsi"/>
          <w:u w:val="single"/>
        </w:rPr>
        <w:tab/>
        <w:t>sujeito a outros requisitos profissionais.</w:t>
      </w:r>
    </w:p>
    <w:p w14:paraId="627DFD62" w14:textId="77777777" w:rsidR="00680260" w:rsidRPr="00AA692A" w:rsidRDefault="00680260" w:rsidP="00C36D5A">
      <w:pPr>
        <w:spacing w:before="169" w:line="293" w:lineRule="auto"/>
        <w:ind w:right="357"/>
        <w:jc w:val="both"/>
        <w:rPr>
          <w:rFonts w:asciiTheme="majorHAnsi" w:eastAsiaTheme="minorHAnsi" w:hAnsiTheme="majorHAnsi" w:cstheme="majorHAnsi"/>
          <w:strike/>
          <w:lang w:eastAsia="en-US"/>
        </w:rPr>
      </w:pPr>
      <w:r w:rsidRPr="00AA692A">
        <w:rPr>
          <w:rFonts w:asciiTheme="majorHAnsi" w:eastAsiaTheme="minorHAnsi" w:hAnsiTheme="majorHAnsi" w:cstheme="majorHAnsi"/>
          <w:strike/>
          <w:lang w:eastAsia="en-US"/>
        </w:rPr>
        <w:t xml:space="preserve">A13. </w:t>
      </w:r>
      <w:r w:rsidRPr="00AA692A">
        <w:rPr>
          <w:rFonts w:asciiTheme="majorHAnsi" w:eastAsiaTheme="minorHAnsi" w:hAnsiTheme="majorHAnsi" w:cstheme="majorHAnsi"/>
          <w:strike/>
          <w:lang w:eastAsia="en-US"/>
        </w:rPr>
        <w:tab/>
        <w:t xml:space="preserve">As equipes de trabalho têm o direito de confiar no sistema de controle de qualidade da firma de auditoria, a menos que as informações fornecidas pela firma ou por outras partes sugiram de outra forma (ver NBC TA 220, item 4). A extensão da confiança irá variar com as circunstâncias, e pode afetar a natureza, época e extensão dos procedimentos do auditor com relação a assuntos como: </w:t>
      </w:r>
    </w:p>
    <w:p w14:paraId="166E821A" w14:textId="77777777" w:rsidR="00680260" w:rsidRPr="00AA692A" w:rsidRDefault="00680260" w:rsidP="00C36D5A">
      <w:pPr>
        <w:spacing w:before="169" w:line="293" w:lineRule="auto"/>
        <w:ind w:right="357"/>
        <w:jc w:val="both"/>
        <w:rPr>
          <w:rFonts w:asciiTheme="majorHAnsi" w:eastAsiaTheme="minorHAnsi" w:hAnsiTheme="majorHAnsi" w:cstheme="majorHAnsi"/>
          <w:strike/>
          <w:lang w:eastAsia="en-US"/>
        </w:rPr>
      </w:pPr>
      <w:r w:rsidRPr="00AA692A">
        <w:rPr>
          <w:rFonts w:asciiTheme="majorHAnsi" w:eastAsiaTheme="minorHAnsi" w:hAnsiTheme="majorHAnsi" w:cstheme="majorHAnsi"/>
          <w:strike/>
          <w:lang w:eastAsia="en-US"/>
        </w:rPr>
        <w:t>•</w:t>
      </w:r>
      <w:r w:rsidRPr="00AA692A">
        <w:rPr>
          <w:rFonts w:asciiTheme="majorHAnsi" w:eastAsiaTheme="minorHAnsi" w:hAnsiTheme="majorHAnsi" w:cstheme="majorHAnsi"/>
          <w:strike/>
          <w:lang w:eastAsia="en-US"/>
        </w:rPr>
        <w:tab/>
        <w:t xml:space="preserve">competência e habilidade por meio de programas de recrutamento e treinamento; </w:t>
      </w:r>
    </w:p>
    <w:p w14:paraId="2881EFB2" w14:textId="77777777" w:rsidR="00680260" w:rsidRPr="00AA692A" w:rsidRDefault="00680260" w:rsidP="00C36D5A">
      <w:pPr>
        <w:spacing w:before="169" w:line="293" w:lineRule="auto"/>
        <w:ind w:right="357"/>
        <w:jc w:val="both"/>
        <w:rPr>
          <w:rFonts w:asciiTheme="majorHAnsi" w:eastAsiaTheme="minorHAnsi" w:hAnsiTheme="majorHAnsi" w:cstheme="majorHAnsi"/>
          <w:strike/>
          <w:lang w:eastAsia="en-US"/>
        </w:rPr>
      </w:pPr>
      <w:r w:rsidRPr="00AA692A">
        <w:rPr>
          <w:rFonts w:asciiTheme="majorHAnsi" w:eastAsiaTheme="minorHAnsi" w:hAnsiTheme="majorHAnsi" w:cstheme="majorHAnsi"/>
          <w:strike/>
          <w:lang w:eastAsia="en-US"/>
        </w:rPr>
        <w:t>•</w:t>
      </w:r>
      <w:r w:rsidRPr="00AA692A">
        <w:rPr>
          <w:rFonts w:asciiTheme="majorHAnsi" w:eastAsiaTheme="minorHAnsi" w:hAnsiTheme="majorHAnsi" w:cstheme="majorHAnsi"/>
          <w:strike/>
          <w:lang w:eastAsia="en-US"/>
        </w:rPr>
        <w:tab/>
        <w:t xml:space="preserve">objetividade: os especialistas do auditor, quando internos, estão sujeitos a exigências éticas relevantes, incluindo aquelas pertinentes à independência; </w:t>
      </w:r>
    </w:p>
    <w:p w14:paraId="1BD547BF" w14:textId="77777777" w:rsidR="00680260" w:rsidRPr="00AA692A" w:rsidRDefault="00680260" w:rsidP="00C36D5A">
      <w:pPr>
        <w:spacing w:before="169" w:line="293" w:lineRule="auto"/>
        <w:ind w:right="357"/>
        <w:jc w:val="both"/>
        <w:rPr>
          <w:rFonts w:asciiTheme="majorHAnsi" w:eastAsiaTheme="minorHAnsi" w:hAnsiTheme="majorHAnsi" w:cstheme="majorHAnsi"/>
          <w:strike/>
          <w:lang w:eastAsia="en-US"/>
        </w:rPr>
      </w:pPr>
      <w:r w:rsidRPr="00AA692A">
        <w:rPr>
          <w:rFonts w:asciiTheme="majorHAnsi" w:eastAsiaTheme="minorHAnsi" w:hAnsiTheme="majorHAnsi" w:cstheme="majorHAnsi"/>
          <w:strike/>
          <w:lang w:eastAsia="en-US"/>
        </w:rPr>
        <w:t>•</w:t>
      </w:r>
      <w:r w:rsidRPr="00AA692A">
        <w:rPr>
          <w:rFonts w:asciiTheme="majorHAnsi" w:eastAsiaTheme="minorHAnsi" w:hAnsiTheme="majorHAnsi" w:cstheme="majorHAnsi"/>
          <w:strike/>
          <w:lang w:eastAsia="en-US"/>
        </w:rPr>
        <w:tab/>
        <w:t xml:space="preserve">avaliação do auditor sobre a adequação do trabalho do especialista do auditor. Os programas de treinamento da firma, por exemplo, podem fornecer ao especialista interno um entendimento apropriado das inter-relações entre sua especialização e o processo de auditoria. A confiança nesse treinamento e em outros processos da firma, como protocolos para determinar o alcance do trabalho de especialista interno, pode afetar a natureza, época e extensão dos procedimentos do auditor para avaliar a adequação do trabalho do especialista do auditor; </w:t>
      </w:r>
    </w:p>
    <w:p w14:paraId="602E3A2F" w14:textId="77777777" w:rsidR="00680260" w:rsidRPr="00AA692A" w:rsidRDefault="00680260" w:rsidP="00C36D5A">
      <w:pPr>
        <w:spacing w:before="169" w:line="293" w:lineRule="auto"/>
        <w:ind w:right="357"/>
        <w:jc w:val="both"/>
        <w:rPr>
          <w:rFonts w:asciiTheme="majorHAnsi" w:eastAsiaTheme="minorHAnsi" w:hAnsiTheme="majorHAnsi" w:cstheme="majorHAnsi"/>
          <w:strike/>
          <w:lang w:eastAsia="en-US"/>
        </w:rPr>
      </w:pPr>
      <w:r w:rsidRPr="00AA692A">
        <w:rPr>
          <w:rFonts w:asciiTheme="majorHAnsi" w:eastAsiaTheme="minorHAnsi" w:hAnsiTheme="majorHAnsi" w:cstheme="majorHAnsi"/>
          <w:strike/>
          <w:lang w:eastAsia="en-US"/>
        </w:rPr>
        <w:t>•</w:t>
      </w:r>
      <w:r w:rsidRPr="00AA692A">
        <w:rPr>
          <w:rFonts w:asciiTheme="majorHAnsi" w:eastAsiaTheme="minorHAnsi" w:hAnsiTheme="majorHAnsi" w:cstheme="majorHAnsi"/>
          <w:strike/>
          <w:lang w:eastAsia="en-US"/>
        </w:rPr>
        <w:tab/>
        <w:t xml:space="preserve">adesão aos requisitos regulatórios e legais por meio de processos de monitoramento; </w:t>
      </w:r>
    </w:p>
    <w:p w14:paraId="687B0812" w14:textId="77777777" w:rsidR="00680260" w:rsidRPr="00AA692A" w:rsidRDefault="00680260" w:rsidP="00C36D5A">
      <w:pPr>
        <w:spacing w:before="169" w:line="293" w:lineRule="auto"/>
        <w:ind w:right="357"/>
        <w:jc w:val="both"/>
        <w:rPr>
          <w:rFonts w:asciiTheme="majorHAnsi" w:eastAsiaTheme="minorHAnsi" w:hAnsiTheme="majorHAnsi" w:cstheme="majorHAnsi"/>
          <w:strike/>
          <w:lang w:eastAsia="en-US"/>
        </w:rPr>
      </w:pPr>
      <w:r w:rsidRPr="00AA692A">
        <w:rPr>
          <w:rFonts w:asciiTheme="majorHAnsi" w:eastAsiaTheme="minorHAnsi" w:hAnsiTheme="majorHAnsi" w:cstheme="majorHAnsi"/>
          <w:strike/>
          <w:lang w:eastAsia="en-US"/>
        </w:rPr>
        <w:t>•</w:t>
      </w:r>
      <w:r w:rsidRPr="00AA692A">
        <w:rPr>
          <w:rFonts w:asciiTheme="majorHAnsi" w:eastAsiaTheme="minorHAnsi" w:hAnsiTheme="majorHAnsi" w:cstheme="majorHAnsi"/>
          <w:strike/>
          <w:lang w:eastAsia="en-US"/>
        </w:rPr>
        <w:tab/>
        <w:t xml:space="preserve">acordo com o especialista do auditor. </w:t>
      </w:r>
    </w:p>
    <w:p w14:paraId="163DE591" w14:textId="77777777" w:rsidR="00680260" w:rsidRPr="00AA692A" w:rsidRDefault="00680260" w:rsidP="00C36D5A">
      <w:pPr>
        <w:spacing w:before="169" w:line="293" w:lineRule="auto"/>
        <w:ind w:right="357"/>
        <w:jc w:val="both"/>
        <w:rPr>
          <w:rFonts w:asciiTheme="majorHAnsi" w:eastAsiaTheme="minorHAnsi" w:hAnsiTheme="majorHAnsi" w:cstheme="majorHAnsi"/>
          <w:strike/>
          <w:lang w:eastAsia="en-US"/>
        </w:rPr>
      </w:pPr>
      <w:r w:rsidRPr="00AA692A">
        <w:rPr>
          <w:rFonts w:asciiTheme="majorHAnsi" w:eastAsiaTheme="minorHAnsi" w:hAnsiTheme="majorHAnsi" w:cstheme="majorHAnsi"/>
          <w:strike/>
          <w:lang w:eastAsia="en-US"/>
        </w:rPr>
        <w:t>Essa confiança não reduz a responsabilidade do auditor de cumprir os requisitos desta Norma.</w:t>
      </w:r>
    </w:p>
    <w:p w14:paraId="5F9C9C9A" w14:textId="241CAC18" w:rsidR="00680260" w:rsidRPr="007C4247" w:rsidRDefault="00680260" w:rsidP="00C36D5A">
      <w:pPr>
        <w:spacing w:before="169" w:line="293" w:lineRule="auto"/>
        <w:ind w:right="357"/>
        <w:jc w:val="both"/>
        <w:rPr>
          <w:rFonts w:asciiTheme="majorHAnsi" w:hAnsiTheme="majorHAnsi" w:cstheme="majorHAnsi"/>
          <w:u w:val="single"/>
        </w:rPr>
      </w:pPr>
      <w:r w:rsidRPr="007C4247">
        <w:rPr>
          <w:rFonts w:asciiTheme="majorHAnsi" w:hAnsiTheme="majorHAnsi" w:cstheme="majorHAnsi"/>
          <w:u w:val="single"/>
        </w:rPr>
        <w:lastRenderedPageBreak/>
        <w:t xml:space="preserve">A13. Conforme descrito no item A4 da NBC TA </w:t>
      </w:r>
      <w:r w:rsidR="00C0055E" w:rsidRPr="007C4247">
        <w:rPr>
          <w:rFonts w:asciiTheme="majorHAnsi" w:hAnsiTheme="majorHAnsi" w:cstheme="majorHAnsi"/>
          <w:u w:val="single"/>
        </w:rPr>
        <w:t xml:space="preserve">220, </w:t>
      </w:r>
      <w:r w:rsidR="00C0055E" w:rsidRPr="007C4247">
        <w:rPr>
          <w:rFonts w:asciiTheme="majorHAnsi" w:hAnsiTheme="majorHAnsi" w:cstheme="majorHAnsi"/>
          <w:strike/>
          <w:u w:val="single"/>
        </w:rPr>
        <w:t>(Revisada)</w:t>
      </w:r>
      <w:r w:rsidRPr="007C4247">
        <w:rPr>
          <w:rFonts w:asciiTheme="majorHAnsi" w:hAnsiTheme="majorHAnsi" w:cstheme="majorHAnsi"/>
          <w:u w:val="single"/>
        </w:rPr>
        <w:t xml:space="preserve"> a gestão da qualidade no nível do trabalho é suportada pelo sistema de gestão de qualidade da firma e substanciada pela natureza e pelas circunstâncias do trabalho de auditoria. Por exemplo, o auditor pode depender das políticas ou dos procedimentos relacionados da firma referentes a:</w:t>
      </w:r>
    </w:p>
    <w:p w14:paraId="1630B13D" w14:textId="77777777" w:rsidR="00680260" w:rsidRPr="007C4247" w:rsidRDefault="00680260" w:rsidP="00C36D5A">
      <w:pPr>
        <w:spacing w:before="169" w:line="293" w:lineRule="auto"/>
        <w:ind w:right="357"/>
        <w:jc w:val="both"/>
        <w:rPr>
          <w:rFonts w:asciiTheme="majorHAnsi" w:hAnsiTheme="majorHAnsi" w:cstheme="majorHAnsi"/>
          <w:u w:val="single"/>
        </w:rPr>
      </w:pPr>
      <w:r w:rsidRPr="007C4247">
        <w:rPr>
          <w:rFonts w:asciiTheme="majorHAnsi" w:hAnsiTheme="majorHAnsi" w:cstheme="majorHAnsi"/>
          <w:u w:val="single"/>
        </w:rPr>
        <w:t>•</w:t>
      </w:r>
      <w:r w:rsidRPr="007C4247">
        <w:rPr>
          <w:rFonts w:asciiTheme="majorHAnsi" w:hAnsiTheme="majorHAnsi" w:cstheme="majorHAnsi"/>
          <w:u w:val="single"/>
        </w:rPr>
        <w:tab/>
        <w:t>competência e habilidade por meio de programas de recrutamento e treinamento.</w:t>
      </w:r>
    </w:p>
    <w:p w14:paraId="02E44224" w14:textId="650C3D36" w:rsidR="00680260" w:rsidRPr="007C4247" w:rsidRDefault="00680260" w:rsidP="00C36D5A">
      <w:pPr>
        <w:spacing w:before="169" w:line="293" w:lineRule="auto"/>
        <w:ind w:right="357"/>
        <w:jc w:val="both"/>
        <w:rPr>
          <w:rFonts w:asciiTheme="majorHAnsi" w:hAnsiTheme="majorHAnsi" w:cstheme="majorHAnsi"/>
          <w:u w:val="single"/>
        </w:rPr>
      </w:pPr>
      <w:r w:rsidRPr="007C4247">
        <w:rPr>
          <w:rFonts w:asciiTheme="majorHAnsi" w:hAnsiTheme="majorHAnsi" w:cstheme="majorHAnsi"/>
          <w:u w:val="single"/>
        </w:rPr>
        <w:t>•</w:t>
      </w:r>
      <w:r w:rsidRPr="007C4247">
        <w:rPr>
          <w:rFonts w:asciiTheme="majorHAnsi" w:hAnsiTheme="majorHAnsi" w:cstheme="majorHAnsi"/>
          <w:u w:val="single"/>
        </w:rPr>
        <w:tab/>
        <w:t>objetividade: os especialistas do auditor, quando internos, estão sujeitos a requisitos éticos relevantes, incluindo aqueles relacionados com independência.</w:t>
      </w:r>
    </w:p>
    <w:p w14:paraId="6388EB7B" w14:textId="77777777" w:rsidR="00680260" w:rsidRPr="007C4247" w:rsidRDefault="00680260" w:rsidP="00C36D5A">
      <w:pPr>
        <w:spacing w:before="169" w:line="293" w:lineRule="auto"/>
        <w:ind w:right="357"/>
        <w:jc w:val="both"/>
        <w:rPr>
          <w:rFonts w:asciiTheme="majorHAnsi" w:hAnsiTheme="majorHAnsi" w:cstheme="majorHAnsi"/>
          <w:u w:val="single"/>
        </w:rPr>
      </w:pPr>
      <w:r w:rsidRPr="007C4247">
        <w:rPr>
          <w:rFonts w:asciiTheme="majorHAnsi" w:hAnsiTheme="majorHAnsi" w:cstheme="majorHAnsi"/>
          <w:u w:val="single"/>
        </w:rPr>
        <w:t>•</w:t>
      </w:r>
      <w:r w:rsidRPr="007C4247">
        <w:rPr>
          <w:rFonts w:asciiTheme="majorHAnsi" w:hAnsiTheme="majorHAnsi" w:cstheme="majorHAnsi"/>
          <w:u w:val="single"/>
        </w:rPr>
        <w:tab/>
        <w:t>avaliação do auditor sobre a adequação do trabalho do especialista do auditor. Os programas de treinamento da firma, por exemplo, podem fornecer ao especialista interno um entendimento apropriado das inter-relações entre sua especialização e o processo de auditoria. A confiança nesse treinamento pode afetar a natureza, a época e a extensão dos procedimentos do auditor para avaliar a adequação do trabalho do especialista do auditor.</w:t>
      </w:r>
    </w:p>
    <w:p w14:paraId="16BEC007" w14:textId="77777777" w:rsidR="00680260" w:rsidRPr="007C4247" w:rsidRDefault="00680260" w:rsidP="00C36D5A">
      <w:pPr>
        <w:spacing w:before="169" w:line="293" w:lineRule="auto"/>
        <w:ind w:right="357"/>
        <w:jc w:val="both"/>
        <w:rPr>
          <w:rFonts w:asciiTheme="majorHAnsi" w:hAnsiTheme="majorHAnsi" w:cstheme="majorHAnsi"/>
          <w:u w:val="single"/>
        </w:rPr>
      </w:pPr>
      <w:r w:rsidRPr="007C4247">
        <w:rPr>
          <w:rFonts w:asciiTheme="majorHAnsi" w:hAnsiTheme="majorHAnsi" w:cstheme="majorHAnsi"/>
          <w:u w:val="single"/>
        </w:rPr>
        <w:t>•</w:t>
      </w:r>
      <w:r w:rsidRPr="007C4247">
        <w:rPr>
          <w:rFonts w:asciiTheme="majorHAnsi" w:hAnsiTheme="majorHAnsi" w:cstheme="majorHAnsi"/>
          <w:u w:val="single"/>
        </w:rPr>
        <w:tab/>
        <w:t>adesão aos requisitos regulatórios e legais por meio de processos de monitoramento.</w:t>
      </w:r>
    </w:p>
    <w:p w14:paraId="2ED98710" w14:textId="77777777" w:rsidR="00680260" w:rsidRPr="007C4247" w:rsidRDefault="00680260" w:rsidP="00C36D5A">
      <w:pPr>
        <w:spacing w:before="169" w:line="293" w:lineRule="auto"/>
        <w:ind w:right="357"/>
        <w:jc w:val="both"/>
        <w:rPr>
          <w:rFonts w:asciiTheme="majorHAnsi" w:hAnsiTheme="majorHAnsi" w:cstheme="majorHAnsi"/>
          <w:u w:val="single"/>
        </w:rPr>
      </w:pPr>
      <w:r w:rsidRPr="007C4247">
        <w:rPr>
          <w:rFonts w:asciiTheme="majorHAnsi" w:hAnsiTheme="majorHAnsi" w:cstheme="majorHAnsi"/>
          <w:u w:val="single"/>
        </w:rPr>
        <w:t>•</w:t>
      </w:r>
      <w:r w:rsidRPr="007C4247">
        <w:rPr>
          <w:rFonts w:asciiTheme="majorHAnsi" w:hAnsiTheme="majorHAnsi" w:cstheme="majorHAnsi"/>
          <w:u w:val="single"/>
        </w:rPr>
        <w:tab/>
        <w:t>acordo com o especialista do auditor.</w:t>
      </w:r>
    </w:p>
    <w:p w14:paraId="6A1F4554" w14:textId="77777777" w:rsidR="00680260" w:rsidRDefault="00680260" w:rsidP="00C36D5A">
      <w:pPr>
        <w:spacing w:before="169" w:line="293" w:lineRule="auto"/>
        <w:ind w:right="357"/>
        <w:jc w:val="both"/>
        <w:rPr>
          <w:rFonts w:asciiTheme="majorHAnsi" w:hAnsiTheme="majorHAnsi" w:cstheme="majorHAnsi"/>
          <w:u w:val="single"/>
        </w:rPr>
      </w:pPr>
      <w:r w:rsidRPr="007C4247">
        <w:rPr>
          <w:rFonts w:asciiTheme="majorHAnsi" w:hAnsiTheme="majorHAnsi" w:cstheme="majorHAnsi"/>
          <w:u w:val="single"/>
        </w:rPr>
        <w:t>Os assuntos que o auditor pode levar em consideração ao determinar se deve depender das políticas ou dos procedimentos da firma estão descritos na NBC TA 220 (Revisada)15. Depender das políticas ou dos procedimentos da firma não reduz a responsabilidade do auditor de cumprir com os requisitos desta Norma.</w:t>
      </w:r>
    </w:p>
    <w:p w14:paraId="6223C24A" w14:textId="77777777" w:rsidR="008C565B" w:rsidRPr="007C4247" w:rsidRDefault="008C565B" w:rsidP="00C36D5A">
      <w:pPr>
        <w:spacing w:before="169" w:line="293" w:lineRule="auto"/>
        <w:ind w:right="357"/>
        <w:jc w:val="both"/>
        <w:rPr>
          <w:rFonts w:asciiTheme="majorHAnsi" w:hAnsiTheme="majorHAnsi" w:cstheme="majorHAnsi"/>
          <w:u w:val="single"/>
        </w:rPr>
      </w:pPr>
    </w:p>
    <w:p w14:paraId="4C96EA77" w14:textId="77777777" w:rsidR="00680260" w:rsidRPr="007C4247" w:rsidRDefault="00680260" w:rsidP="00C36D5A">
      <w:pPr>
        <w:spacing w:before="169" w:line="293" w:lineRule="auto"/>
        <w:ind w:right="357"/>
        <w:jc w:val="both"/>
        <w:rPr>
          <w:rFonts w:asciiTheme="majorHAnsi" w:hAnsiTheme="majorHAnsi" w:cstheme="majorHAnsi"/>
          <w:u w:val="single"/>
        </w:rPr>
      </w:pPr>
      <w:r w:rsidRPr="007C4247">
        <w:rPr>
          <w:rFonts w:asciiTheme="majorHAnsi" w:hAnsiTheme="majorHAnsi" w:cstheme="majorHAnsi"/>
          <w:u w:val="single"/>
        </w:rPr>
        <w:t>Requisitos éticos relevantes (ver item 8(f))</w:t>
      </w:r>
    </w:p>
    <w:p w14:paraId="54ADB6D7" w14:textId="77777777" w:rsidR="00680260" w:rsidRPr="007C4247" w:rsidRDefault="00680260" w:rsidP="00C36D5A">
      <w:pPr>
        <w:spacing w:before="169" w:line="293" w:lineRule="auto"/>
        <w:ind w:right="357"/>
        <w:jc w:val="both"/>
        <w:rPr>
          <w:rFonts w:asciiTheme="majorHAnsi" w:hAnsiTheme="majorHAnsi" w:cstheme="majorHAnsi"/>
        </w:rPr>
      </w:pPr>
    </w:p>
    <w:p w14:paraId="274C2741" w14:textId="3998205B" w:rsidR="00680260" w:rsidRPr="007C4247" w:rsidRDefault="00680260" w:rsidP="00C36D5A">
      <w:pPr>
        <w:spacing w:before="169" w:line="293" w:lineRule="auto"/>
        <w:ind w:right="357"/>
        <w:jc w:val="both"/>
        <w:rPr>
          <w:rFonts w:asciiTheme="majorHAnsi" w:hAnsiTheme="majorHAnsi" w:cstheme="majorHAnsi"/>
          <w:u w:val="single"/>
        </w:rPr>
      </w:pPr>
      <w:r w:rsidRPr="007C4247">
        <w:rPr>
          <w:rFonts w:asciiTheme="majorHAnsi" w:hAnsiTheme="majorHAnsi" w:cstheme="majorHAnsi"/>
          <w:u w:val="single"/>
        </w:rPr>
        <w:t xml:space="preserve">A13A. Os requisitos éticos relevantes podem incluir disposições que tratam das responsabilidades éticas do auditor relacionadas com a utilização do trabalho de um especialista na execução de uma auditoria de demonstrações contábeis. Por exemplo, o </w:t>
      </w:r>
      <w:r w:rsidRPr="007C4247">
        <w:rPr>
          <w:rFonts w:asciiTheme="majorHAnsi" w:hAnsiTheme="majorHAnsi" w:cstheme="majorHAnsi"/>
          <w:strike/>
          <w:u w:val="single"/>
        </w:rPr>
        <w:t>Código IESBA</w:t>
      </w:r>
      <w:r w:rsidR="00C0055E" w:rsidRPr="007C4247">
        <w:rPr>
          <w:rFonts w:asciiTheme="majorHAnsi" w:hAnsiTheme="majorHAnsi" w:cstheme="majorHAnsi"/>
          <w:u w:val="single"/>
        </w:rPr>
        <w:t xml:space="preserve"> </w:t>
      </w:r>
      <w:r w:rsidRPr="007C4247">
        <w:rPr>
          <w:rFonts w:asciiTheme="majorHAnsi" w:hAnsiTheme="majorHAnsi" w:cstheme="majorHAnsi"/>
          <w:u w:val="single"/>
        </w:rPr>
        <w:t xml:space="preserve">Código de Ética Profissional do Contador inclui disposições relacionadas com a utilização do trabalho de um especialista externo por um profissional da contabilidade (ver </w:t>
      </w:r>
      <w:r w:rsidRPr="007C4247">
        <w:rPr>
          <w:rFonts w:asciiTheme="majorHAnsi" w:eastAsia="Arial MT" w:hAnsiTheme="majorHAnsi" w:cstheme="majorHAnsi"/>
          <w:strike/>
          <w:u w:val="single"/>
          <w:lang w:eastAsia="en-US"/>
        </w:rPr>
        <w:t>Seção 390</w:t>
      </w:r>
      <w:r w:rsidRPr="007C4247">
        <w:rPr>
          <w:rFonts w:asciiTheme="majorHAnsi" w:hAnsiTheme="majorHAnsi" w:cstheme="majorHAnsi"/>
          <w:strike/>
          <w:u w:val="single"/>
        </w:rPr>
        <w:t xml:space="preserve"> do Código IESBA</w:t>
      </w:r>
      <w:r w:rsidR="00C0055E" w:rsidRPr="007C4247">
        <w:rPr>
          <w:rFonts w:asciiTheme="majorHAnsi" w:hAnsiTheme="majorHAnsi" w:cstheme="majorHAnsi"/>
          <w:u w:val="single"/>
        </w:rPr>
        <w:t xml:space="preserve"> </w:t>
      </w:r>
      <w:r w:rsidRPr="007C4247">
        <w:rPr>
          <w:rFonts w:asciiTheme="majorHAnsi" w:hAnsiTheme="majorHAnsi" w:cstheme="majorHAnsi"/>
          <w:u w:val="single"/>
        </w:rPr>
        <w:t>Código de Ética Profissional do Contador).</w:t>
      </w:r>
    </w:p>
    <w:p w14:paraId="77B1E090" w14:textId="77777777" w:rsidR="00680260" w:rsidRPr="007C4247" w:rsidRDefault="00680260" w:rsidP="00C36D5A">
      <w:pPr>
        <w:spacing w:before="169" w:line="293" w:lineRule="auto"/>
        <w:ind w:right="357"/>
        <w:jc w:val="both"/>
        <w:rPr>
          <w:rFonts w:asciiTheme="majorHAnsi" w:hAnsiTheme="majorHAnsi" w:cstheme="majorHAnsi"/>
          <w:b/>
          <w:bCs/>
        </w:rPr>
      </w:pPr>
      <w:r w:rsidRPr="007C4247">
        <w:rPr>
          <w:rFonts w:asciiTheme="majorHAnsi" w:hAnsiTheme="majorHAnsi" w:cstheme="majorHAnsi"/>
          <w:b/>
          <w:bCs/>
        </w:rPr>
        <w:t>Competência, habilidade e objetividade do especialista do auditor (ver item 9)</w:t>
      </w:r>
    </w:p>
    <w:p w14:paraId="03303A78" w14:textId="77777777" w:rsidR="00680260" w:rsidRPr="00AA692A" w:rsidRDefault="00680260" w:rsidP="00C36D5A">
      <w:pPr>
        <w:spacing w:before="169" w:line="293" w:lineRule="auto"/>
        <w:ind w:right="357"/>
        <w:jc w:val="both"/>
        <w:rPr>
          <w:rFonts w:asciiTheme="majorHAnsi" w:eastAsia="Arial MT" w:hAnsiTheme="majorHAnsi" w:cstheme="majorHAnsi"/>
          <w:lang w:eastAsia="en-US"/>
        </w:rPr>
      </w:pPr>
      <w:r w:rsidRPr="00AA692A">
        <w:rPr>
          <w:rFonts w:asciiTheme="majorHAnsi" w:eastAsia="Arial MT" w:hAnsiTheme="majorHAnsi" w:cstheme="majorHAnsi"/>
          <w:lang w:eastAsia="en-US"/>
        </w:rPr>
        <w:t xml:space="preserve">A14. A competência, habilidades e objetividade de especialista do auditor são fatores que afetam significativamente se o trabalho do especialista do auditor será adequado para fins da auditoria. Competência refere-se à natureza e ao nível de especialização do especialista. Habilidades referem-se à capacidade do especialista de exercer a referida competência nas circunstâncias do trabalho. Os fatores que podem influenciar as habilidades incluem, por exemplo, a localização geográfica e a disponibilidade de tempo e de recursos. </w:t>
      </w:r>
      <w:r w:rsidRPr="00AA692A">
        <w:rPr>
          <w:rFonts w:asciiTheme="majorHAnsi" w:eastAsia="Arial MT" w:hAnsiTheme="majorHAnsi" w:cstheme="majorHAnsi"/>
          <w:lang w:eastAsia="en-US"/>
        </w:rPr>
        <w:lastRenderedPageBreak/>
        <w:t>Objetividade refere-se aos possíveis efeitos que a tendenciosidade, o conflito de interesse ou a influência de outros pode ter sobre o julgamento profissional ou comercial do especialista.</w:t>
      </w:r>
    </w:p>
    <w:p w14:paraId="7A958A0D" w14:textId="366FF0B3" w:rsidR="00C0055E" w:rsidRPr="007C4247" w:rsidRDefault="00C0055E" w:rsidP="00C36D5A">
      <w:pPr>
        <w:spacing w:before="169" w:line="293" w:lineRule="auto"/>
        <w:ind w:right="357"/>
        <w:jc w:val="both"/>
        <w:rPr>
          <w:rFonts w:asciiTheme="majorHAnsi" w:eastAsia="Arial MT" w:hAnsiTheme="majorHAnsi" w:cstheme="majorHAnsi"/>
          <w:strike/>
          <w:highlight w:val="lightGray"/>
          <w:lang w:eastAsia="en-US"/>
        </w:rPr>
      </w:pPr>
      <w:r w:rsidRPr="007C4247">
        <w:rPr>
          <w:rFonts w:asciiTheme="majorHAnsi" w:hAnsiTheme="majorHAnsi" w:cstheme="majorHAnsi"/>
          <w:strike/>
        </w:rPr>
        <w:t>Ver Sessão 390 do Código IESBA</w:t>
      </w:r>
      <w:r w:rsidRPr="007C4247">
        <w:rPr>
          <w:rFonts w:asciiTheme="majorHAnsi" w:eastAsia="Arial MT" w:hAnsiTheme="majorHAnsi" w:cstheme="majorHAnsi"/>
          <w:strike/>
          <w:highlight w:val="lightGray"/>
          <w:lang w:eastAsia="en-US"/>
        </w:rPr>
        <w:t>.</w:t>
      </w:r>
    </w:p>
    <w:p w14:paraId="08A13446" w14:textId="77777777" w:rsidR="000A48CA" w:rsidRPr="007C4247" w:rsidRDefault="000A48CA" w:rsidP="00C36D5A">
      <w:pPr>
        <w:spacing w:before="169" w:line="293" w:lineRule="auto"/>
        <w:ind w:right="357"/>
        <w:jc w:val="both"/>
        <w:rPr>
          <w:rFonts w:asciiTheme="majorHAnsi" w:hAnsiTheme="majorHAnsi" w:cstheme="majorHAnsi"/>
        </w:rPr>
      </w:pPr>
      <w:r w:rsidRPr="00AA692A">
        <w:rPr>
          <w:rFonts w:asciiTheme="majorHAnsi" w:eastAsia="Arial MT" w:hAnsiTheme="majorHAnsi" w:cstheme="majorHAnsi"/>
          <w:lang w:eastAsia="en-US"/>
        </w:rPr>
        <w:t xml:space="preserve">A16. Os assuntos relevantes para a avaliação da competência, habilidades e objetividade do especialista do auditor incluem se o trabalho desse especialista está sujeito a padrões </w:t>
      </w:r>
      <w:r w:rsidRPr="00AA692A">
        <w:rPr>
          <w:rFonts w:asciiTheme="majorHAnsi" w:eastAsia="Arial MT" w:hAnsiTheme="majorHAnsi" w:cstheme="majorHAnsi"/>
          <w:u w:val="single"/>
          <w:lang w:eastAsia="en-US"/>
        </w:rPr>
        <w:t>técnicos</w:t>
      </w:r>
      <w:r w:rsidRPr="00AA692A">
        <w:rPr>
          <w:rFonts w:asciiTheme="majorHAnsi" w:eastAsia="Arial MT" w:hAnsiTheme="majorHAnsi" w:cstheme="majorHAnsi"/>
          <w:lang w:eastAsia="en-US"/>
        </w:rPr>
        <w:t xml:space="preserve"> de desempenho </w:t>
      </w:r>
      <w:r w:rsidRPr="00AA692A">
        <w:rPr>
          <w:rFonts w:asciiTheme="majorHAnsi" w:eastAsia="Arial MT" w:hAnsiTheme="majorHAnsi" w:cstheme="majorHAnsi"/>
          <w:strike/>
          <w:lang w:eastAsia="en-US"/>
        </w:rPr>
        <w:t>técnico</w:t>
      </w:r>
      <w:r w:rsidRPr="00AA692A">
        <w:rPr>
          <w:rFonts w:asciiTheme="majorHAnsi" w:eastAsia="Arial MT" w:hAnsiTheme="majorHAnsi" w:cstheme="majorHAnsi"/>
          <w:lang w:eastAsia="en-US"/>
        </w:rPr>
        <w:t xml:space="preserve"> ou outros requisitos profissionais ou da área de atuação, por exemplo, normas éticas e outros requisitos por pertencer a órgão profissional ou associação da área de atuação, normas de certificação de órgão licenciador, ou requisitos impostos por lei ou regulamento</w:t>
      </w:r>
      <w:r w:rsidRPr="00AA692A">
        <w:rPr>
          <w:rFonts w:asciiTheme="majorHAnsi" w:hAnsiTheme="majorHAnsi" w:cstheme="majorHAnsi"/>
        </w:rPr>
        <w:t>.</w:t>
      </w:r>
    </w:p>
    <w:p w14:paraId="6930879E" w14:textId="794A5E9B" w:rsidR="00680260" w:rsidRDefault="000A48CA" w:rsidP="00C36D5A">
      <w:pPr>
        <w:spacing w:before="169" w:line="293" w:lineRule="auto"/>
        <w:ind w:right="357"/>
        <w:jc w:val="both"/>
        <w:rPr>
          <w:rFonts w:asciiTheme="majorHAnsi" w:hAnsiTheme="majorHAnsi" w:cstheme="majorHAnsi"/>
          <w:u w:val="single"/>
        </w:rPr>
      </w:pPr>
      <w:r w:rsidRPr="007C4247">
        <w:rPr>
          <w:rFonts w:asciiTheme="majorHAnsi" w:hAnsiTheme="majorHAnsi" w:cstheme="majorHAnsi"/>
          <w:u w:val="single"/>
        </w:rPr>
        <w:t xml:space="preserve">A16A. Os requisitos éticos relevantes relacionados com a utilização do trabalho de um especialista do auditor podem incluir disposições que tratam do cumprimento das responsabilidades éticas do auditor relacionadas com a avaliação de se o especialista do auditor tem a competência, habilidade e objetividade necessárias para </w:t>
      </w:r>
      <w:r w:rsidRPr="00AA692A">
        <w:rPr>
          <w:rFonts w:asciiTheme="majorHAnsi" w:hAnsiTheme="majorHAnsi" w:cstheme="majorHAnsi"/>
          <w:u w:val="single"/>
        </w:rPr>
        <w:t xml:space="preserve">os propósitos do auditor (ver, </w:t>
      </w:r>
      <w:r w:rsidRPr="00AA692A">
        <w:rPr>
          <w:rFonts w:asciiTheme="majorHAnsi" w:hAnsiTheme="majorHAnsi" w:cstheme="majorHAnsi"/>
          <w:strike/>
          <w:u w:val="single"/>
        </w:rPr>
        <w:t>por exemplo</w:t>
      </w:r>
      <w:r w:rsidRPr="00AA692A">
        <w:rPr>
          <w:rFonts w:asciiTheme="majorHAnsi" w:hAnsiTheme="majorHAnsi" w:cstheme="majorHAnsi"/>
          <w:u w:val="single"/>
        </w:rPr>
        <w:t xml:space="preserve">, itens </w:t>
      </w:r>
      <w:r w:rsidRPr="00AA692A">
        <w:rPr>
          <w:rFonts w:asciiTheme="majorHAnsi" w:hAnsiTheme="majorHAnsi" w:cstheme="majorHAnsi"/>
          <w:strike/>
          <w:u w:val="single"/>
        </w:rPr>
        <w:t>R390.6 a R390.21</w:t>
      </w:r>
      <w:r w:rsidRPr="00AA692A">
        <w:rPr>
          <w:rFonts w:asciiTheme="majorHAnsi" w:hAnsiTheme="majorHAnsi" w:cstheme="majorHAnsi"/>
          <w:u w:val="single"/>
        </w:rPr>
        <w:t xml:space="preserve"> do Código IESBACódigo de Ética Profissional do Contador relacionados com a utilização do trabalho de um especialista externo).</w:t>
      </w:r>
    </w:p>
    <w:p w14:paraId="54675816" w14:textId="77777777" w:rsidR="000A48CA" w:rsidRPr="007C4247" w:rsidRDefault="000A48CA" w:rsidP="00C36D5A">
      <w:pPr>
        <w:spacing w:before="169" w:line="293" w:lineRule="auto"/>
        <w:ind w:right="357"/>
        <w:jc w:val="both"/>
        <w:rPr>
          <w:rFonts w:asciiTheme="majorHAnsi" w:hAnsiTheme="majorHAnsi" w:cstheme="majorHAnsi"/>
        </w:rPr>
      </w:pPr>
      <w:r w:rsidRPr="00AA692A">
        <w:rPr>
          <w:rFonts w:asciiTheme="majorHAnsi" w:eastAsia="Arial MT" w:hAnsiTheme="majorHAnsi" w:cstheme="majorHAnsi"/>
          <w:lang w:eastAsia="en-US"/>
        </w:rPr>
        <w:t xml:space="preserve">A18. Uma ampla gama de circunstâncias pode ameaçar a objetividade, por exemplo, ameaças de interesse próprio, de defesa </w:t>
      </w:r>
      <w:r w:rsidRPr="00AA692A">
        <w:rPr>
          <w:rFonts w:asciiTheme="majorHAnsi" w:eastAsia="Arial MT" w:hAnsiTheme="majorHAnsi" w:cstheme="majorHAnsi"/>
          <w:u w:val="single"/>
          <w:lang w:eastAsia="en-US"/>
        </w:rPr>
        <w:t>dos interesses da entidade auditada</w:t>
      </w:r>
      <w:r w:rsidRPr="00AA692A">
        <w:rPr>
          <w:rFonts w:asciiTheme="majorHAnsi" w:eastAsia="Arial MT" w:hAnsiTheme="majorHAnsi" w:cstheme="majorHAnsi"/>
          <w:lang w:eastAsia="en-US"/>
        </w:rPr>
        <w:t xml:space="preserve">, de familiaridade, de </w:t>
      </w:r>
      <w:r w:rsidRPr="00AA692A">
        <w:rPr>
          <w:rFonts w:asciiTheme="majorHAnsi" w:eastAsia="Arial MT" w:hAnsiTheme="majorHAnsi" w:cstheme="majorHAnsi"/>
          <w:strike/>
          <w:lang w:eastAsia="en-US"/>
        </w:rPr>
        <w:t>autorrevisão</w:t>
      </w:r>
      <w:r w:rsidRPr="00AA692A">
        <w:rPr>
          <w:rFonts w:asciiTheme="majorHAnsi" w:eastAsia="Arial MT" w:hAnsiTheme="majorHAnsi" w:cstheme="majorHAnsi"/>
          <w:lang w:eastAsia="en-US"/>
        </w:rPr>
        <w:t xml:space="preserve"> auto-revisão e de intimidação</w:t>
      </w:r>
      <w:r w:rsidRPr="00AA692A">
        <w:rPr>
          <w:rFonts w:asciiTheme="majorHAnsi" w:hAnsiTheme="majorHAnsi" w:cstheme="majorHAnsi"/>
        </w:rPr>
        <w:t xml:space="preserve">. </w:t>
      </w:r>
      <w:r w:rsidRPr="00AA692A">
        <w:rPr>
          <w:rFonts w:asciiTheme="majorHAnsi" w:hAnsiTheme="majorHAnsi" w:cstheme="majorHAnsi"/>
          <w:u w:val="single"/>
        </w:rPr>
        <w:t xml:space="preserve">As salvaguardas podem eliminar ou reduzir essas ameaças e podem ser criadas por estruturas externas (por exemplo, a profissão do especialista, a legislação ou regulamentação que a rege) ou pelo ambiente de trabalho do especialista (por exemplo, políticas e procedimentos de controle de qualidade). </w:t>
      </w:r>
      <w:r w:rsidRPr="00AA692A">
        <w:rPr>
          <w:rFonts w:asciiTheme="majorHAnsi" w:eastAsiaTheme="minorHAnsi" w:hAnsiTheme="majorHAnsi" w:cstheme="majorHAnsi"/>
          <w:strike/>
          <w:lang w:eastAsia="en-US"/>
        </w:rPr>
        <w:t>Essas ameaças podem ser tratadas mediante a eliminação das circunstâncias que criam as ameaças, ou a aplicação de salvaguardas para reduzi-las a um nível aceitável. Pode haver, também, salvaguardas específicas para o trabalho de auditoria.</w:t>
      </w:r>
    </w:p>
    <w:p w14:paraId="0EC3E4A2" w14:textId="77777777" w:rsidR="000A48CA" w:rsidRPr="007C4247" w:rsidRDefault="000A48CA" w:rsidP="00C36D5A">
      <w:pPr>
        <w:spacing w:before="169" w:line="293" w:lineRule="auto"/>
        <w:ind w:right="357"/>
        <w:jc w:val="both"/>
        <w:rPr>
          <w:rFonts w:asciiTheme="majorHAnsi" w:hAnsiTheme="majorHAnsi" w:cstheme="majorHAnsi"/>
        </w:rPr>
      </w:pPr>
      <w:r w:rsidRPr="007C4247">
        <w:rPr>
          <w:rFonts w:asciiTheme="majorHAnsi" w:hAnsiTheme="majorHAnsi" w:cstheme="majorHAnsi"/>
        </w:rPr>
        <w:t>A18A. [Realocado de A20] Ao avaliar a objetividade de especialista externo do auditor, pode ser relevante:</w:t>
      </w:r>
    </w:p>
    <w:p w14:paraId="46A9AAFE" w14:textId="77777777" w:rsidR="000A48CA" w:rsidRPr="007C4247" w:rsidRDefault="000A48CA" w:rsidP="00C36D5A">
      <w:pPr>
        <w:spacing w:before="169" w:line="293" w:lineRule="auto"/>
        <w:ind w:right="357"/>
        <w:jc w:val="both"/>
        <w:rPr>
          <w:rFonts w:asciiTheme="majorHAnsi" w:hAnsiTheme="majorHAnsi" w:cstheme="majorHAnsi"/>
        </w:rPr>
      </w:pPr>
      <w:r w:rsidRPr="007C4247">
        <w:rPr>
          <w:rFonts w:asciiTheme="majorHAnsi" w:hAnsiTheme="majorHAnsi" w:cstheme="majorHAnsi"/>
        </w:rPr>
        <w:t>(a)</w:t>
      </w:r>
      <w:r w:rsidRPr="007C4247">
        <w:rPr>
          <w:rFonts w:asciiTheme="majorHAnsi" w:hAnsiTheme="majorHAnsi" w:cstheme="majorHAnsi"/>
        </w:rPr>
        <w:tab/>
        <w:t>indagar a administração da entidade auditada sobre quaisquer interesses ou relações conhecidas que a entidade tem com esse especialista externo que podem afetar a objetividade desse especialista.</w:t>
      </w:r>
    </w:p>
    <w:p w14:paraId="1CD9DF2B" w14:textId="77777777" w:rsidR="000A48CA" w:rsidRPr="007C4247" w:rsidRDefault="000A48CA" w:rsidP="00C36D5A">
      <w:pPr>
        <w:spacing w:before="169" w:line="293" w:lineRule="auto"/>
        <w:ind w:right="357"/>
        <w:jc w:val="both"/>
        <w:rPr>
          <w:rFonts w:asciiTheme="majorHAnsi" w:hAnsiTheme="majorHAnsi" w:cstheme="majorHAnsi"/>
        </w:rPr>
      </w:pPr>
      <w:r w:rsidRPr="007C4247">
        <w:rPr>
          <w:rFonts w:asciiTheme="majorHAnsi" w:hAnsiTheme="majorHAnsi" w:cstheme="majorHAnsi"/>
        </w:rPr>
        <w:t>(b)</w:t>
      </w:r>
      <w:r w:rsidRPr="007C4247">
        <w:rPr>
          <w:rFonts w:asciiTheme="majorHAnsi" w:hAnsiTheme="majorHAnsi" w:cstheme="majorHAnsi"/>
        </w:rPr>
        <w:tab/>
        <w:t>discutir com esse especialista sobre quaisquer salvaguardas aplicáveis,</w:t>
      </w:r>
      <w:r w:rsidRPr="007C4247">
        <w:rPr>
          <w:rFonts w:asciiTheme="majorHAnsi" w:hAnsiTheme="majorHAnsi" w:cstheme="majorHAnsi"/>
          <w:strike/>
        </w:rPr>
        <w:t xml:space="preserve"> incluindo quaisquer requisitos profissionais que se aplicam a esse especialista</w:t>
      </w:r>
      <w:r w:rsidRPr="007C4247">
        <w:rPr>
          <w:rFonts w:asciiTheme="majorHAnsi" w:hAnsiTheme="majorHAnsi" w:cstheme="majorHAnsi"/>
        </w:rPr>
        <w:t>; e avaliar se as salvaguardas são adequadas para reduzir as ameaças a um nível aceitável. Interesses e relações que podem ser relevantes para serem discutidas com o especialista do auditor incluem:</w:t>
      </w:r>
    </w:p>
    <w:p w14:paraId="2E5DA8E8" w14:textId="77777777" w:rsidR="000A48CA" w:rsidRPr="007C4247" w:rsidRDefault="000A48CA" w:rsidP="00C36D5A">
      <w:pPr>
        <w:spacing w:before="169" w:line="293" w:lineRule="auto"/>
        <w:ind w:left="284" w:right="357" w:firstLine="567"/>
        <w:jc w:val="both"/>
        <w:rPr>
          <w:rFonts w:asciiTheme="majorHAnsi" w:hAnsiTheme="majorHAnsi" w:cstheme="majorHAnsi"/>
        </w:rPr>
      </w:pPr>
      <w:r w:rsidRPr="007C4247">
        <w:rPr>
          <w:rFonts w:asciiTheme="majorHAnsi" w:hAnsiTheme="majorHAnsi" w:cstheme="majorHAnsi"/>
        </w:rPr>
        <w:t>•</w:t>
      </w:r>
      <w:r w:rsidRPr="007C4247">
        <w:rPr>
          <w:rFonts w:asciiTheme="majorHAnsi" w:hAnsiTheme="majorHAnsi" w:cstheme="majorHAnsi"/>
        </w:rPr>
        <w:tab/>
        <w:t>interesses financeiros;</w:t>
      </w:r>
    </w:p>
    <w:p w14:paraId="5A25890C" w14:textId="77777777" w:rsidR="000A48CA" w:rsidRPr="007C4247" w:rsidRDefault="000A48CA" w:rsidP="00C36D5A">
      <w:pPr>
        <w:spacing w:before="169" w:line="293" w:lineRule="auto"/>
        <w:ind w:left="284" w:right="357" w:firstLine="567"/>
        <w:jc w:val="both"/>
        <w:rPr>
          <w:rFonts w:asciiTheme="majorHAnsi" w:hAnsiTheme="majorHAnsi" w:cstheme="majorHAnsi"/>
        </w:rPr>
      </w:pPr>
      <w:r w:rsidRPr="007C4247">
        <w:rPr>
          <w:rFonts w:asciiTheme="majorHAnsi" w:hAnsiTheme="majorHAnsi" w:cstheme="majorHAnsi"/>
        </w:rPr>
        <w:t>•</w:t>
      </w:r>
      <w:r w:rsidRPr="007C4247">
        <w:rPr>
          <w:rFonts w:asciiTheme="majorHAnsi" w:hAnsiTheme="majorHAnsi" w:cstheme="majorHAnsi"/>
        </w:rPr>
        <w:tab/>
        <w:t>relações comerciais e pessoais;</w:t>
      </w:r>
    </w:p>
    <w:p w14:paraId="6D07771C" w14:textId="77777777" w:rsidR="000A48CA" w:rsidRPr="007C4247" w:rsidRDefault="000A48CA" w:rsidP="00C36D5A">
      <w:pPr>
        <w:spacing w:before="169" w:line="293" w:lineRule="auto"/>
        <w:ind w:left="284" w:right="357" w:firstLine="567"/>
        <w:jc w:val="both"/>
        <w:rPr>
          <w:rFonts w:asciiTheme="majorHAnsi" w:hAnsiTheme="majorHAnsi" w:cstheme="majorHAnsi"/>
        </w:rPr>
      </w:pPr>
      <w:r w:rsidRPr="007C4247">
        <w:rPr>
          <w:rFonts w:asciiTheme="majorHAnsi" w:hAnsiTheme="majorHAnsi" w:cstheme="majorHAnsi"/>
        </w:rPr>
        <w:t>•</w:t>
      </w:r>
      <w:r w:rsidRPr="007C4247">
        <w:rPr>
          <w:rFonts w:asciiTheme="majorHAnsi" w:hAnsiTheme="majorHAnsi" w:cstheme="majorHAnsi"/>
        </w:rPr>
        <w:tab/>
        <w:t>prestação de outros serviços pelo especialista, incluindo prestação de outros serviços pela organização no caso de o especialista externo ser uma organização.</w:t>
      </w:r>
    </w:p>
    <w:p w14:paraId="6295239B" w14:textId="1B81B149" w:rsidR="000A48CA" w:rsidRPr="007C4247" w:rsidRDefault="000A48CA" w:rsidP="00C36D5A">
      <w:pPr>
        <w:spacing w:before="169" w:line="293" w:lineRule="auto"/>
        <w:ind w:right="357"/>
        <w:jc w:val="both"/>
        <w:rPr>
          <w:rFonts w:asciiTheme="majorHAnsi" w:hAnsiTheme="majorHAnsi" w:cstheme="majorHAnsi"/>
          <w:u w:val="single"/>
        </w:rPr>
      </w:pPr>
      <w:r w:rsidRPr="007C4247">
        <w:rPr>
          <w:rFonts w:asciiTheme="majorHAnsi" w:hAnsiTheme="majorHAnsi" w:cstheme="majorHAnsi"/>
        </w:rPr>
        <w:lastRenderedPageBreak/>
        <w:t xml:space="preserve">Em alguns casos, pode ser apropriado para o auditor obter uma representação formal do especialista externo sobre quaisquer interesses ou relações com a entidade sobre os quais o especialista tem conhecimento. </w:t>
      </w:r>
      <w:r w:rsidRPr="007C4247">
        <w:rPr>
          <w:rFonts w:asciiTheme="majorHAnsi" w:hAnsiTheme="majorHAnsi" w:cstheme="majorHAnsi"/>
          <w:u w:val="single"/>
        </w:rPr>
        <w:t xml:space="preserve">Os requisitos éticos relevantes também podem requerer que o auditor obtenha informações, por escrito, do especialista externo do auditor sobre interesses, relações ou circunstâncias que possam criar uma ameaça à objetividade desse especialista (ver, </w:t>
      </w:r>
      <w:r w:rsidRPr="007C4247">
        <w:rPr>
          <w:rFonts w:asciiTheme="majorHAnsi" w:hAnsiTheme="majorHAnsi" w:cstheme="majorHAnsi"/>
          <w:strike/>
          <w:u w:val="single"/>
        </w:rPr>
        <w:t>por exemplo, itens R390.5 e R390.12 a R390.17 do</w:t>
      </w:r>
      <w:r w:rsidRPr="007C4247">
        <w:rPr>
          <w:rFonts w:asciiTheme="majorHAnsi" w:hAnsiTheme="majorHAnsi" w:cstheme="majorHAnsi"/>
          <w:u w:val="single"/>
        </w:rPr>
        <w:t xml:space="preserve"> </w:t>
      </w:r>
      <w:r w:rsidRPr="007C4247">
        <w:rPr>
          <w:rFonts w:asciiTheme="majorHAnsi" w:hAnsiTheme="majorHAnsi" w:cstheme="majorHAnsi"/>
          <w:strike/>
          <w:u w:val="single"/>
        </w:rPr>
        <w:t xml:space="preserve">Código </w:t>
      </w:r>
      <w:r w:rsidR="001037D1" w:rsidRPr="007C4247">
        <w:rPr>
          <w:rFonts w:asciiTheme="majorHAnsi" w:hAnsiTheme="majorHAnsi" w:cstheme="majorHAnsi"/>
          <w:strike/>
          <w:u w:val="single"/>
        </w:rPr>
        <w:t>IESBA</w:t>
      </w:r>
      <w:r w:rsidR="001037D1" w:rsidRPr="007C4247">
        <w:rPr>
          <w:rFonts w:asciiTheme="majorHAnsi" w:hAnsiTheme="majorHAnsi" w:cstheme="majorHAnsi"/>
          <w:u w:val="single"/>
        </w:rPr>
        <w:t xml:space="preserve"> Código</w:t>
      </w:r>
      <w:r w:rsidRPr="007C4247">
        <w:rPr>
          <w:rFonts w:asciiTheme="majorHAnsi" w:hAnsiTheme="majorHAnsi" w:cstheme="majorHAnsi"/>
          <w:u w:val="single"/>
        </w:rPr>
        <w:t xml:space="preserve"> de Ética Profissional do Contador).</w:t>
      </w:r>
    </w:p>
    <w:p w14:paraId="739085E5" w14:textId="77777777" w:rsidR="000A48CA" w:rsidRPr="007C4247" w:rsidRDefault="000A48CA" w:rsidP="00C36D5A">
      <w:pPr>
        <w:spacing w:before="169" w:line="293" w:lineRule="auto"/>
        <w:ind w:right="357"/>
        <w:jc w:val="both"/>
        <w:rPr>
          <w:rFonts w:asciiTheme="majorHAnsi" w:hAnsiTheme="majorHAnsi" w:cstheme="majorHAnsi"/>
          <w:strike/>
        </w:rPr>
      </w:pPr>
      <w:r w:rsidRPr="007C4247">
        <w:rPr>
          <w:rFonts w:asciiTheme="majorHAnsi" w:hAnsiTheme="majorHAnsi" w:cstheme="majorHAnsi"/>
          <w:strike/>
          <w:vertAlign w:val="superscript"/>
        </w:rPr>
        <w:t xml:space="preserve">3 </w:t>
      </w:r>
      <w:r w:rsidRPr="007C4247">
        <w:rPr>
          <w:rFonts w:asciiTheme="majorHAnsi" w:hAnsiTheme="majorHAnsi" w:cstheme="majorHAnsi"/>
          <w:strike/>
        </w:rPr>
        <w:t>Ver, por exemplo, itens R390.6 a R390.21 do Código IESBA relacionados com a utilização do trabalho de um especialista externo.</w:t>
      </w:r>
    </w:p>
    <w:p w14:paraId="0A6D858D" w14:textId="77777777" w:rsidR="000A48CA" w:rsidRPr="007C4247" w:rsidRDefault="000A48CA" w:rsidP="00C36D5A">
      <w:pPr>
        <w:spacing w:before="169" w:line="293" w:lineRule="auto"/>
        <w:ind w:right="357"/>
        <w:jc w:val="both"/>
        <w:rPr>
          <w:rFonts w:asciiTheme="majorHAnsi" w:hAnsiTheme="majorHAnsi" w:cstheme="majorHAnsi"/>
          <w:strike/>
        </w:rPr>
      </w:pPr>
      <w:r w:rsidRPr="007C4247">
        <w:rPr>
          <w:rFonts w:asciiTheme="majorHAnsi" w:hAnsiTheme="majorHAnsi" w:cstheme="majorHAnsi"/>
          <w:strike/>
          <w:vertAlign w:val="superscript"/>
        </w:rPr>
        <w:t>4</w:t>
      </w:r>
      <w:r w:rsidRPr="007C4247">
        <w:rPr>
          <w:rFonts w:asciiTheme="majorHAnsi" w:hAnsiTheme="majorHAnsi" w:cstheme="majorHAnsi"/>
          <w:strike/>
        </w:rPr>
        <w:t xml:space="preserve"> Ver, por exemplo, itens R390.5 e R390.12 a R390.17 do Código IESBA.</w:t>
      </w:r>
    </w:p>
    <w:p w14:paraId="26A9204E" w14:textId="1CC52BBF" w:rsidR="000A48CA" w:rsidRPr="00AA692A" w:rsidRDefault="000A48CA" w:rsidP="00C36D5A">
      <w:pPr>
        <w:spacing w:before="169" w:line="293" w:lineRule="auto"/>
        <w:ind w:right="357"/>
        <w:jc w:val="both"/>
        <w:rPr>
          <w:rFonts w:asciiTheme="majorHAnsi" w:eastAsia="Arial MT" w:hAnsiTheme="majorHAnsi" w:cstheme="majorHAnsi"/>
          <w:lang w:eastAsia="en-US"/>
        </w:rPr>
      </w:pPr>
      <w:r w:rsidRPr="00AA692A">
        <w:rPr>
          <w:rFonts w:asciiTheme="majorHAnsi" w:eastAsia="Arial MT" w:hAnsiTheme="majorHAnsi" w:cstheme="majorHAnsi"/>
          <w:lang w:eastAsia="en-US"/>
        </w:rPr>
        <w:t xml:space="preserve">A19. A avaliação de </w:t>
      </w:r>
      <w:r w:rsidR="004834A9" w:rsidRPr="00AA692A">
        <w:rPr>
          <w:rFonts w:asciiTheme="majorHAnsi" w:eastAsia="Arial MT" w:hAnsiTheme="majorHAnsi" w:cstheme="majorHAnsi"/>
          <w:lang w:eastAsia="en-US"/>
        </w:rPr>
        <w:t>se as</w:t>
      </w:r>
      <w:r w:rsidRPr="00AA692A">
        <w:rPr>
          <w:rFonts w:asciiTheme="majorHAnsi" w:eastAsia="Arial MT" w:hAnsiTheme="majorHAnsi" w:cstheme="majorHAnsi"/>
          <w:lang w:eastAsia="en-US"/>
        </w:rPr>
        <w:t xml:space="preserve"> ameaças à objetividade estão em um nível aceitável pode depender da função do especialista do auditor e da importância d</w:t>
      </w:r>
      <w:r w:rsidRPr="00AA692A">
        <w:rPr>
          <w:rFonts w:asciiTheme="majorHAnsi" w:eastAsia="Arial MT" w:hAnsiTheme="majorHAnsi" w:cstheme="majorHAnsi"/>
          <w:u w:val="single"/>
          <w:lang w:eastAsia="en-US"/>
        </w:rPr>
        <w:t>o</w:t>
      </w:r>
      <w:r w:rsidRPr="00AA692A">
        <w:rPr>
          <w:rFonts w:asciiTheme="majorHAnsi" w:eastAsia="Arial MT" w:hAnsiTheme="majorHAnsi" w:cstheme="majorHAnsi"/>
          <w:lang w:eastAsia="en-US"/>
        </w:rPr>
        <w:t>e seu trabalho no contexto da auditoria. Em alguns casos, pode não ser possível eliminar as circunstâncias que criam ameaças ou aplicar salvaguardas para reduzi-las a um nível aceitável, por exemplo, se o especialista do auditor proposto for uma pessoa que teve papel significativo na elaboração das informações que estão sendo auditadas, ou seja, se o especialista do auditor é um especialista da administração.</w:t>
      </w:r>
    </w:p>
    <w:p w14:paraId="2D37854A" w14:textId="10E18CAB" w:rsidR="000A48CA" w:rsidRPr="007C4247" w:rsidRDefault="000A48CA" w:rsidP="00C36D5A">
      <w:pPr>
        <w:spacing w:before="169" w:line="293" w:lineRule="auto"/>
        <w:ind w:right="357"/>
        <w:jc w:val="both"/>
        <w:rPr>
          <w:rFonts w:asciiTheme="majorHAnsi" w:hAnsiTheme="majorHAnsi" w:cstheme="majorHAnsi"/>
          <w:u w:val="single"/>
        </w:rPr>
      </w:pPr>
      <w:r w:rsidRPr="007C4247">
        <w:rPr>
          <w:rFonts w:asciiTheme="majorHAnsi" w:hAnsiTheme="majorHAnsi" w:cstheme="majorHAnsi"/>
          <w:u w:val="single"/>
        </w:rPr>
        <w:t>Proibição da Utilização do Trabalho de Especialista do Auditor (ver item 9A)</w:t>
      </w:r>
    </w:p>
    <w:p w14:paraId="393A8845" w14:textId="3E79C511" w:rsidR="000A48CA" w:rsidRPr="007C4247" w:rsidRDefault="000A48CA" w:rsidP="00C36D5A">
      <w:pPr>
        <w:spacing w:before="169" w:line="293" w:lineRule="auto"/>
        <w:ind w:right="357"/>
        <w:jc w:val="both"/>
        <w:rPr>
          <w:rFonts w:asciiTheme="majorHAnsi" w:hAnsiTheme="majorHAnsi" w:cstheme="majorHAnsi"/>
          <w:u w:val="single"/>
        </w:rPr>
      </w:pPr>
      <w:r w:rsidRPr="007C4247">
        <w:rPr>
          <w:rFonts w:asciiTheme="majorHAnsi" w:hAnsiTheme="majorHAnsi" w:cstheme="majorHAnsi"/>
          <w:u w:val="single"/>
        </w:rPr>
        <w:t>A19A.A utilização do trabalho de um especialista do auditor que não tenha a competência, habilidade e objetividade necessárias para os propósitos do auditor afetaria o cumprimento pelo auditor dos princípios éticos fu</w:t>
      </w:r>
      <w:r w:rsidR="008C565B">
        <w:rPr>
          <w:rFonts w:asciiTheme="majorHAnsi" w:hAnsiTheme="majorHAnsi" w:cstheme="majorHAnsi"/>
          <w:u w:val="single"/>
        </w:rPr>
        <w:t>n</w:t>
      </w:r>
      <w:r w:rsidRPr="007C4247">
        <w:rPr>
          <w:rFonts w:asciiTheme="majorHAnsi" w:hAnsiTheme="majorHAnsi" w:cstheme="majorHAnsi"/>
          <w:u w:val="single"/>
        </w:rPr>
        <w:t>damentais como integridade, objetividade e competência profissional e devido zelo.</w:t>
      </w:r>
    </w:p>
    <w:p w14:paraId="7D221B9A" w14:textId="77777777" w:rsidR="000A48CA" w:rsidRPr="007C4247" w:rsidRDefault="000A48CA" w:rsidP="00C36D5A">
      <w:pPr>
        <w:spacing w:before="169" w:line="293" w:lineRule="auto"/>
        <w:ind w:right="357"/>
        <w:jc w:val="both"/>
        <w:rPr>
          <w:rFonts w:asciiTheme="majorHAnsi" w:hAnsiTheme="majorHAnsi" w:cstheme="majorHAnsi"/>
          <w:u w:val="single"/>
        </w:rPr>
      </w:pPr>
      <w:r w:rsidRPr="007C4247">
        <w:rPr>
          <w:rFonts w:asciiTheme="majorHAnsi" w:hAnsiTheme="majorHAnsi" w:cstheme="majorHAnsi"/>
          <w:u w:val="single"/>
        </w:rPr>
        <w:t>A19B.Os requisitos éticos relevantes também podem proibir o auditor de utilizar o trabalho de um especialista se ele não conseguir determinar se o especialista tem, ou se ele determinar que o especialista não tem, a competência, habilidade e objetividade necessárias para os seus propósitos (ver</w:t>
      </w:r>
      <w:r w:rsidRPr="007C4247">
        <w:rPr>
          <w:rFonts w:asciiTheme="majorHAnsi" w:hAnsiTheme="majorHAnsi" w:cstheme="majorHAnsi"/>
          <w:strike/>
          <w:u w:val="single"/>
        </w:rPr>
        <w:t>, por</w:t>
      </w:r>
      <w:r w:rsidRPr="007C4247">
        <w:rPr>
          <w:rFonts w:asciiTheme="majorHAnsi" w:hAnsiTheme="majorHAnsi" w:cstheme="majorHAnsi"/>
          <w:u w:val="single"/>
        </w:rPr>
        <w:t xml:space="preserve"> exemplo , </w:t>
      </w:r>
      <w:r w:rsidRPr="007C4247">
        <w:rPr>
          <w:rFonts w:asciiTheme="majorHAnsi" w:hAnsiTheme="majorHAnsi" w:cstheme="majorHAnsi"/>
          <w:strike/>
          <w:u w:val="single"/>
        </w:rPr>
        <w:t>o item R390.21</w:t>
      </w:r>
      <w:r w:rsidRPr="007C4247">
        <w:rPr>
          <w:rFonts w:asciiTheme="majorHAnsi" w:hAnsiTheme="majorHAnsi" w:cstheme="majorHAnsi"/>
          <w:u w:val="single"/>
        </w:rPr>
        <w:t xml:space="preserve"> do </w:t>
      </w:r>
      <w:r w:rsidRPr="007C4247">
        <w:rPr>
          <w:rFonts w:asciiTheme="majorHAnsi" w:hAnsiTheme="majorHAnsi" w:cstheme="majorHAnsi"/>
          <w:strike/>
          <w:u w:val="single"/>
        </w:rPr>
        <w:t>Código IESBA</w:t>
      </w:r>
      <w:r w:rsidRPr="007C4247">
        <w:rPr>
          <w:rFonts w:asciiTheme="majorHAnsi" w:hAnsiTheme="majorHAnsi" w:cstheme="majorHAnsi"/>
          <w:u w:val="single"/>
        </w:rPr>
        <w:t>Código de Ética Profissional do Contador relacionado com a utilização do trabalho de um especialista externo).</w:t>
      </w:r>
    </w:p>
    <w:p w14:paraId="6454E08E" w14:textId="77777777" w:rsidR="000A48CA" w:rsidRPr="007C4247" w:rsidRDefault="000A48CA" w:rsidP="00C36D5A">
      <w:pPr>
        <w:spacing w:before="169" w:line="293" w:lineRule="auto"/>
        <w:ind w:right="357"/>
        <w:jc w:val="both"/>
        <w:rPr>
          <w:rFonts w:asciiTheme="majorHAnsi" w:hAnsiTheme="majorHAnsi" w:cstheme="majorHAnsi"/>
        </w:rPr>
      </w:pPr>
      <w:r w:rsidRPr="007C4247">
        <w:rPr>
          <w:rFonts w:asciiTheme="majorHAnsi" w:hAnsiTheme="majorHAnsi" w:cstheme="majorHAnsi"/>
        </w:rPr>
        <w:t>…</w:t>
      </w:r>
    </w:p>
    <w:p w14:paraId="17A3A1D1" w14:textId="77777777" w:rsidR="000A48CA" w:rsidRPr="007C4247" w:rsidRDefault="000A48CA" w:rsidP="00C36D5A">
      <w:pPr>
        <w:spacing w:before="169" w:line="293" w:lineRule="auto"/>
        <w:ind w:right="357"/>
        <w:jc w:val="both"/>
        <w:rPr>
          <w:rFonts w:asciiTheme="majorHAnsi" w:hAnsiTheme="majorHAnsi" w:cstheme="majorHAnsi"/>
        </w:rPr>
      </w:pPr>
      <w:r w:rsidRPr="007C4247">
        <w:rPr>
          <w:rFonts w:asciiTheme="majorHAnsi" w:hAnsiTheme="majorHAnsi" w:cstheme="majorHAnsi"/>
        </w:rPr>
        <w:t>Acordo com o especialista do auditor (ver item 11)</w:t>
      </w:r>
    </w:p>
    <w:p w14:paraId="7B838060" w14:textId="77777777" w:rsidR="000A48CA" w:rsidRPr="007C4247" w:rsidRDefault="000A48CA" w:rsidP="00C36D5A">
      <w:pPr>
        <w:spacing w:before="169" w:line="293" w:lineRule="auto"/>
        <w:ind w:right="357"/>
        <w:jc w:val="both"/>
        <w:rPr>
          <w:rFonts w:asciiTheme="majorHAnsi" w:hAnsiTheme="majorHAnsi" w:cstheme="majorHAnsi"/>
        </w:rPr>
      </w:pPr>
      <w:r w:rsidRPr="007C4247">
        <w:rPr>
          <w:rFonts w:asciiTheme="majorHAnsi" w:hAnsiTheme="majorHAnsi" w:cstheme="majorHAnsi"/>
        </w:rPr>
        <w:t>…</w:t>
      </w:r>
    </w:p>
    <w:p w14:paraId="7EE0DE94" w14:textId="77777777" w:rsidR="000A48CA" w:rsidRPr="007C4247" w:rsidRDefault="000A48CA" w:rsidP="00C36D5A">
      <w:pPr>
        <w:spacing w:before="169" w:line="293" w:lineRule="auto"/>
        <w:ind w:right="357"/>
        <w:jc w:val="both"/>
        <w:rPr>
          <w:rFonts w:asciiTheme="majorHAnsi" w:hAnsiTheme="majorHAnsi" w:cstheme="majorHAnsi"/>
        </w:rPr>
      </w:pPr>
      <w:r w:rsidRPr="007C4247">
        <w:rPr>
          <w:rFonts w:asciiTheme="majorHAnsi" w:hAnsiTheme="majorHAnsi" w:cstheme="majorHAnsi"/>
        </w:rPr>
        <w:t xml:space="preserve">A24. Os assuntos observados no item 8 podem afetar o nível de detalhe e formalidade do acordo entre o auditor e o especialista do auditor, incluindo se é apropriado que o acordo seja por escrito. Os fatores a seguir, por exemplo, podem sugerir a necessidade de acordo mais detalhado do que seria o caso normalmente, ou </w:t>
      </w:r>
      <w:r w:rsidRPr="007C4247">
        <w:rPr>
          <w:rFonts w:asciiTheme="majorHAnsi" w:hAnsiTheme="majorHAnsi" w:cstheme="majorHAnsi"/>
          <w:strike/>
        </w:rPr>
        <w:t xml:space="preserve">desse </w:t>
      </w:r>
      <w:r w:rsidRPr="007C4247">
        <w:rPr>
          <w:rFonts w:asciiTheme="majorHAnsi" w:hAnsiTheme="majorHAnsi" w:cstheme="majorHAnsi"/>
        </w:rPr>
        <w:t>de esse acordo ser feito por escrito:</w:t>
      </w:r>
    </w:p>
    <w:p w14:paraId="13C7CFC6" w14:textId="77777777" w:rsidR="000A48CA" w:rsidRPr="007C4247" w:rsidRDefault="000A48CA" w:rsidP="00C36D5A">
      <w:pPr>
        <w:spacing w:before="169" w:line="293" w:lineRule="auto"/>
        <w:ind w:right="357"/>
        <w:jc w:val="both"/>
        <w:rPr>
          <w:rFonts w:asciiTheme="majorHAnsi" w:hAnsiTheme="majorHAnsi" w:cstheme="majorHAnsi"/>
        </w:rPr>
      </w:pPr>
      <w:r w:rsidRPr="007C4247">
        <w:rPr>
          <w:rFonts w:asciiTheme="majorHAnsi" w:hAnsiTheme="majorHAnsi" w:cstheme="majorHAnsi"/>
        </w:rPr>
        <w:lastRenderedPageBreak/>
        <w:t>•</w:t>
      </w:r>
      <w:r w:rsidRPr="007C4247">
        <w:rPr>
          <w:rFonts w:asciiTheme="majorHAnsi" w:hAnsiTheme="majorHAnsi" w:cstheme="majorHAnsi"/>
        </w:rPr>
        <w:tab/>
        <w:t xml:space="preserve">o especialista </w:t>
      </w:r>
      <w:r w:rsidRPr="007C4247">
        <w:rPr>
          <w:rFonts w:asciiTheme="majorHAnsi" w:hAnsiTheme="majorHAnsi" w:cstheme="majorHAnsi"/>
          <w:u w:val="single"/>
        </w:rPr>
        <w:t>do auditor</w:t>
      </w:r>
      <w:r w:rsidRPr="007C4247">
        <w:rPr>
          <w:rFonts w:asciiTheme="majorHAnsi" w:hAnsiTheme="majorHAnsi" w:cstheme="majorHAnsi"/>
        </w:rPr>
        <w:t xml:space="preserve"> terá acesso a informações sensíveis ou confidenciais da entidade;</w:t>
      </w:r>
    </w:p>
    <w:p w14:paraId="737AAA14" w14:textId="77777777" w:rsidR="000A48CA" w:rsidRPr="007C4247" w:rsidRDefault="000A48CA" w:rsidP="00C36D5A">
      <w:pPr>
        <w:spacing w:before="169" w:line="293" w:lineRule="auto"/>
        <w:ind w:right="357"/>
        <w:jc w:val="both"/>
        <w:rPr>
          <w:rFonts w:asciiTheme="majorHAnsi" w:hAnsiTheme="majorHAnsi" w:cstheme="majorHAnsi"/>
        </w:rPr>
      </w:pPr>
      <w:r w:rsidRPr="007C4247">
        <w:rPr>
          <w:rFonts w:asciiTheme="majorHAnsi" w:hAnsiTheme="majorHAnsi" w:cstheme="majorHAnsi"/>
        </w:rPr>
        <w:t>•</w:t>
      </w:r>
      <w:r w:rsidRPr="007C4247">
        <w:rPr>
          <w:rFonts w:asciiTheme="majorHAnsi" w:hAnsiTheme="majorHAnsi" w:cstheme="majorHAnsi"/>
        </w:rPr>
        <w:tab/>
        <w:t xml:space="preserve">as respectivas atribuições ou responsabilidades do auditor e do especialista </w:t>
      </w:r>
      <w:r w:rsidRPr="007C4247">
        <w:rPr>
          <w:rFonts w:asciiTheme="majorHAnsi" w:hAnsiTheme="majorHAnsi" w:cstheme="majorHAnsi"/>
          <w:u w:val="single"/>
        </w:rPr>
        <w:t>do auditor</w:t>
      </w:r>
      <w:r w:rsidRPr="007C4247">
        <w:rPr>
          <w:rFonts w:asciiTheme="majorHAnsi" w:hAnsiTheme="majorHAnsi" w:cstheme="majorHAnsi"/>
        </w:rPr>
        <w:t xml:space="preserve"> são diferentes das normalmente esperadas;</w:t>
      </w:r>
    </w:p>
    <w:p w14:paraId="43DBC896" w14:textId="77777777" w:rsidR="000A48CA" w:rsidRPr="007C4247" w:rsidRDefault="000A48CA" w:rsidP="00C36D5A">
      <w:pPr>
        <w:spacing w:before="169" w:line="293" w:lineRule="auto"/>
        <w:ind w:right="357"/>
        <w:jc w:val="both"/>
        <w:rPr>
          <w:rFonts w:asciiTheme="majorHAnsi" w:hAnsiTheme="majorHAnsi" w:cstheme="majorHAnsi"/>
          <w:strike/>
        </w:rPr>
      </w:pPr>
      <w:r w:rsidRPr="007C4247">
        <w:rPr>
          <w:rFonts w:asciiTheme="majorHAnsi" w:hAnsiTheme="majorHAnsi" w:cstheme="majorHAnsi"/>
        </w:rPr>
        <w:t>•</w:t>
      </w:r>
      <w:r w:rsidRPr="007C4247">
        <w:rPr>
          <w:rFonts w:asciiTheme="majorHAnsi" w:hAnsiTheme="majorHAnsi" w:cstheme="majorHAnsi"/>
        </w:rPr>
        <w:tab/>
        <w:t>são aplicado</w:t>
      </w:r>
      <w:r w:rsidRPr="007C4247">
        <w:rPr>
          <w:rFonts w:asciiTheme="majorHAnsi" w:hAnsiTheme="majorHAnsi" w:cstheme="majorHAnsi"/>
          <w:strike/>
        </w:rPr>
        <w:t>a</w:t>
      </w:r>
      <w:r w:rsidRPr="007C4247">
        <w:rPr>
          <w:rFonts w:asciiTheme="majorHAnsi" w:hAnsiTheme="majorHAnsi" w:cstheme="majorHAnsi"/>
        </w:rPr>
        <w:t xml:space="preserve">s </w:t>
      </w:r>
      <w:r w:rsidRPr="007C4247">
        <w:rPr>
          <w:rFonts w:asciiTheme="majorHAnsi" w:hAnsiTheme="majorHAnsi" w:cstheme="majorHAnsi"/>
          <w:u w:val="single"/>
        </w:rPr>
        <w:t>requisitos</w:t>
      </w:r>
      <w:r w:rsidRPr="007C4247">
        <w:rPr>
          <w:rFonts w:asciiTheme="majorHAnsi" w:hAnsiTheme="majorHAnsi" w:cstheme="majorHAnsi"/>
        </w:rPr>
        <w:t xml:space="preserve"> </w:t>
      </w:r>
      <w:r w:rsidRPr="007C4247">
        <w:rPr>
          <w:rFonts w:asciiTheme="majorHAnsi" w:hAnsiTheme="majorHAnsi" w:cstheme="majorHAnsi"/>
          <w:strike/>
        </w:rPr>
        <w:t>exigências</w:t>
      </w:r>
      <w:r w:rsidRPr="007C4247">
        <w:rPr>
          <w:rFonts w:asciiTheme="majorHAnsi" w:hAnsiTheme="majorHAnsi" w:cstheme="majorHAnsi"/>
        </w:rPr>
        <w:t xml:space="preserve"> legais ou regulatório</w:t>
      </w:r>
      <w:r w:rsidRPr="007C4247">
        <w:rPr>
          <w:rFonts w:asciiTheme="majorHAnsi" w:hAnsiTheme="majorHAnsi" w:cstheme="majorHAnsi"/>
          <w:strike/>
        </w:rPr>
        <w:t>a</w:t>
      </w:r>
      <w:r w:rsidRPr="007C4247">
        <w:rPr>
          <w:rFonts w:asciiTheme="majorHAnsi" w:hAnsiTheme="majorHAnsi" w:cstheme="majorHAnsi"/>
        </w:rPr>
        <w:t xml:space="preserve">s </w:t>
      </w:r>
      <w:r w:rsidRPr="007C4247">
        <w:rPr>
          <w:rFonts w:asciiTheme="majorHAnsi" w:hAnsiTheme="majorHAnsi" w:cstheme="majorHAnsi"/>
          <w:u w:val="single"/>
        </w:rPr>
        <w:t>de múltiplas</w:t>
      </w:r>
      <w:r w:rsidRPr="007C4247">
        <w:rPr>
          <w:rFonts w:asciiTheme="majorHAnsi" w:hAnsiTheme="majorHAnsi" w:cstheme="majorHAnsi"/>
        </w:rPr>
        <w:t xml:space="preserve">, </w:t>
      </w:r>
      <w:r w:rsidRPr="007C4247">
        <w:rPr>
          <w:rFonts w:asciiTheme="majorHAnsi" w:hAnsiTheme="majorHAnsi" w:cstheme="majorHAnsi"/>
          <w:strike/>
        </w:rPr>
        <w:t xml:space="preserve">locais e de outras jurisdições, se aplicável; </w:t>
      </w:r>
    </w:p>
    <w:p w14:paraId="61AAFE21" w14:textId="77777777" w:rsidR="000A48CA" w:rsidRPr="007C4247" w:rsidRDefault="000A48CA" w:rsidP="00C36D5A">
      <w:pPr>
        <w:spacing w:before="169" w:line="293" w:lineRule="auto"/>
        <w:ind w:right="357"/>
        <w:jc w:val="both"/>
        <w:rPr>
          <w:rFonts w:asciiTheme="majorHAnsi" w:hAnsiTheme="majorHAnsi" w:cstheme="majorHAnsi"/>
          <w:u w:val="single"/>
        </w:rPr>
      </w:pPr>
      <w:r w:rsidRPr="007C4247">
        <w:rPr>
          <w:rFonts w:asciiTheme="majorHAnsi" w:hAnsiTheme="majorHAnsi" w:cstheme="majorHAnsi"/>
        </w:rPr>
        <w:t>•</w:t>
      </w:r>
      <w:r w:rsidRPr="007C4247">
        <w:rPr>
          <w:rFonts w:asciiTheme="majorHAnsi" w:hAnsiTheme="majorHAnsi" w:cstheme="majorHAnsi"/>
        </w:rPr>
        <w:tab/>
      </w:r>
      <w:r w:rsidRPr="007C4247">
        <w:rPr>
          <w:rFonts w:asciiTheme="majorHAnsi" w:hAnsiTheme="majorHAnsi" w:cstheme="majorHAnsi"/>
          <w:u w:val="single"/>
        </w:rPr>
        <w:t>requisitos éticos relevantes requerem o fornecimento de informações por escrito sobre ode um especialista do auditor (ver</w:t>
      </w:r>
      <w:r w:rsidRPr="007C4247">
        <w:rPr>
          <w:rFonts w:asciiTheme="majorHAnsi" w:hAnsiTheme="majorHAnsi" w:cstheme="majorHAnsi"/>
          <w:strike/>
          <w:u w:val="single"/>
        </w:rPr>
        <w:t>, por exemplo,  itens R390.5 e R390.12 a R390.17</w:t>
      </w:r>
      <w:r w:rsidRPr="007C4247">
        <w:rPr>
          <w:rFonts w:asciiTheme="majorHAnsi" w:hAnsiTheme="majorHAnsi" w:cstheme="majorHAnsi"/>
          <w:u w:val="single"/>
        </w:rPr>
        <w:t xml:space="preserve"> do </w:t>
      </w:r>
      <w:r w:rsidRPr="007C4247">
        <w:rPr>
          <w:rFonts w:asciiTheme="majorHAnsi" w:hAnsiTheme="majorHAnsi" w:cstheme="majorHAnsi"/>
          <w:strike/>
          <w:u w:val="single"/>
        </w:rPr>
        <w:t>Código IESBA</w:t>
      </w:r>
      <w:r w:rsidRPr="007C4247">
        <w:rPr>
          <w:rFonts w:asciiTheme="majorHAnsi" w:hAnsiTheme="majorHAnsi" w:cstheme="majorHAnsi"/>
          <w:u w:val="single"/>
        </w:rPr>
        <w:t>Código de Ética Profissional do Contador relacionados com a utilização do trabalho de um especialista externo);</w:t>
      </w:r>
    </w:p>
    <w:p w14:paraId="77E41772" w14:textId="77777777" w:rsidR="000A48CA" w:rsidRPr="007C4247" w:rsidRDefault="000A48CA" w:rsidP="00C36D5A">
      <w:pPr>
        <w:spacing w:before="169" w:line="293" w:lineRule="auto"/>
        <w:ind w:right="357"/>
        <w:jc w:val="both"/>
        <w:rPr>
          <w:rFonts w:asciiTheme="majorHAnsi" w:hAnsiTheme="majorHAnsi" w:cstheme="majorHAnsi"/>
        </w:rPr>
      </w:pPr>
      <w:r w:rsidRPr="007C4247">
        <w:rPr>
          <w:rFonts w:asciiTheme="majorHAnsi" w:hAnsiTheme="majorHAnsi" w:cstheme="majorHAnsi"/>
        </w:rPr>
        <w:t>•</w:t>
      </w:r>
      <w:r w:rsidRPr="007C4247">
        <w:rPr>
          <w:rFonts w:asciiTheme="majorHAnsi" w:hAnsiTheme="majorHAnsi" w:cstheme="majorHAnsi"/>
        </w:rPr>
        <w:tab/>
        <w:t xml:space="preserve">o assunto ao qual se refere o trabalho do especialista do auditor é altamente complexo; </w:t>
      </w:r>
    </w:p>
    <w:p w14:paraId="046459FE" w14:textId="77777777" w:rsidR="000A48CA" w:rsidRPr="007C4247" w:rsidRDefault="000A48CA" w:rsidP="00C36D5A">
      <w:pPr>
        <w:spacing w:before="169" w:line="293" w:lineRule="auto"/>
        <w:ind w:right="357"/>
        <w:jc w:val="both"/>
        <w:rPr>
          <w:rFonts w:asciiTheme="majorHAnsi" w:hAnsiTheme="majorHAnsi" w:cstheme="majorHAnsi"/>
        </w:rPr>
      </w:pPr>
      <w:r w:rsidRPr="007C4247">
        <w:rPr>
          <w:rFonts w:asciiTheme="majorHAnsi" w:hAnsiTheme="majorHAnsi" w:cstheme="majorHAnsi"/>
        </w:rPr>
        <w:t>•</w:t>
      </w:r>
      <w:r w:rsidRPr="007C4247">
        <w:rPr>
          <w:rFonts w:asciiTheme="majorHAnsi" w:hAnsiTheme="majorHAnsi" w:cstheme="majorHAnsi"/>
        </w:rPr>
        <w:tab/>
        <w:t xml:space="preserve">o auditor não utilizou anteriormente trabalho executado por esse especialista. </w:t>
      </w:r>
    </w:p>
    <w:p w14:paraId="18DD1634" w14:textId="77777777" w:rsidR="000A48CA" w:rsidRPr="007C4247" w:rsidRDefault="000A48CA" w:rsidP="00C36D5A">
      <w:pPr>
        <w:spacing w:before="169" w:line="293" w:lineRule="auto"/>
        <w:ind w:right="357"/>
        <w:jc w:val="both"/>
        <w:rPr>
          <w:rFonts w:asciiTheme="majorHAnsi" w:hAnsiTheme="majorHAnsi" w:cstheme="majorHAnsi"/>
        </w:rPr>
      </w:pPr>
      <w:r w:rsidRPr="007C4247">
        <w:rPr>
          <w:rFonts w:asciiTheme="majorHAnsi" w:hAnsiTheme="majorHAnsi" w:cstheme="majorHAnsi"/>
        </w:rPr>
        <w:t>•</w:t>
      </w:r>
      <w:r w:rsidRPr="007C4247">
        <w:rPr>
          <w:rFonts w:asciiTheme="majorHAnsi" w:hAnsiTheme="majorHAnsi" w:cstheme="majorHAnsi"/>
        </w:rPr>
        <w:tab/>
        <w:t>uma extensão maior do trabalho do especialista do auditor, e sua importância no contexto da auditoria.</w:t>
      </w:r>
    </w:p>
    <w:p w14:paraId="74A993D1" w14:textId="77777777" w:rsidR="000A48CA" w:rsidRPr="00AA692A" w:rsidRDefault="000A48CA" w:rsidP="00C36D5A">
      <w:pPr>
        <w:spacing w:before="169" w:line="293" w:lineRule="auto"/>
        <w:ind w:right="357"/>
        <w:jc w:val="both"/>
        <w:rPr>
          <w:rFonts w:asciiTheme="majorHAnsi" w:eastAsia="Arial MT" w:hAnsiTheme="majorHAnsi" w:cstheme="majorHAnsi"/>
          <w:lang w:eastAsia="en-US"/>
        </w:rPr>
      </w:pPr>
      <w:r w:rsidRPr="00AA692A">
        <w:rPr>
          <w:rFonts w:asciiTheme="majorHAnsi" w:eastAsia="Arial MT" w:hAnsiTheme="majorHAnsi" w:cstheme="majorHAnsi"/>
          <w:lang w:eastAsia="en-US"/>
        </w:rPr>
        <w:t>A25. O acordo entre o auditor e o especialista externo é frequentemente na forma de uma carta de contratação. O Apêndice apresenta uma lista dos assuntos que o auditor pode considerar incluir na carta de contratação ou em qualquer outra forma de acordo com um especialista externo do auditor.</w:t>
      </w:r>
    </w:p>
    <w:p w14:paraId="03F21089" w14:textId="77777777" w:rsidR="000A48CA" w:rsidRPr="007C4247" w:rsidRDefault="000A48CA" w:rsidP="00C36D5A">
      <w:pPr>
        <w:spacing w:before="169" w:line="293" w:lineRule="auto"/>
        <w:ind w:right="357"/>
        <w:jc w:val="both"/>
        <w:rPr>
          <w:rFonts w:asciiTheme="majorHAnsi" w:hAnsiTheme="majorHAnsi" w:cstheme="majorHAnsi"/>
          <w:strike/>
        </w:rPr>
      </w:pPr>
      <w:r w:rsidRPr="007C4247">
        <w:rPr>
          <w:rFonts w:asciiTheme="majorHAnsi" w:hAnsiTheme="majorHAnsi" w:cstheme="majorHAnsi"/>
          <w:strike/>
          <w:vertAlign w:val="superscript"/>
        </w:rPr>
        <w:t>5</w:t>
      </w:r>
      <w:r w:rsidRPr="007C4247">
        <w:rPr>
          <w:rFonts w:asciiTheme="majorHAnsi" w:hAnsiTheme="majorHAnsi" w:cstheme="majorHAnsi"/>
          <w:strike/>
        </w:rPr>
        <w:t xml:space="preserve"> Ver, por exemplo, item R390.21 do Código IESBA relacionado com a utilização do trabalho de um especialista externo.</w:t>
      </w:r>
    </w:p>
    <w:p w14:paraId="1BDA9CE9" w14:textId="7B216C50" w:rsidR="000A48CA" w:rsidRPr="007C4247" w:rsidRDefault="000A48CA" w:rsidP="00C36D5A">
      <w:pPr>
        <w:spacing w:before="169" w:line="293" w:lineRule="auto"/>
        <w:ind w:right="357"/>
        <w:jc w:val="both"/>
        <w:rPr>
          <w:rFonts w:asciiTheme="majorHAnsi" w:hAnsiTheme="majorHAnsi" w:cstheme="majorHAnsi"/>
          <w:strike/>
        </w:rPr>
      </w:pPr>
      <w:r w:rsidRPr="007C4247">
        <w:rPr>
          <w:rFonts w:asciiTheme="majorHAnsi" w:hAnsiTheme="majorHAnsi" w:cstheme="majorHAnsi"/>
          <w:strike/>
          <w:vertAlign w:val="superscript"/>
        </w:rPr>
        <w:t>6</w:t>
      </w:r>
      <w:r w:rsidRPr="007C4247">
        <w:rPr>
          <w:rFonts w:asciiTheme="majorHAnsi" w:hAnsiTheme="majorHAnsi" w:cstheme="majorHAnsi"/>
          <w:strike/>
        </w:rPr>
        <w:t xml:space="preserve"> Ver, por exemplo, itens R390.5 e R390.12 a R390.17 do Código IESBA relacionados com a utilização do trabalho de um especialista externo.</w:t>
      </w:r>
    </w:p>
    <w:p w14:paraId="75B47D7F" w14:textId="77777777" w:rsidR="000A48CA" w:rsidRPr="007C4247" w:rsidRDefault="000A48CA" w:rsidP="00C36D5A">
      <w:pPr>
        <w:spacing w:before="169" w:line="293" w:lineRule="auto"/>
        <w:ind w:right="357"/>
        <w:jc w:val="both"/>
        <w:rPr>
          <w:rFonts w:asciiTheme="majorHAnsi" w:hAnsiTheme="majorHAnsi" w:cstheme="majorHAnsi"/>
          <w:b/>
          <w:bCs/>
        </w:rPr>
      </w:pPr>
      <w:r w:rsidRPr="007C4247">
        <w:rPr>
          <w:rFonts w:asciiTheme="majorHAnsi" w:hAnsiTheme="majorHAnsi" w:cstheme="majorHAnsi"/>
          <w:b/>
          <w:bCs/>
        </w:rPr>
        <w:t>Apêndice</w:t>
      </w:r>
    </w:p>
    <w:p w14:paraId="283F66DA" w14:textId="77777777" w:rsidR="000A48CA" w:rsidRPr="007C4247" w:rsidRDefault="000A48CA" w:rsidP="00C36D5A">
      <w:pPr>
        <w:spacing w:before="169" w:line="293" w:lineRule="auto"/>
        <w:ind w:right="357"/>
        <w:jc w:val="both"/>
        <w:rPr>
          <w:rFonts w:asciiTheme="majorHAnsi" w:hAnsiTheme="majorHAnsi" w:cstheme="majorHAnsi"/>
        </w:rPr>
      </w:pPr>
      <w:r w:rsidRPr="007C4247">
        <w:rPr>
          <w:rFonts w:asciiTheme="majorHAnsi" w:hAnsiTheme="majorHAnsi" w:cstheme="majorHAnsi"/>
        </w:rPr>
        <w:t>(ver item A25)</w:t>
      </w:r>
    </w:p>
    <w:p w14:paraId="3ABBBC5C" w14:textId="77777777" w:rsidR="000A48CA" w:rsidRPr="007C4247" w:rsidRDefault="000A48CA" w:rsidP="00C36D5A">
      <w:pPr>
        <w:spacing w:before="169" w:line="293" w:lineRule="auto"/>
        <w:ind w:right="357"/>
        <w:jc w:val="both"/>
        <w:rPr>
          <w:rFonts w:asciiTheme="majorHAnsi" w:hAnsiTheme="majorHAnsi" w:cstheme="majorHAnsi"/>
          <w:b/>
          <w:bCs/>
        </w:rPr>
      </w:pPr>
      <w:r w:rsidRPr="007C4247">
        <w:rPr>
          <w:rFonts w:asciiTheme="majorHAnsi" w:hAnsiTheme="majorHAnsi" w:cstheme="majorHAnsi"/>
          <w:b/>
          <w:bCs/>
        </w:rPr>
        <w:t>Considerações para o acordo entre o auditor e especialista externo do auditor</w:t>
      </w:r>
    </w:p>
    <w:p w14:paraId="4F35F7CD" w14:textId="77777777" w:rsidR="000A48CA" w:rsidRPr="007C4247" w:rsidRDefault="000A48CA" w:rsidP="00C36D5A">
      <w:pPr>
        <w:spacing w:before="169" w:line="293" w:lineRule="auto"/>
        <w:ind w:right="357"/>
        <w:jc w:val="both"/>
        <w:rPr>
          <w:rFonts w:asciiTheme="majorHAnsi" w:hAnsiTheme="majorHAnsi" w:cstheme="majorHAnsi"/>
        </w:rPr>
      </w:pPr>
      <w:r w:rsidRPr="007C4247">
        <w:rPr>
          <w:rFonts w:asciiTheme="majorHAnsi" w:hAnsiTheme="majorHAnsi" w:cstheme="majorHAnsi"/>
        </w:rPr>
        <w:t>…</w:t>
      </w:r>
    </w:p>
    <w:p w14:paraId="462A0704" w14:textId="281E02E5" w:rsidR="000A48CA" w:rsidRPr="007C4247" w:rsidRDefault="00EC7FEB" w:rsidP="00C36D5A">
      <w:pPr>
        <w:spacing w:before="169" w:line="293" w:lineRule="auto"/>
        <w:ind w:right="357"/>
        <w:jc w:val="both"/>
        <w:rPr>
          <w:rFonts w:asciiTheme="majorHAnsi" w:hAnsiTheme="majorHAnsi" w:cstheme="majorHAnsi"/>
          <w:b/>
          <w:bCs/>
        </w:rPr>
      </w:pPr>
      <w:r w:rsidRPr="007C4247">
        <w:rPr>
          <w:rFonts w:asciiTheme="majorHAnsi" w:hAnsiTheme="majorHAnsi" w:cstheme="majorHAnsi"/>
        </w:rPr>
        <w:t xml:space="preserve"> </w:t>
      </w:r>
      <w:r w:rsidR="000A48CA" w:rsidRPr="007C4247">
        <w:rPr>
          <w:rFonts w:asciiTheme="majorHAnsi" w:hAnsiTheme="majorHAnsi" w:cstheme="majorHAnsi"/>
          <w:b/>
          <w:bCs/>
        </w:rPr>
        <w:t>Comunicações e relatórios</w:t>
      </w:r>
    </w:p>
    <w:p w14:paraId="44208176" w14:textId="77777777" w:rsidR="000A48CA" w:rsidRPr="007C4247" w:rsidRDefault="000A48CA" w:rsidP="00C36D5A">
      <w:pPr>
        <w:spacing w:before="169" w:line="293" w:lineRule="auto"/>
        <w:ind w:right="357"/>
        <w:jc w:val="both"/>
        <w:rPr>
          <w:rFonts w:asciiTheme="majorHAnsi" w:hAnsiTheme="majorHAnsi" w:cstheme="majorHAnsi"/>
        </w:rPr>
      </w:pPr>
      <w:r w:rsidRPr="007C4247">
        <w:rPr>
          <w:rFonts w:asciiTheme="majorHAnsi" w:hAnsiTheme="majorHAnsi" w:cstheme="majorHAnsi"/>
        </w:rPr>
        <w:t>…</w:t>
      </w:r>
    </w:p>
    <w:p w14:paraId="3B8A6766" w14:textId="59F417D0" w:rsidR="000A48CA" w:rsidRPr="007C4247" w:rsidRDefault="000A48CA" w:rsidP="00C36D5A">
      <w:pPr>
        <w:spacing w:before="169" w:line="293" w:lineRule="auto"/>
        <w:ind w:right="357"/>
        <w:jc w:val="both"/>
        <w:rPr>
          <w:rFonts w:asciiTheme="majorHAnsi" w:hAnsiTheme="majorHAnsi" w:cstheme="majorHAnsi"/>
        </w:rPr>
      </w:pPr>
      <w:r w:rsidRPr="007C4247">
        <w:rPr>
          <w:rFonts w:asciiTheme="majorHAnsi" w:hAnsiTheme="majorHAnsi" w:cstheme="majorHAnsi"/>
        </w:rPr>
        <w:t>•</w:t>
      </w:r>
      <w:r w:rsidRPr="007C4247">
        <w:rPr>
          <w:rFonts w:asciiTheme="majorHAnsi" w:hAnsiTheme="majorHAnsi" w:cstheme="majorHAnsi"/>
        </w:rPr>
        <w:tab/>
      </w:r>
      <w:r w:rsidRPr="007C4247">
        <w:rPr>
          <w:rFonts w:asciiTheme="majorHAnsi" w:hAnsiTheme="majorHAnsi" w:cstheme="majorHAnsi"/>
          <w:u w:val="single"/>
        </w:rPr>
        <w:t xml:space="preserve">Se requerido pelas disposições dos requisitos éticos relevantes, a concordância do especialista externo do auditor </w:t>
      </w:r>
      <w:r w:rsidRPr="007C4247">
        <w:rPr>
          <w:rFonts w:asciiTheme="majorHAnsi" w:hAnsiTheme="majorHAnsi" w:cstheme="majorHAnsi"/>
          <w:strike/>
          <w:u w:val="single"/>
        </w:rPr>
        <w:t>de</w:t>
      </w:r>
      <w:r w:rsidRPr="007C4247">
        <w:rPr>
          <w:rFonts w:asciiTheme="majorHAnsi" w:hAnsiTheme="majorHAnsi" w:cstheme="majorHAnsi"/>
          <w:u w:val="single"/>
        </w:rPr>
        <w:t xml:space="preserve"> em fornecer as informações solicitadas por escrito com o objetivo de ajudar a avaliação do auditor sobre a objetividade desse especialista, e o compromisso de comunicar quaisquer mudanças nas informações fornecidas conforme descrito nos requisitos éticos relevantes (ver, </w:t>
      </w:r>
      <w:r w:rsidRPr="007C4247">
        <w:rPr>
          <w:rFonts w:asciiTheme="majorHAnsi" w:hAnsiTheme="majorHAnsi" w:cstheme="majorHAnsi"/>
          <w:strike/>
          <w:u w:val="single"/>
        </w:rPr>
        <w:t xml:space="preserve">por exemplo, </w:t>
      </w:r>
      <w:r w:rsidRPr="00771551">
        <w:rPr>
          <w:rFonts w:asciiTheme="majorHAnsi" w:hAnsiTheme="majorHAnsi" w:cstheme="majorHAnsi"/>
          <w:strike/>
          <w:u w:val="single"/>
        </w:rPr>
        <w:t>itens R390.5 e R390.12 a 17</w:t>
      </w:r>
      <w:r w:rsidRPr="007C4247">
        <w:rPr>
          <w:rFonts w:asciiTheme="majorHAnsi" w:hAnsiTheme="majorHAnsi" w:cstheme="majorHAnsi"/>
          <w:u w:val="single"/>
        </w:rPr>
        <w:t xml:space="preserve"> do Código IESBA</w:t>
      </w:r>
      <w:r w:rsidR="00771551">
        <w:rPr>
          <w:rFonts w:asciiTheme="majorHAnsi" w:hAnsiTheme="majorHAnsi" w:cstheme="majorHAnsi"/>
          <w:u w:val="single"/>
        </w:rPr>
        <w:t xml:space="preserve"> - </w:t>
      </w:r>
      <w:r w:rsidRPr="007C4247">
        <w:rPr>
          <w:rFonts w:asciiTheme="majorHAnsi" w:hAnsiTheme="majorHAnsi" w:cstheme="majorHAnsi"/>
          <w:u w:val="single"/>
        </w:rPr>
        <w:t>Código de Ética Profissional do Contador).</w:t>
      </w:r>
    </w:p>
    <w:p w14:paraId="47AD7C23" w14:textId="77777777" w:rsidR="000A48CA" w:rsidRPr="007C4247" w:rsidRDefault="000A48CA" w:rsidP="00C36D5A">
      <w:pPr>
        <w:spacing w:before="169" w:line="293" w:lineRule="auto"/>
        <w:ind w:right="357"/>
        <w:jc w:val="both"/>
        <w:rPr>
          <w:rFonts w:asciiTheme="majorHAnsi" w:hAnsiTheme="majorHAnsi" w:cstheme="majorHAnsi"/>
        </w:rPr>
      </w:pPr>
      <w:r w:rsidRPr="007C4247">
        <w:rPr>
          <w:rFonts w:asciiTheme="majorHAnsi" w:hAnsiTheme="majorHAnsi" w:cstheme="majorHAnsi"/>
        </w:rPr>
        <w:lastRenderedPageBreak/>
        <w:t>•</w:t>
      </w:r>
      <w:r w:rsidRPr="007C4247">
        <w:rPr>
          <w:rFonts w:asciiTheme="majorHAnsi" w:hAnsiTheme="majorHAnsi" w:cstheme="majorHAnsi"/>
        </w:rPr>
        <w:tab/>
        <w:t xml:space="preserve">A responsabilidade do especialista externo do auditor de comunicar circunstâncias que podem criar ameaças à objetividade desse especialista, </w:t>
      </w:r>
      <w:r w:rsidRPr="007C4247">
        <w:rPr>
          <w:rFonts w:asciiTheme="majorHAnsi" w:hAnsiTheme="majorHAnsi" w:cstheme="majorHAnsi"/>
          <w:u w:val="single"/>
        </w:rPr>
        <w:t>incluindo quaisquer mudanças nessas circunstâncias</w:t>
      </w:r>
      <w:r w:rsidRPr="007C4247">
        <w:rPr>
          <w:rFonts w:asciiTheme="majorHAnsi" w:hAnsiTheme="majorHAnsi" w:cstheme="majorHAnsi"/>
        </w:rPr>
        <w:t xml:space="preserve">, e quaisquer </w:t>
      </w:r>
      <w:r w:rsidRPr="007C4247">
        <w:rPr>
          <w:rFonts w:asciiTheme="majorHAnsi" w:hAnsiTheme="majorHAnsi" w:cstheme="majorHAnsi"/>
          <w:strike/>
        </w:rPr>
        <w:t>salvaguardas</w:t>
      </w:r>
      <w:r w:rsidRPr="007C4247">
        <w:rPr>
          <w:rFonts w:asciiTheme="majorHAnsi" w:hAnsiTheme="majorHAnsi" w:cstheme="majorHAnsi"/>
        </w:rPr>
        <w:t xml:space="preserve"> </w:t>
      </w:r>
      <w:r w:rsidRPr="007C4247">
        <w:rPr>
          <w:rFonts w:asciiTheme="majorHAnsi" w:hAnsiTheme="majorHAnsi" w:cstheme="majorHAnsi"/>
          <w:u w:val="single"/>
        </w:rPr>
        <w:t>ações</w:t>
      </w:r>
      <w:r w:rsidRPr="007C4247">
        <w:rPr>
          <w:rFonts w:asciiTheme="majorHAnsi" w:hAnsiTheme="majorHAnsi" w:cstheme="majorHAnsi"/>
        </w:rPr>
        <w:t xml:space="preserve"> relevantes que podem eliminar </w:t>
      </w:r>
      <w:r w:rsidRPr="007C4247">
        <w:rPr>
          <w:rFonts w:asciiTheme="majorHAnsi" w:hAnsiTheme="majorHAnsi" w:cstheme="majorHAnsi"/>
          <w:u w:val="single"/>
        </w:rPr>
        <w:t>essas ameaças</w:t>
      </w:r>
      <w:r w:rsidRPr="007C4247">
        <w:rPr>
          <w:rFonts w:asciiTheme="majorHAnsi" w:hAnsiTheme="majorHAnsi" w:cstheme="majorHAnsi"/>
        </w:rPr>
        <w:t xml:space="preserve">, ou </w:t>
      </w:r>
      <w:r w:rsidRPr="007C4247">
        <w:rPr>
          <w:rFonts w:asciiTheme="majorHAnsi" w:hAnsiTheme="majorHAnsi" w:cstheme="majorHAnsi"/>
          <w:u w:val="single"/>
        </w:rPr>
        <w:t>salvaguardas que podem</w:t>
      </w:r>
      <w:r w:rsidRPr="007C4247">
        <w:rPr>
          <w:rFonts w:asciiTheme="majorHAnsi" w:hAnsiTheme="majorHAnsi" w:cstheme="majorHAnsi"/>
        </w:rPr>
        <w:t xml:space="preserve"> reduzir essas ameaças a um nível aceitável.</w:t>
      </w:r>
    </w:p>
    <w:p w14:paraId="1A52C158" w14:textId="7CCDEF06" w:rsidR="007C1981" w:rsidRDefault="007C1981" w:rsidP="007C1981">
      <w:pPr>
        <w:spacing w:before="169" w:line="293" w:lineRule="auto"/>
        <w:ind w:right="357"/>
        <w:jc w:val="right"/>
        <w:rPr>
          <w:rFonts w:asciiTheme="majorHAnsi" w:hAnsiTheme="majorHAnsi" w:cstheme="majorHAnsi"/>
        </w:rPr>
      </w:pPr>
      <w:r w:rsidRPr="007C4247">
        <w:rPr>
          <w:rFonts w:asciiTheme="majorHAnsi" w:hAnsiTheme="majorHAnsi" w:cstheme="majorHAnsi"/>
        </w:rPr>
        <w:t xml:space="preserve">Brasília, </w:t>
      </w:r>
      <w:r w:rsidR="00F52BE1" w:rsidRPr="007C4247">
        <w:rPr>
          <w:rFonts w:asciiTheme="majorHAnsi" w:hAnsiTheme="majorHAnsi" w:cstheme="majorHAnsi"/>
        </w:rPr>
        <w:t>09</w:t>
      </w:r>
      <w:r w:rsidR="00FB784F" w:rsidRPr="007C4247">
        <w:rPr>
          <w:rFonts w:asciiTheme="majorHAnsi" w:hAnsiTheme="majorHAnsi" w:cstheme="majorHAnsi"/>
        </w:rPr>
        <w:t xml:space="preserve"> de </w:t>
      </w:r>
      <w:r w:rsidR="00F52BE1" w:rsidRPr="007C4247">
        <w:rPr>
          <w:rFonts w:asciiTheme="majorHAnsi" w:hAnsiTheme="majorHAnsi" w:cstheme="majorHAnsi"/>
        </w:rPr>
        <w:t>outu</w:t>
      </w:r>
      <w:r w:rsidR="00FB784F" w:rsidRPr="007C4247">
        <w:rPr>
          <w:rFonts w:asciiTheme="majorHAnsi" w:hAnsiTheme="majorHAnsi" w:cstheme="majorHAnsi"/>
        </w:rPr>
        <w:t>bro</w:t>
      </w:r>
      <w:r w:rsidRPr="007C4247">
        <w:rPr>
          <w:rFonts w:asciiTheme="majorHAnsi" w:hAnsiTheme="majorHAnsi" w:cstheme="majorHAnsi"/>
        </w:rPr>
        <w:t xml:space="preserve"> de 2026.</w:t>
      </w:r>
    </w:p>
    <w:p w14:paraId="64402EE9" w14:textId="77777777" w:rsidR="00AA692A" w:rsidRPr="007C4247" w:rsidRDefault="00AA692A" w:rsidP="007C1981">
      <w:pPr>
        <w:spacing w:before="169" w:line="293" w:lineRule="auto"/>
        <w:ind w:right="357"/>
        <w:jc w:val="right"/>
        <w:rPr>
          <w:rFonts w:asciiTheme="majorHAnsi" w:hAnsiTheme="majorHAnsi" w:cstheme="majorHAnsi"/>
        </w:rPr>
      </w:pPr>
    </w:p>
    <w:p w14:paraId="49B75999" w14:textId="77777777" w:rsidR="007C1981" w:rsidRPr="007C4247" w:rsidRDefault="007C1981" w:rsidP="007C1981">
      <w:pPr>
        <w:spacing w:before="169" w:line="293" w:lineRule="auto"/>
        <w:ind w:right="357"/>
        <w:jc w:val="center"/>
        <w:rPr>
          <w:rFonts w:asciiTheme="majorHAnsi" w:hAnsiTheme="majorHAnsi" w:cstheme="majorHAnsi"/>
        </w:rPr>
      </w:pPr>
      <w:r w:rsidRPr="007C4247">
        <w:rPr>
          <w:rFonts w:asciiTheme="majorHAnsi" w:hAnsiTheme="majorHAnsi" w:cstheme="majorHAnsi"/>
        </w:rPr>
        <w:t xml:space="preserve">CONTADOR JOAQUIM DE ALENCAR BEZERRA FILHO </w:t>
      </w:r>
    </w:p>
    <w:p w14:paraId="36D60B65" w14:textId="262A8EDC" w:rsidR="007C1981" w:rsidRPr="007C4247" w:rsidRDefault="007C1981" w:rsidP="007C1981">
      <w:pPr>
        <w:spacing w:before="169" w:line="293" w:lineRule="auto"/>
        <w:ind w:right="357"/>
        <w:jc w:val="center"/>
        <w:rPr>
          <w:rFonts w:asciiTheme="majorHAnsi" w:hAnsiTheme="majorHAnsi" w:cstheme="majorHAnsi"/>
        </w:rPr>
      </w:pPr>
      <w:r w:rsidRPr="007C4247">
        <w:rPr>
          <w:rFonts w:asciiTheme="majorHAnsi" w:hAnsiTheme="majorHAnsi" w:cstheme="majorHAnsi"/>
        </w:rPr>
        <w:t>Presidente</w:t>
      </w:r>
    </w:p>
    <w:p w14:paraId="53E8E5E0" w14:textId="77777777" w:rsidR="007C1981" w:rsidRPr="007C4247" w:rsidRDefault="007C1981" w:rsidP="007C1981">
      <w:pPr>
        <w:spacing w:before="169" w:line="293" w:lineRule="auto"/>
        <w:ind w:right="357"/>
        <w:rPr>
          <w:rFonts w:asciiTheme="majorHAnsi" w:hAnsiTheme="majorHAnsi" w:cstheme="majorHAnsi"/>
        </w:rPr>
      </w:pPr>
    </w:p>
    <w:p w14:paraId="6DF0CEA4" w14:textId="31DCE06C" w:rsidR="007C1981" w:rsidRPr="007C4247" w:rsidRDefault="007C1981" w:rsidP="007C1981">
      <w:pPr>
        <w:spacing w:before="169" w:line="293" w:lineRule="auto"/>
        <w:ind w:right="357"/>
        <w:rPr>
          <w:rFonts w:asciiTheme="majorHAnsi" w:hAnsiTheme="majorHAnsi" w:cstheme="majorHAnsi"/>
        </w:rPr>
      </w:pPr>
      <w:r w:rsidRPr="007C4247">
        <w:rPr>
          <w:rFonts w:asciiTheme="majorHAnsi" w:hAnsiTheme="majorHAnsi" w:cstheme="majorHAnsi"/>
        </w:rPr>
        <w:t>Ata CFC nº 1.13</w:t>
      </w:r>
      <w:r w:rsidR="009A54D2" w:rsidRPr="007C4247">
        <w:rPr>
          <w:rFonts w:asciiTheme="majorHAnsi" w:hAnsiTheme="majorHAnsi" w:cstheme="majorHAnsi"/>
        </w:rPr>
        <w:t>7</w:t>
      </w:r>
      <w:r w:rsidRPr="007C4247">
        <w:rPr>
          <w:rFonts w:asciiTheme="majorHAnsi" w:hAnsiTheme="majorHAnsi" w:cstheme="majorHAnsi"/>
        </w:rPr>
        <w:t>/2026</w:t>
      </w:r>
    </w:p>
    <w:sectPr w:rsidR="007C1981" w:rsidRPr="007C4247" w:rsidSect="0022322B">
      <w:headerReference w:type="default" r:id="rId8"/>
      <w:footerReference w:type="even" r:id="rId9"/>
      <w:footerReference w:type="default" r:id="rId10"/>
      <w:headerReference w:type="first" r:id="rId11"/>
      <w:footerReference w:type="first" r:id="rId12"/>
      <w:pgSz w:w="11907" w:h="16840" w:code="9"/>
      <w:pgMar w:top="2835" w:right="567" w:bottom="1418" w:left="1134" w:header="0" w:footer="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1B380D" w14:textId="77777777" w:rsidR="004248BD" w:rsidRDefault="004248BD">
      <w:r>
        <w:separator/>
      </w:r>
    </w:p>
  </w:endnote>
  <w:endnote w:type="continuationSeparator" w:id="0">
    <w:p w14:paraId="7A8507E4" w14:textId="77777777" w:rsidR="004248BD" w:rsidRDefault="004248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MT">
    <w:altName w:val="Arial"/>
    <w:charset w:val="01"/>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402DB" w14:textId="77777777" w:rsidR="006269B5" w:rsidRDefault="006269B5">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48EE403C" w14:textId="77777777" w:rsidR="006269B5" w:rsidRDefault="006269B5">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4E32" w14:textId="77777777" w:rsidR="005D395C" w:rsidRDefault="001E5248" w:rsidP="0086559C">
    <w:pPr>
      <w:pStyle w:val="Rodap"/>
      <w:spacing w:after="0"/>
      <w:jc w:val="center"/>
      <w:rPr>
        <w:rFonts w:asciiTheme="majorHAnsi" w:hAnsiTheme="majorHAnsi" w:cstheme="majorHAnsi"/>
        <w:color w:val="1D2644"/>
        <w:sz w:val="16"/>
      </w:rPr>
    </w:pPr>
    <w:r>
      <w:rPr>
        <w:noProof/>
      </w:rPr>
      <mc:AlternateContent>
        <mc:Choice Requires="wps">
          <w:drawing>
            <wp:anchor distT="0" distB="0" distL="114300" distR="114300" simplePos="0" relativeHeight="251679232" behindDoc="0" locked="0" layoutInCell="1" allowOverlap="1" wp14:anchorId="49DB2B54" wp14:editId="781A1D4A">
              <wp:simplePos x="0" y="0"/>
              <wp:positionH relativeFrom="margin">
                <wp:posOffset>0</wp:posOffset>
              </wp:positionH>
              <wp:positionV relativeFrom="paragraph">
                <wp:posOffset>-635</wp:posOffset>
              </wp:positionV>
              <wp:extent cx="6454140" cy="22860"/>
              <wp:effectExtent l="0" t="0" r="22860" b="34290"/>
              <wp:wrapNone/>
              <wp:docPr id="2" name="Conector reto 2"/>
              <wp:cNvGraphicFramePr/>
              <a:graphic xmlns:a="http://schemas.openxmlformats.org/drawingml/2006/main">
                <a:graphicData uri="http://schemas.microsoft.com/office/word/2010/wordprocessingShape">
                  <wps:wsp>
                    <wps:cNvCnPr/>
                    <wps:spPr>
                      <a:xfrm flipV="1">
                        <a:off x="0" y="0"/>
                        <a:ext cx="6454140" cy="22860"/>
                      </a:xfrm>
                      <a:prstGeom prst="line">
                        <a:avLst/>
                      </a:prstGeom>
                      <a:ln>
                        <a:solidFill>
                          <a:schemeClr val="tx2">
                            <a:lumMod val="50000"/>
                          </a:schemeClr>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EF30FB2" id="Conector reto 2" o:spid="_x0000_s1026" style="position:absolute;flip:y;z-index:251679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5pt" to="508.2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" strokecolor="#0f243e [1615]">
              <w10:wrap anchorx="margin"/>
            </v:line>
          </w:pict>
        </mc:Fallback>
      </mc:AlternateContent>
    </w:r>
  </w:p>
  <w:p w14:paraId="79438218" w14:textId="77777777" w:rsidR="005D395C" w:rsidRPr="005A0077" w:rsidRDefault="005D395C" w:rsidP="0086559C">
    <w:pPr>
      <w:pStyle w:val="Rodap"/>
      <w:spacing w:after="0"/>
      <w:jc w:val="center"/>
      <w:rPr>
        <w:rFonts w:asciiTheme="majorHAnsi" w:hAnsiTheme="majorHAnsi" w:cstheme="majorHAnsi"/>
        <w:color w:val="1D2644"/>
        <w:sz w:val="16"/>
      </w:rPr>
    </w:pPr>
    <w:r w:rsidRPr="005A0077">
      <w:rPr>
        <w:rFonts w:asciiTheme="majorHAnsi" w:hAnsiTheme="majorHAnsi" w:cstheme="majorHAnsi"/>
        <w:color w:val="1D2644"/>
        <w:sz w:val="16"/>
      </w:rPr>
      <w:t>SAUS – Quadra 5 – Lote 3 – Bloco J – Edifício CFC</w:t>
    </w:r>
  </w:p>
  <w:p w14:paraId="2DE2B9D2" w14:textId="77777777" w:rsidR="005D395C" w:rsidRPr="005A0077" w:rsidRDefault="005D395C" w:rsidP="0086559C">
    <w:pPr>
      <w:pStyle w:val="Rodap"/>
      <w:spacing w:after="0"/>
      <w:jc w:val="center"/>
      <w:rPr>
        <w:rFonts w:asciiTheme="majorHAnsi" w:hAnsiTheme="majorHAnsi" w:cstheme="majorHAnsi"/>
        <w:color w:val="1D2644"/>
        <w:sz w:val="16"/>
      </w:rPr>
    </w:pPr>
    <w:r w:rsidRPr="005A0077">
      <w:rPr>
        <w:rFonts w:asciiTheme="majorHAnsi" w:hAnsiTheme="majorHAnsi" w:cstheme="majorHAnsi"/>
        <w:color w:val="1D2644"/>
        <w:sz w:val="16"/>
      </w:rPr>
      <w:t>Telefone: (61) 3314-9600 – CEP: 70070-920 – Brasília/DF</w:t>
    </w:r>
  </w:p>
  <w:p w14:paraId="6DFF84BA" w14:textId="77777777" w:rsidR="005D395C" w:rsidRPr="005A0077" w:rsidRDefault="005D395C" w:rsidP="006C2B51">
    <w:pPr>
      <w:pStyle w:val="Rodap"/>
      <w:spacing w:after="100"/>
      <w:jc w:val="center"/>
      <w:rPr>
        <w:rFonts w:asciiTheme="majorHAnsi" w:hAnsiTheme="majorHAnsi" w:cstheme="majorHAnsi"/>
        <w:color w:val="1D2644"/>
      </w:rPr>
    </w:pPr>
    <w:r w:rsidRPr="005A0077">
      <w:rPr>
        <w:rFonts w:asciiTheme="majorHAnsi" w:hAnsiTheme="majorHAnsi" w:cstheme="majorHAnsi"/>
        <w:color w:val="1D2644"/>
        <w:sz w:val="16"/>
      </w:rPr>
      <w:t>cfc@cfc.org.br – www.cfc.org.br</w:t>
    </w:r>
  </w:p>
  <w:sdt>
    <w:sdtPr>
      <w:id w:val="1386671364"/>
      <w:docPartObj>
        <w:docPartGallery w:val="Page Numbers (Bottom of Page)"/>
        <w:docPartUnique/>
      </w:docPartObj>
    </w:sdtPr>
    <w:sdtEndPr/>
    <w:sdtContent>
      <w:p w14:paraId="7E93D2CC" w14:textId="77777777" w:rsidR="00857A2D" w:rsidRDefault="00BF5A40" w:rsidP="00857A2D">
        <w:pPr>
          <w:pStyle w:val="Rodap"/>
          <w:jc w:val="center"/>
        </w:pPr>
        <w:r>
          <w:rPr>
            <w:noProof/>
          </w:rPr>
          <w:drawing>
            <wp:anchor distT="0" distB="0" distL="114300" distR="114300" simplePos="0" relativeHeight="251701760" behindDoc="1" locked="0" layoutInCell="1" allowOverlap="1" wp14:anchorId="1CE28FAE" wp14:editId="3AAEB9FD">
              <wp:simplePos x="0" y="0"/>
              <wp:positionH relativeFrom="margin">
                <wp:align>center</wp:align>
              </wp:positionH>
              <wp:positionV relativeFrom="paragraph">
                <wp:posOffset>391886</wp:posOffset>
              </wp:positionV>
              <wp:extent cx="8948420" cy="123823"/>
              <wp:effectExtent l="0" t="0" r="0" b="0"/>
              <wp:wrapNone/>
              <wp:docPr id="1228230787"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722157" name=""/>
                      <pic:cNvPicPr/>
                    </pic:nvPicPr>
                    <pic:blipFill>
                      <a:blip r:embed="rId1">
                        <a:extLst>
                          <a:ext uri="{96DAC541-7B7A-43D3-8B79-37D633B846F1}">
                            <asvg:svgBlip xmlns:asvg="http://schemas.microsoft.com/office/drawing/2016/SVG/main" r:embed="rId2"/>
                          </a:ext>
                        </a:extLst>
                      </a:blip>
                      <a:stretch>
                        <a:fillRect/>
                      </a:stretch>
                    </pic:blipFill>
                    <pic:spPr>
                      <a:xfrm>
                        <a:off x="0" y="0"/>
                        <a:ext cx="8948420" cy="123823"/>
                      </a:xfrm>
                      <a:prstGeom prst="rect">
                        <a:avLst/>
                      </a:prstGeom>
                    </pic:spPr>
                  </pic:pic>
                </a:graphicData>
              </a:graphic>
              <wp14:sizeRelH relativeFrom="page">
                <wp14:pctWidth>0</wp14:pctWidth>
              </wp14:sizeRelH>
              <wp14:sizeRelV relativeFrom="page">
                <wp14:pctHeight>0</wp14:pctHeight>
              </wp14:sizeRelV>
            </wp:anchor>
          </w:drawing>
        </w:r>
        <w:r w:rsidR="00857A2D">
          <w:fldChar w:fldCharType="begin"/>
        </w:r>
        <w:r w:rsidR="00857A2D">
          <w:instrText>PAGE   \* MERGEFORMAT</w:instrText>
        </w:r>
        <w:r w:rsidR="00857A2D">
          <w:fldChar w:fldCharType="separate"/>
        </w:r>
        <w:r w:rsidR="00857A2D">
          <w:t>2</w:t>
        </w:r>
        <w:r w:rsidR="00857A2D">
          <w:fldChar w:fldCharType="end"/>
        </w:r>
      </w:p>
    </w:sdtContent>
  </w:sdt>
  <w:p w14:paraId="080AC670" w14:textId="77777777" w:rsidR="005D395C" w:rsidRPr="005D395C" w:rsidRDefault="005D395C" w:rsidP="0086559C">
    <w:pPr>
      <w:pStyle w:val="Rodap"/>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D0478" w14:textId="77777777" w:rsidR="005D7DA5" w:rsidRDefault="005D7DA5" w:rsidP="00604561">
    <w:pPr>
      <w:pStyle w:val="Rodap"/>
      <w:spacing w:after="0"/>
      <w:jc w:val="center"/>
      <w:rPr>
        <w:rFonts w:asciiTheme="majorHAnsi" w:hAnsiTheme="majorHAnsi" w:cstheme="majorHAnsi"/>
        <w:color w:val="1D2644"/>
        <w:sz w:val="16"/>
      </w:rPr>
    </w:pPr>
  </w:p>
  <w:p w14:paraId="499131C1" w14:textId="77777777" w:rsidR="00690FCD" w:rsidRDefault="00604561" w:rsidP="00604561">
    <w:pPr>
      <w:pStyle w:val="Rodap"/>
      <w:spacing w:after="0"/>
      <w:jc w:val="center"/>
      <w:rPr>
        <w:rFonts w:asciiTheme="majorHAnsi" w:hAnsiTheme="majorHAnsi" w:cstheme="majorHAnsi"/>
        <w:color w:val="1D2644"/>
        <w:sz w:val="16"/>
      </w:rPr>
    </w:pPr>
    <w:r>
      <w:rPr>
        <w:noProof/>
      </w:rPr>
      <mc:AlternateContent>
        <mc:Choice Requires="wps">
          <w:drawing>
            <wp:anchor distT="0" distB="0" distL="114300" distR="114300" simplePos="0" relativeHeight="251703808" behindDoc="0" locked="0" layoutInCell="1" allowOverlap="1" wp14:anchorId="55E99CD9" wp14:editId="7E3314DC">
              <wp:simplePos x="0" y="0"/>
              <wp:positionH relativeFrom="margin">
                <wp:posOffset>0</wp:posOffset>
              </wp:positionH>
              <wp:positionV relativeFrom="paragraph">
                <wp:posOffset>-635</wp:posOffset>
              </wp:positionV>
              <wp:extent cx="6454140" cy="22860"/>
              <wp:effectExtent l="0" t="0" r="22860" b="34290"/>
              <wp:wrapNone/>
              <wp:docPr id="2116333292" name="Conector reto 2116333292"/>
              <wp:cNvGraphicFramePr/>
              <a:graphic xmlns:a="http://schemas.openxmlformats.org/drawingml/2006/main">
                <a:graphicData uri="http://schemas.microsoft.com/office/word/2010/wordprocessingShape">
                  <wps:wsp>
                    <wps:cNvCnPr/>
                    <wps:spPr>
                      <a:xfrm flipV="1">
                        <a:off x="0" y="0"/>
                        <a:ext cx="6454140" cy="22860"/>
                      </a:xfrm>
                      <a:prstGeom prst="line">
                        <a:avLst/>
                      </a:prstGeom>
                      <a:ln>
                        <a:solidFill>
                          <a:schemeClr val="tx2">
                            <a:lumMod val="50000"/>
                          </a:schemeClr>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FF2732" id="Conector reto 2116333292" o:spid="_x0000_s1026" style="position:absolute;flip:y;z-index:251703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5pt" to="508.2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" strokecolor="#0f243e [1615]">
              <w10:wrap anchorx="margin"/>
            </v:line>
          </w:pict>
        </mc:Fallback>
      </mc:AlternateContent>
    </w:r>
  </w:p>
  <w:p w14:paraId="622EA1DC" w14:textId="77777777" w:rsidR="00604561" w:rsidRPr="005A0077" w:rsidRDefault="00604561" w:rsidP="00604561">
    <w:pPr>
      <w:pStyle w:val="Rodap"/>
      <w:spacing w:after="0"/>
      <w:jc w:val="center"/>
      <w:rPr>
        <w:rFonts w:asciiTheme="majorHAnsi" w:hAnsiTheme="majorHAnsi" w:cstheme="majorHAnsi"/>
        <w:color w:val="1D2644"/>
        <w:sz w:val="16"/>
      </w:rPr>
    </w:pPr>
    <w:r w:rsidRPr="005A0077">
      <w:rPr>
        <w:rFonts w:asciiTheme="majorHAnsi" w:hAnsiTheme="majorHAnsi" w:cstheme="majorHAnsi"/>
        <w:color w:val="1D2644"/>
        <w:sz w:val="16"/>
      </w:rPr>
      <w:t>SAUS – Quadra 5 – Lote 3 – Bloco J – Edifício CFC</w:t>
    </w:r>
  </w:p>
  <w:p w14:paraId="32047294" w14:textId="77777777" w:rsidR="00604561" w:rsidRPr="005A0077" w:rsidRDefault="00604561" w:rsidP="00604561">
    <w:pPr>
      <w:pStyle w:val="Rodap"/>
      <w:spacing w:after="0"/>
      <w:jc w:val="center"/>
      <w:rPr>
        <w:rFonts w:asciiTheme="majorHAnsi" w:hAnsiTheme="majorHAnsi" w:cstheme="majorHAnsi"/>
        <w:color w:val="1D2644"/>
        <w:sz w:val="16"/>
      </w:rPr>
    </w:pPr>
    <w:r w:rsidRPr="005A0077">
      <w:rPr>
        <w:rFonts w:asciiTheme="majorHAnsi" w:hAnsiTheme="majorHAnsi" w:cstheme="majorHAnsi"/>
        <w:color w:val="1D2644"/>
        <w:sz w:val="16"/>
      </w:rPr>
      <w:t>Telefone: (61) 3314-9600 – CEP: 70070-920 – Brasília/DF</w:t>
    </w:r>
  </w:p>
  <w:p w14:paraId="6FAC62B1" w14:textId="77777777" w:rsidR="00604561" w:rsidRPr="005A0077" w:rsidRDefault="00604561" w:rsidP="00604561">
    <w:pPr>
      <w:pStyle w:val="Rodap"/>
      <w:spacing w:after="100"/>
      <w:jc w:val="center"/>
      <w:rPr>
        <w:rFonts w:asciiTheme="majorHAnsi" w:hAnsiTheme="majorHAnsi" w:cstheme="majorHAnsi"/>
        <w:color w:val="1D2644"/>
      </w:rPr>
    </w:pPr>
    <w:r w:rsidRPr="005A0077">
      <w:rPr>
        <w:rFonts w:asciiTheme="majorHAnsi" w:hAnsiTheme="majorHAnsi" w:cstheme="majorHAnsi"/>
        <w:color w:val="1D2644"/>
        <w:sz w:val="16"/>
      </w:rPr>
      <w:t>cfc@cfc.org.br – www.cfc.org.br</w:t>
    </w:r>
  </w:p>
  <w:sdt>
    <w:sdtPr>
      <w:id w:val="-513993113"/>
      <w:docPartObj>
        <w:docPartGallery w:val="Page Numbers (Bottom of Page)"/>
        <w:docPartUnique/>
      </w:docPartObj>
    </w:sdtPr>
    <w:sdtEndPr/>
    <w:sdtContent>
      <w:p w14:paraId="435312B7" w14:textId="77777777" w:rsidR="00604561" w:rsidRDefault="00604561" w:rsidP="00604561">
        <w:pPr>
          <w:pStyle w:val="Rodap"/>
          <w:jc w:val="center"/>
        </w:pPr>
        <w:r>
          <w:rPr>
            <w:noProof/>
          </w:rPr>
          <w:drawing>
            <wp:anchor distT="0" distB="0" distL="114300" distR="114300" simplePos="0" relativeHeight="251704832" behindDoc="1" locked="0" layoutInCell="1" allowOverlap="1" wp14:anchorId="08B42892" wp14:editId="02852B34">
              <wp:simplePos x="0" y="0"/>
              <wp:positionH relativeFrom="margin">
                <wp:align>center</wp:align>
              </wp:positionH>
              <wp:positionV relativeFrom="paragraph">
                <wp:posOffset>391886</wp:posOffset>
              </wp:positionV>
              <wp:extent cx="8948420" cy="123823"/>
              <wp:effectExtent l="0" t="0" r="0" b="0"/>
              <wp:wrapNone/>
              <wp:docPr id="751956889"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722157" name=""/>
                      <pic:cNvPicPr/>
                    </pic:nvPicPr>
                    <pic:blipFill>
                      <a:blip r:embed="rId1">
                        <a:extLst>
                          <a:ext uri="{96DAC541-7B7A-43D3-8B79-37D633B846F1}">
                            <asvg:svgBlip xmlns:asvg="http://schemas.microsoft.com/office/drawing/2016/SVG/main" r:embed="rId2"/>
                          </a:ext>
                        </a:extLst>
                      </a:blip>
                      <a:stretch>
                        <a:fillRect/>
                      </a:stretch>
                    </pic:blipFill>
                    <pic:spPr>
                      <a:xfrm>
                        <a:off x="0" y="0"/>
                        <a:ext cx="8948420" cy="123823"/>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t>2</w:t>
        </w:r>
        <w:r>
          <w:fldChar w:fldCharType="end"/>
        </w:r>
      </w:p>
    </w:sdtContent>
  </w:sdt>
  <w:p w14:paraId="6501DE67" w14:textId="77777777" w:rsidR="00857A2D" w:rsidRDefault="00857A2D">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A00A44" w14:textId="77777777" w:rsidR="004248BD" w:rsidRDefault="004248BD">
      <w:r>
        <w:separator/>
      </w:r>
    </w:p>
  </w:footnote>
  <w:footnote w:type="continuationSeparator" w:id="0">
    <w:p w14:paraId="27FFDFE6" w14:textId="77777777" w:rsidR="004248BD" w:rsidRDefault="004248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12BAE" w14:textId="77777777" w:rsidR="00D177CB" w:rsidRPr="00DA209E" w:rsidRDefault="008774FC" w:rsidP="008A06AC">
    <w:pPr>
      <w:pStyle w:val="Cabealho"/>
      <w:widowControl w:val="0"/>
      <w:tabs>
        <w:tab w:val="clear" w:pos="4419"/>
        <w:tab w:val="clear" w:pos="8838"/>
        <w:tab w:val="center" w:pos="4677"/>
      </w:tabs>
      <w:spacing w:after="0"/>
      <w:jc w:val="center"/>
      <w:rPr>
        <w:noProof/>
        <w:color w:val="112143"/>
        <w:sz w:val="16"/>
        <w:szCs w:val="16"/>
      </w:rPr>
    </w:pPr>
    <w:r>
      <w:rPr>
        <w:noProof/>
      </w:rPr>
      <w:drawing>
        <wp:anchor distT="0" distB="0" distL="114300" distR="114300" simplePos="0" relativeHeight="251678207" behindDoc="1" locked="0" layoutInCell="1" allowOverlap="1" wp14:anchorId="31974353" wp14:editId="12FE8904">
          <wp:simplePos x="0" y="0"/>
          <wp:positionH relativeFrom="margin">
            <wp:posOffset>-701040</wp:posOffset>
          </wp:positionH>
          <wp:positionV relativeFrom="paragraph">
            <wp:posOffset>-9525</wp:posOffset>
          </wp:positionV>
          <wp:extent cx="7816162" cy="1484413"/>
          <wp:effectExtent l="0" t="0" r="0" b="0"/>
          <wp:wrapNone/>
          <wp:docPr id="1304774171"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313092" name="Imagem 6"/>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816162" cy="1484413"/>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4AF7C" w14:textId="77777777" w:rsidR="00857A2D" w:rsidRDefault="00F06D7D">
    <w:pPr>
      <w:pStyle w:val="Cabealho"/>
    </w:pPr>
    <w:r>
      <w:rPr>
        <w:noProof/>
      </w:rPr>
      <w:drawing>
        <wp:anchor distT="0" distB="0" distL="114300" distR="114300" simplePos="0" relativeHeight="251692544" behindDoc="1" locked="0" layoutInCell="1" allowOverlap="1" wp14:anchorId="5C21E617" wp14:editId="1B84EFA0">
          <wp:simplePos x="0" y="0"/>
          <wp:positionH relativeFrom="page">
            <wp:posOffset>19050</wp:posOffset>
          </wp:positionH>
          <wp:positionV relativeFrom="paragraph">
            <wp:posOffset>0</wp:posOffset>
          </wp:positionV>
          <wp:extent cx="7523058" cy="1428748"/>
          <wp:effectExtent l="0" t="0" r="1905" b="0"/>
          <wp:wrapNone/>
          <wp:docPr id="1391604398"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682067" name="Imagem 6"/>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23058" cy="1428748"/>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D3A8B2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1B4DBD"/>
    <w:multiLevelType w:val="hybridMultilevel"/>
    <w:tmpl w:val="036E0A6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B1A10FD"/>
    <w:multiLevelType w:val="hybridMultilevel"/>
    <w:tmpl w:val="251E7174"/>
    <w:lvl w:ilvl="0" w:tplc="FFFFFFFF">
      <w:start w:val="1"/>
      <w:numFmt w:val="lowerLetter"/>
      <w:lvlText w:val="(%1)"/>
      <w:lvlJc w:val="left"/>
      <w:pPr>
        <w:ind w:left="626" w:hanging="567"/>
      </w:pPr>
      <w:rPr>
        <w:rFonts w:ascii="Arial" w:eastAsia="Times New Roman" w:hAnsi="Arial" w:cs="Arial" w:hint="default"/>
        <w:w w:val="94"/>
        <w:sz w:val="22"/>
        <w:szCs w:val="22"/>
        <w:lang w:val="en-US" w:eastAsia="en-US" w:bidi="ar-SA"/>
      </w:rPr>
    </w:lvl>
    <w:lvl w:ilvl="1" w:tplc="FFFFFFFF">
      <w:start w:val="1"/>
      <w:numFmt w:val="lowerRoman"/>
      <w:lvlText w:val="(%2)"/>
      <w:lvlJc w:val="left"/>
      <w:pPr>
        <w:ind w:left="1193" w:hanging="567"/>
      </w:pPr>
      <w:rPr>
        <w:rFonts w:ascii="Arial" w:eastAsia="Times New Roman" w:hAnsi="Arial" w:cs="Arial" w:hint="default"/>
        <w:w w:val="89"/>
        <w:sz w:val="22"/>
        <w:szCs w:val="22"/>
        <w:lang w:val="en-US" w:eastAsia="en-US" w:bidi="ar-SA"/>
      </w:rPr>
    </w:lvl>
    <w:lvl w:ilvl="2" w:tplc="FFFFFFFF">
      <w:numFmt w:val="bullet"/>
      <w:lvlText w:val="•"/>
      <w:lvlJc w:val="left"/>
      <w:pPr>
        <w:ind w:left="1834" w:hanging="567"/>
      </w:pPr>
      <w:rPr>
        <w:lang w:val="en-US" w:eastAsia="en-US" w:bidi="ar-SA"/>
      </w:rPr>
    </w:lvl>
    <w:lvl w:ilvl="3" w:tplc="FFFFFFFF">
      <w:numFmt w:val="bullet"/>
      <w:lvlText w:val="•"/>
      <w:lvlJc w:val="left"/>
      <w:pPr>
        <w:ind w:left="2468" w:hanging="567"/>
      </w:pPr>
      <w:rPr>
        <w:lang w:val="en-US" w:eastAsia="en-US" w:bidi="ar-SA"/>
      </w:rPr>
    </w:lvl>
    <w:lvl w:ilvl="4" w:tplc="FFFFFFFF">
      <w:numFmt w:val="bullet"/>
      <w:lvlText w:val="•"/>
      <w:lvlJc w:val="left"/>
      <w:pPr>
        <w:ind w:left="3102" w:hanging="567"/>
      </w:pPr>
      <w:rPr>
        <w:lang w:val="en-US" w:eastAsia="en-US" w:bidi="ar-SA"/>
      </w:rPr>
    </w:lvl>
    <w:lvl w:ilvl="5" w:tplc="FFFFFFFF">
      <w:numFmt w:val="bullet"/>
      <w:lvlText w:val="•"/>
      <w:lvlJc w:val="left"/>
      <w:pPr>
        <w:ind w:left="3736" w:hanging="567"/>
      </w:pPr>
      <w:rPr>
        <w:lang w:val="en-US" w:eastAsia="en-US" w:bidi="ar-SA"/>
      </w:rPr>
    </w:lvl>
    <w:lvl w:ilvl="6" w:tplc="FFFFFFFF">
      <w:numFmt w:val="bullet"/>
      <w:lvlText w:val="•"/>
      <w:lvlJc w:val="left"/>
      <w:pPr>
        <w:ind w:left="4370" w:hanging="567"/>
      </w:pPr>
      <w:rPr>
        <w:lang w:val="en-US" w:eastAsia="en-US" w:bidi="ar-SA"/>
      </w:rPr>
    </w:lvl>
    <w:lvl w:ilvl="7" w:tplc="FFFFFFFF">
      <w:numFmt w:val="bullet"/>
      <w:lvlText w:val="•"/>
      <w:lvlJc w:val="left"/>
      <w:pPr>
        <w:ind w:left="5004" w:hanging="567"/>
      </w:pPr>
      <w:rPr>
        <w:lang w:val="en-US" w:eastAsia="en-US" w:bidi="ar-SA"/>
      </w:rPr>
    </w:lvl>
    <w:lvl w:ilvl="8" w:tplc="FFFFFFFF">
      <w:numFmt w:val="bullet"/>
      <w:lvlText w:val="•"/>
      <w:lvlJc w:val="left"/>
      <w:pPr>
        <w:ind w:left="5638" w:hanging="567"/>
      </w:pPr>
      <w:rPr>
        <w:lang w:val="en-US" w:eastAsia="en-US" w:bidi="ar-SA"/>
      </w:rPr>
    </w:lvl>
  </w:abstractNum>
  <w:abstractNum w:abstractNumId="3" w15:restartNumberingAfterBreak="0">
    <w:nsid w:val="0F561692"/>
    <w:multiLevelType w:val="hybridMultilevel"/>
    <w:tmpl w:val="0802A9D6"/>
    <w:lvl w:ilvl="0" w:tplc="1E4CB62A">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0FEF688E"/>
    <w:multiLevelType w:val="multilevel"/>
    <w:tmpl w:val="228A6432"/>
    <w:lvl w:ilvl="0">
      <w:start w:val="103"/>
      <w:numFmt w:val="decimal"/>
      <w:lvlText w:val="%1."/>
      <w:lvlJc w:val="left"/>
      <w:pPr>
        <w:ind w:left="567" w:hanging="567"/>
      </w:pPr>
      <w:rPr>
        <w:rFonts w:hint="default"/>
      </w:rPr>
    </w:lvl>
    <w:lvl w:ilvl="1">
      <w:start w:val="1"/>
      <w:numFmt w:val="lowerLetter"/>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decimal"/>
      <w:lvlText w:val="%4."/>
      <w:lvlJc w:val="left"/>
      <w:pPr>
        <w:ind w:left="2835"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14C86EB2"/>
    <w:multiLevelType w:val="singleLevel"/>
    <w:tmpl w:val="BC744DF4"/>
    <w:lvl w:ilvl="0">
      <w:start w:val="1"/>
      <w:numFmt w:val="lowerLetter"/>
      <w:lvlText w:val="%1)"/>
      <w:lvlJc w:val="left"/>
      <w:pPr>
        <w:tabs>
          <w:tab w:val="num" w:pos="1778"/>
        </w:tabs>
        <w:ind w:left="1778" w:hanging="360"/>
      </w:pPr>
      <w:rPr>
        <w:rFonts w:hint="default"/>
      </w:rPr>
    </w:lvl>
  </w:abstractNum>
  <w:abstractNum w:abstractNumId="6" w15:restartNumberingAfterBreak="0">
    <w:nsid w:val="183F5EE2"/>
    <w:multiLevelType w:val="singleLevel"/>
    <w:tmpl w:val="7C843DA8"/>
    <w:lvl w:ilvl="0">
      <w:start w:val="8"/>
      <w:numFmt w:val="decimal"/>
      <w:lvlText w:val="%1."/>
      <w:lvlJc w:val="left"/>
      <w:pPr>
        <w:tabs>
          <w:tab w:val="num" w:pos="1425"/>
        </w:tabs>
        <w:ind w:left="1425" w:hanging="1425"/>
      </w:pPr>
      <w:rPr>
        <w:rFonts w:hint="default"/>
      </w:rPr>
    </w:lvl>
  </w:abstractNum>
  <w:abstractNum w:abstractNumId="7" w15:restartNumberingAfterBreak="0">
    <w:nsid w:val="24714006"/>
    <w:multiLevelType w:val="hybridMultilevel"/>
    <w:tmpl w:val="6CC65B2A"/>
    <w:lvl w:ilvl="0" w:tplc="D2EEAD1E">
      <w:start w:val="1"/>
      <w:numFmt w:val="lowerLetter"/>
      <w:lvlText w:val="(%1)"/>
      <w:lvlJc w:val="left"/>
      <w:pPr>
        <w:ind w:left="1076" w:hanging="567"/>
      </w:pPr>
      <w:rPr>
        <w:rFonts w:ascii="Arial" w:eastAsia="Times New Roman" w:hAnsi="Arial" w:cs="Arial" w:hint="default"/>
        <w:w w:val="94"/>
        <w:sz w:val="22"/>
        <w:szCs w:val="22"/>
        <w:u w:val="none"/>
        <w:lang w:val="en-US" w:eastAsia="en-US" w:bidi="ar-SA"/>
      </w:rPr>
    </w:lvl>
    <w:lvl w:ilvl="1" w:tplc="0C069740">
      <w:numFmt w:val="bullet"/>
      <w:lvlText w:val="•"/>
      <w:lvlJc w:val="left"/>
      <w:pPr>
        <w:ind w:left="1685" w:hanging="567"/>
      </w:pPr>
      <w:rPr>
        <w:lang w:val="en-US" w:eastAsia="en-US" w:bidi="ar-SA"/>
      </w:rPr>
    </w:lvl>
    <w:lvl w:ilvl="2" w:tplc="12466E36">
      <w:numFmt w:val="bullet"/>
      <w:lvlText w:val="•"/>
      <w:lvlJc w:val="left"/>
      <w:pPr>
        <w:ind w:left="2291" w:hanging="567"/>
      </w:pPr>
      <w:rPr>
        <w:lang w:val="en-US" w:eastAsia="en-US" w:bidi="ar-SA"/>
      </w:rPr>
    </w:lvl>
    <w:lvl w:ilvl="3" w:tplc="AB2435A6">
      <w:numFmt w:val="bullet"/>
      <w:lvlText w:val="•"/>
      <w:lvlJc w:val="left"/>
      <w:pPr>
        <w:ind w:left="2896" w:hanging="567"/>
      </w:pPr>
      <w:rPr>
        <w:lang w:val="en-US" w:eastAsia="en-US" w:bidi="ar-SA"/>
      </w:rPr>
    </w:lvl>
    <w:lvl w:ilvl="4" w:tplc="8FBCC5D6">
      <w:numFmt w:val="bullet"/>
      <w:lvlText w:val="•"/>
      <w:lvlJc w:val="left"/>
      <w:pPr>
        <w:ind w:left="3502" w:hanging="567"/>
      </w:pPr>
      <w:rPr>
        <w:lang w:val="en-US" w:eastAsia="en-US" w:bidi="ar-SA"/>
      </w:rPr>
    </w:lvl>
    <w:lvl w:ilvl="5" w:tplc="28082EE8">
      <w:numFmt w:val="bullet"/>
      <w:lvlText w:val="•"/>
      <w:lvlJc w:val="left"/>
      <w:pPr>
        <w:ind w:left="4107" w:hanging="567"/>
      </w:pPr>
      <w:rPr>
        <w:lang w:val="en-US" w:eastAsia="en-US" w:bidi="ar-SA"/>
      </w:rPr>
    </w:lvl>
    <w:lvl w:ilvl="6" w:tplc="E2C42F4E">
      <w:numFmt w:val="bullet"/>
      <w:lvlText w:val="•"/>
      <w:lvlJc w:val="left"/>
      <w:pPr>
        <w:ind w:left="4713" w:hanging="567"/>
      </w:pPr>
      <w:rPr>
        <w:lang w:val="en-US" w:eastAsia="en-US" w:bidi="ar-SA"/>
      </w:rPr>
    </w:lvl>
    <w:lvl w:ilvl="7" w:tplc="2C6C9B8E">
      <w:numFmt w:val="bullet"/>
      <w:lvlText w:val="•"/>
      <w:lvlJc w:val="left"/>
      <w:pPr>
        <w:ind w:left="5318" w:hanging="567"/>
      </w:pPr>
      <w:rPr>
        <w:lang w:val="en-US" w:eastAsia="en-US" w:bidi="ar-SA"/>
      </w:rPr>
    </w:lvl>
    <w:lvl w:ilvl="8" w:tplc="16287CE4">
      <w:numFmt w:val="bullet"/>
      <w:lvlText w:val="•"/>
      <w:lvlJc w:val="left"/>
      <w:pPr>
        <w:ind w:left="5924" w:hanging="567"/>
      </w:pPr>
      <w:rPr>
        <w:lang w:val="en-US" w:eastAsia="en-US" w:bidi="ar-SA"/>
      </w:rPr>
    </w:lvl>
  </w:abstractNum>
  <w:abstractNum w:abstractNumId="8" w15:restartNumberingAfterBreak="0">
    <w:nsid w:val="26AE240C"/>
    <w:multiLevelType w:val="multilevel"/>
    <w:tmpl w:val="4BCC28E2"/>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9" w15:restartNumberingAfterBreak="0">
    <w:nsid w:val="2BA63B91"/>
    <w:multiLevelType w:val="singleLevel"/>
    <w:tmpl w:val="E046733C"/>
    <w:lvl w:ilvl="0">
      <w:start w:val="1"/>
      <w:numFmt w:val="lowerLetter"/>
      <w:lvlText w:val="%1)"/>
      <w:lvlJc w:val="left"/>
      <w:pPr>
        <w:tabs>
          <w:tab w:val="num" w:pos="1778"/>
        </w:tabs>
        <w:ind w:left="1778" w:hanging="360"/>
      </w:pPr>
      <w:rPr>
        <w:rFonts w:hint="default"/>
      </w:rPr>
    </w:lvl>
  </w:abstractNum>
  <w:abstractNum w:abstractNumId="10" w15:restartNumberingAfterBreak="0">
    <w:nsid w:val="2D87571D"/>
    <w:multiLevelType w:val="hybridMultilevel"/>
    <w:tmpl w:val="251E7174"/>
    <w:lvl w:ilvl="0" w:tplc="971A6548">
      <w:start w:val="1"/>
      <w:numFmt w:val="lowerLetter"/>
      <w:lvlText w:val="(%1)"/>
      <w:lvlJc w:val="left"/>
      <w:pPr>
        <w:ind w:left="626" w:hanging="567"/>
      </w:pPr>
      <w:rPr>
        <w:rFonts w:ascii="Arial" w:eastAsia="Times New Roman" w:hAnsi="Arial" w:cs="Arial" w:hint="default"/>
        <w:w w:val="94"/>
        <w:sz w:val="22"/>
        <w:szCs w:val="22"/>
        <w:lang w:val="en-US" w:eastAsia="en-US" w:bidi="ar-SA"/>
      </w:rPr>
    </w:lvl>
    <w:lvl w:ilvl="1" w:tplc="EF7636F8">
      <w:start w:val="1"/>
      <w:numFmt w:val="lowerRoman"/>
      <w:lvlText w:val="(%2)"/>
      <w:lvlJc w:val="left"/>
      <w:pPr>
        <w:ind w:left="1193" w:hanging="567"/>
      </w:pPr>
      <w:rPr>
        <w:rFonts w:ascii="Arial" w:eastAsia="Times New Roman" w:hAnsi="Arial" w:cs="Arial" w:hint="default"/>
        <w:w w:val="89"/>
        <w:sz w:val="22"/>
        <w:szCs w:val="22"/>
        <w:lang w:val="en-US" w:eastAsia="en-US" w:bidi="ar-SA"/>
      </w:rPr>
    </w:lvl>
    <w:lvl w:ilvl="2" w:tplc="151AFD92">
      <w:numFmt w:val="bullet"/>
      <w:lvlText w:val="•"/>
      <w:lvlJc w:val="left"/>
      <w:pPr>
        <w:ind w:left="1834" w:hanging="567"/>
      </w:pPr>
      <w:rPr>
        <w:lang w:val="en-US" w:eastAsia="en-US" w:bidi="ar-SA"/>
      </w:rPr>
    </w:lvl>
    <w:lvl w:ilvl="3" w:tplc="8490FBC6">
      <w:numFmt w:val="bullet"/>
      <w:lvlText w:val="•"/>
      <w:lvlJc w:val="left"/>
      <w:pPr>
        <w:ind w:left="2468" w:hanging="567"/>
      </w:pPr>
      <w:rPr>
        <w:lang w:val="en-US" w:eastAsia="en-US" w:bidi="ar-SA"/>
      </w:rPr>
    </w:lvl>
    <w:lvl w:ilvl="4" w:tplc="7988B64C">
      <w:numFmt w:val="bullet"/>
      <w:lvlText w:val="•"/>
      <w:lvlJc w:val="left"/>
      <w:pPr>
        <w:ind w:left="3102" w:hanging="567"/>
      </w:pPr>
      <w:rPr>
        <w:lang w:val="en-US" w:eastAsia="en-US" w:bidi="ar-SA"/>
      </w:rPr>
    </w:lvl>
    <w:lvl w:ilvl="5" w:tplc="351831D4">
      <w:numFmt w:val="bullet"/>
      <w:lvlText w:val="•"/>
      <w:lvlJc w:val="left"/>
      <w:pPr>
        <w:ind w:left="3736" w:hanging="567"/>
      </w:pPr>
      <w:rPr>
        <w:lang w:val="en-US" w:eastAsia="en-US" w:bidi="ar-SA"/>
      </w:rPr>
    </w:lvl>
    <w:lvl w:ilvl="6" w:tplc="12D6F264">
      <w:numFmt w:val="bullet"/>
      <w:lvlText w:val="•"/>
      <w:lvlJc w:val="left"/>
      <w:pPr>
        <w:ind w:left="4370" w:hanging="567"/>
      </w:pPr>
      <w:rPr>
        <w:lang w:val="en-US" w:eastAsia="en-US" w:bidi="ar-SA"/>
      </w:rPr>
    </w:lvl>
    <w:lvl w:ilvl="7" w:tplc="A94EBA76">
      <w:numFmt w:val="bullet"/>
      <w:lvlText w:val="•"/>
      <w:lvlJc w:val="left"/>
      <w:pPr>
        <w:ind w:left="5004" w:hanging="567"/>
      </w:pPr>
      <w:rPr>
        <w:lang w:val="en-US" w:eastAsia="en-US" w:bidi="ar-SA"/>
      </w:rPr>
    </w:lvl>
    <w:lvl w:ilvl="8" w:tplc="CAD6251A">
      <w:numFmt w:val="bullet"/>
      <w:lvlText w:val="•"/>
      <w:lvlJc w:val="left"/>
      <w:pPr>
        <w:ind w:left="5638" w:hanging="567"/>
      </w:pPr>
      <w:rPr>
        <w:lang w:val="en-US" w:eastAsia="en-US" w:bidi="ar-SA"/>
      </w:rPr>
    </w:lvl>
  </w:abstractNum>
  <w:abstractNum w:abstractNumId="11" w15:restartNumberingAfterBreak="0">
    <w:nsid w:val="2E3D21AE"/>
    <w:multiLevelType w:val="hybridMultilevel"/>
    <w:tmpl w:val="42344B58"/>
    <w:lvl w:ilvl="0" w:tplc="CFB01900">
      <w:start w:val="1"/>
      <w:numFmt w:val="lowerLetter"/>
      <w:lvlText w:val="(%1)"/>
      <w:lvlJc w:val="left"/>
      <w:pPr>
        <w:ind w:left="923" w:hanging="567"/>
      </w:pPr>
      <w:rPr>
        <w:rFonts w:ascii="Arial" w:eastAsia="Times New Roman" w:hAnsi="Arial" w:cs="Arial" w:hint="default"/>
        <w:w w:val="94"/>
        <w:sz w:val="22"/>
        <w:szCs w:val="22"/>
        <w:u w:val="single"/>
        <w:lang w:val="en-US" w:eastAsia="en-US" w:bidi="ar-SA"/>
      </w:rPr>
    </w:lvl>
    <w:lvl w:ilvl="1" w:tplc="960A67DC">
      <w:numFmt w:val="bullet"/>
      <w:lvlText w:val="•"/>
      <w:lvlJc w:val="left"/>
      <w:pPr>
        <w:ind w:left="1577" w:hanging="567"/>
      </w:pPr>
      <w:rPr>
        <w:lang w:val="en-US" w:eastAsia="en-US" w:bidi="ar-SA"/>
      </w:rPr>
    </w:lvl>
    <w:lvl w:ilvl="2" w:tplc="BFAA7E7A">
      <w:numFmt w:val="bullet"/>
      <w:lvlText w:val="•"/>
      <w:lvlJc w:val="left"/>
      <w:pPr>
        <w:ind w:left="2234" w:hanging="567"/>
      </w:pPr>
      <w:rPr>
        <w:lang w:val="en-US" w:eastAsia="en-US" w:bidi="ar-SA"/>
      </w:rPr>
    </w:lvl>
    <w:lvl w:ilvl="3" w:tplc="6E289150">
      <w:numFmt w:val="bullet"/>
      <w:lvlText w:val="•"/>
      <w:lvlJc w:val="left"/>
      <w:pPr>
        <w:ind w:left="2891" w:hanging="567"/>
      </w:pPr>
      <w:rPr>
        <w:lang w:val="en-US" w:eastAsia="en-US" w:bidi="ar-SA"/>
      </w:rPr>
    </w:lvl>
    <w:lvl w:ilvl="4" w:tplc="260E32FC">
      <w:numFmt w:val="bullet"/>
      <w:lvlText w:val="•"/>
      <w:lvlJc w:val="left"/>
      <w:pPr>
        <w:ind w:left="3548" w:hanging="567"/>
      </w:pPr>
      <w:rPr>
        <w:lang w:val="en-US" w:eastAsia="en-US" w:bidi="ar-SA"/>
      </w:rPr>
    </w:lvl>
    <w:lvl w:ilvl="5" w:tplc="6FDA8A58">
      <w:numFmt w:val="bullet"/>
      <w:lvlText w:val="•"/>
      <w:lvlJc w:val="left"/>
      <w:pPr>
        <w:ind w:left="4205" w:hanging="567"/>
      </w:pPr>
      <w:rPr>
        <w:lang w:val="en-US" w:eastAsia="en-US" w:bidi="ar-SA"/>
      </w:rPr>
    </w:lvl>
    <w:lvl w:ilvl="6" w:tplc="BD4C8050">
      <w:numFmt w:val="bullet"/>
      <w:lvlText w:val="•"/>
      <w:lvlJc w:val="left"/>
      <w:pPr>
        <w:ind w:left="4863" w:hanging="567"/>
      </w:pPr>
      <w:rPr>
        <w:lang w:val="en-US" w:eastAsia="en-US" w:bidi="ar-SA"/>
      </w:rPr>
    </w:lvl>
    <w:lvl w:ilvl="7" w:tplc="0B1453FA">
      <w:numFmt w:val="bullet"/>
      <w:lvlText w:val="•"/>
      <w:lvlJc w:val="left"/>
      <w:pPr>
        <w:ind w:left="5520" w:hanging="567"/>
      </w:pPr>
      <w:rPr>
        <w:lang w:val="en-US" w:eastAsia="en-US" w:bidi="ar-SA"/>
      </w:rPr>
    </w:lvl>
    <w:lvl w:ilvl="8" w:tplc="2C422926">
      <w:numFmt w:val="bullet"/>
      <w:lvlText w:val="•"/>
      <w:lvlJc w:val="left"/>
      <w:pPr>
        <w:ind w:left="6177" w:hanging="567"/>
      </w:pPr>
      <w:rPr>
        <w:lang w:val="en-US" w:eastAsia="en-US" w:bidi="ar-SA"/>
      </w:rPr>
    </w:lvl>
  </w:abstractNum>
  <w:abstractNum w:abstractNumId="12" w15:restartNumberingAfterBreak="0">
    <w:nsid w:val="306313CF"/>
    <w:multiLevelType w:val="hybridMultilevel"/>
    <w:tmpl w:val="1F4855EA"/>
    <w:lvl w:ilvl="0" w:tplc="04160003">
      <w:start w:val="1"/>
      <w:numFmt w:val="bullet"/>
      <w:lvlText w:val="o"/>
      <w:lvlJc w:val="left"/>
      <w:pPr>
        <w:ind w:left="720" w:hanging="360"/>
      </w:pPr>
      <w:rPr>
        <w:rFonts w:ascii="Courier New" w:hAnsi="Courier New" w:cs="Courier New"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36F7581D"/>
    <w:multiLevelType w:val="hybridMultilevel"/>
    <w:tmpl w:val="02E8EEE4"/>
    <w:lvl w:ilvl="0" w:tplc="05D41294">
      <w:start w:val="1"/>
      <w:numFmt w:val="lowerLetter"/>
      <w:lvlText w:val="(%1)"/>
      <w:lvlJc w:val="left"/>
      <w:pPr>
        <w:ind w:left="1212" w:hanging="360"/>
      </w:pPr>
      <w:rPr>
        <w:rFonts w:hint="default"/>
      </w:rPr>
    </w:lvl>
    <w:lvl w:ilvl="1" w:tplc="04160019" w:tentative="1">
      <w:start w:val="1"/>
      <w:numFmt w:val="lowerLetter"/>
      <w:lvlText w:val="%2."/>
      <w:lvlJc w:val="left"/>
      <w:pPr>
        <w:ind w:left="1932" w:hanging="360"/>
      </w:pPr>
    </w:lvl>
    <w:lvl w:ilvl="2" w:tplc="0416001B" w:tentative="1">
      <w:start w:val="1"/>
      <w:numFmt w:val="lowerRoman"/>
      <w:lvlText w:val="%3."/>
      <w:lvlJc w:val="right"/>
      <w:pPr>
        <w:ind w:left="2652" w:hanging="180"/>
      </w:pPr>
    </w:lvl>
    <w:lvl w:ilvl="3" w:tplc="0416000F" w:tentative="1">
      <w:start w:val="1"/>
      <w:numFmt w:val="decimal"/>
      <w:lvlText w:val="%4."/>
      <w:lvlJc w:val="left"/>
      <w:pPr>
        <w:ind w:left="3372" w:hanging="360"/>
      </w:pPr>
    </w:lvl>
    <w:lvl w:ilvl="4" w:tplc="04160019" w:tentative="1">
      <w:start w:val="1"/>
      <w:numFmt w:val="lowerLetter"/>
      <w:lvlText w:val="%5."/>
      <w:lvlJc w:val="left"/>
      <w:pPr>
        <w:ind w:left="4092" w:hanging="360"/>
      </w:pPr>
    </w:lvl>
    <w:lvl w:ilvl="5" w:tplc="0416001B" w:tentative="1">
      <w:start w:val="1"/>
      <w:numFmt w:val="lowerRoman"/>
      <w:lvlText w:val="%6."/>
      <w:lvlJc w:val="right"/>
      <w:pPr>
        <w:ind w:left="4812" w:hanging="180"/>
      </w:pPr>
    </w:lvl>
    <w:lvl w:ilvl="6" w:tplc="0416000F" w:tentative="1">
      <w:start w:val="1"/>
      <w:numFmt w:val="decimal"/>
      <w:lvlText w:val="%7."/>
      <w:lvlJc w:val="left"/>
      <w:pPr>
        <w:ind w:left="5532" w:hanging="360"/>
      </w:pPr>
    </w:lvl>
    <w:lvl w:ilvl="7" w:tplc="04160019" w:tentative="1">
      <w:start w:val="1"/>
      <w:numFmt w:val="lowerLetter"/>
      <w:lvlText w:val="%8."/>
      <w:lvlJc w:val="left"/>
      <w:pPr>
        <w:ind w:left="6252" w:hanging="360"/>
      </w:pPr>
    </w:lvl>
    <w:lvl w:ilvl="8" w:tplc="0416001B" w:tentative="1">
      <w:start w:val="1"/>
      <w:numFmt w:val="lowerRoman"/>
      <w:lvlText w:val="%9."/>
      <w:lvlJc w:val="right"/>
      <w:pPr>
        <w:ind w:left="6972" w:hanging="180"/>
      </w:pPr>
    </w:lvl>
  </w:abstractNum>
  <w:abstractNum w:abstractNumId="14" w15:restartNumberingAfterBreak="0">
    <w:nsid w:val="382E03BD"/>
    <w:multiLevelType w:val="multilevel"/>
    <w:tmpl w:val="39BE9F3C"/>
    <w:lvl w:ilvl="0">
      <w:start w:val="1"/>
      <w:numFmt w:val="lowerLetter"/>
      <w:lvlText w:val="(%1)"/>
      <w:lvlJc w:val="left"/>
      <w:pPr>
        <w:ind w:left="2153" w:hanging="735"/>
      </w:pPr>
    </w:lvl>
    <w:lvl w:ilvl="1">
      <w:start w:val="1"/>
      <w:numFmt w:val="lowerLetter"/>
      <w:lvlText w:val="%2."/>
      <w:lvlJc w:val="left"/>
      <w:pPr>
        <w:ind w:left="2498" w:hanging="360"/>
      </w:pPr>
    </w:lvl>
    <w:lvl w:ilvl="2">
      <w:start w:val="1"/>
      <w:numFmt w:val="lowerRoman"/>
      <w:lvlText w:val="%3."/>
      <w:lvlJc w:val="right"/>
      <w:pPr>
        <w:ind w:left="3218" w:hanging="180"/>
      </w:pPr>
    </w:lvl>
    <w:lvl w:ilvl="3">
      <w:start w:val="1"/>
      <w:numFmt w:val="decimal"/>
      <w:lvlText w:val="%4."/>
      <w:lvlJc w:val="left"/>
      <w:pPr>
        <w:ind w:left="3938" w:hanging="360"/>
      </w:pPr>
    </w:lvl>
    <w:lvl w:ilvl="4">
      <w:start w:val="1"/>
      <w:numFmt w:val="lowerLetter"/>
      <w:lvlText w:val="%5."/>
      <w:lvlJc w:val="left"/>
      <w:pPr>
        <w:ind w:left="4658" w:hanging="360"/>
      </w:pPr>
    </w:lvl>
    <w:lvl w:ilvl="5">
      <w:start w:val="1"/>
      <w:numFmt w:val="lowerRoman"/>
      <w:lvlText w:val="%6."/>
      <w:lvlJc w:val="right"/>
      <w:pPr>
        <w:ind w:left="5378" w:hanging="180"/>
      </w:pPr>
    </w:lvl>
    <w:lvl w:ilvl="6">
      <w:start w:val="1"/>
      <w:numFmt w:val="decimal"/>
      <w:lvlText w:val="%7."/>
      <w:lvlJc w:val="left"/>
      <w:pPr>
        <w:ind w:left="6098" w:hanging="360"/>
      </w:pPr>
    </w:lvl>
    <w:lvl w:ilvl="7">
      <w:start w:val="1"/>
      <w:numFmt w:val="lowerLetter"/>
      <w:lvlText w:val="%8."/>
      <w:lvlJc w:val="left"/>
      <w:pPr>
        <w:ind w:left="6818" w:hanging="360"/>
      </w:pPr>
    </w:lvl>
    <w:lvl w:ilvl="8">
      <w:start w:val="1"/>
      <w:numFmt w:val="lowerRoman"/>
      <w:lvlText w:val="%9."/>
      <w:lvlJc w:val="right"/>
      <w:pPr>
        <w:ind w:left="7538" w:hanging="180"/>
      </w:pPr>
    </w:lvl>
  </w:abstractNum>
  <w:abstractNum w:abstractNumId="15" w15:restartNumberingAfterBreak="0">
    <w:nsid w:val="386C3840"/>
    <w:multiLevelType w:val="hybridMultilevel"/>
    <w:tmpl w:val="17045C20"/>
    <w:lvl w:ilvl="0" w:tplc="10DE726C">
      <w:start w:val="1"/>
      <w:numFmt w:val="lowerLetter"/>
      <w:lvlText w:val="(%1)"/>
      <w:lvlJc w:val="left"/>
      <w:pPr>
        <w:ind w:left="1800" w:hanging="360"/>
      </w:pPr>
      <w:rPr>
        <w:rFonts w:hint="default"/>
      </w:rPr>
    </w:lvl>
    <w:lvl w:ilvl="1" w:tplc="04160019">
      <w:start w:val="1"/>
      <w:numFmt w:val="lowerLetter"/>
      <w:lvlText w:val="%2."/>
      <w:lvlJc w:val="left"/>
      <w:pPr>
        <w:ind w:left="2520" w:hanging="360"/>
      </w:pPr>
    </w:lvl>
    <w:lvl w:ilvl="2" w:tplc="0416001B" w:tentative="1">
      <w:start w:val="1"/>
      <w:numFmt w:val="lowerRoman"/>
      <w:lvlText w:val="%3."/>
      <w:lvlJc w:val="right"/>
      <w:pPr>
        <w:ind w:left="3240" w:hanging="180"/>
      </w:pPr>
    </w:lvl>
    <w:lvl w:ilvl="3" w:tplc="0416000F" w:tentative="1">
      <w:start w:val="1"/>
      <w:numFmt w:val="decimal"/>
      <w:lvlText w:val="%4."/>
      <w:lvlJc w:val="left"/>
      <w:pPr>
        <w:ind w:left="3960" w:hanging="360"/>
      </w:pPr>
    </w:lvl>
    <w:lvl w:ilvl="4" w:tplc="04160019" w:tentative="1">
      <w:start w:val="1"/>
      <w:numFmt w:val="lowerLetter"/>
      <w:lvlText w:val="%5."/>
      <w:lvlJc w:val="left"/>
      <w:pPr>
        <w:ind w:left="4680" w:hanging="360"/>
      </w:pPr>
    </w:lvl>
    <w:lvl w:ilvl="5" w:tplc="0416001B" w:tentative="1">
      <w:start w:val="1"/>
      <w:numFmt w:val="lowerRoman"/>
      <w:lvlText w:val="%6."/>
      <w:lvlJc w:val="right"/>
      <w:pPr>
        <w:ind w:left="5400" w:hanging="180"/>
      </w:pPr>
    </w:lvl>
    <w:lvl w:ilvl="6" w:tplc="0416000F" w:tentative="1">
      <w:start w:val="1"/>
      <w:numFmt w:val="decimal"/>
      <w:lvlText w:val="%7."/>
      <w:lvlJc w:val="left"/>
      <w:pPr>
        <w:ind w:left="6120" w:hanging="360"/>
      </w:pPr>
    </w:lvl>
    <w:lvl w:ilvl="7" w:tplc="04160019" w:tentative="1">
      <w:start w:val="1"/>
      <w:numFmt w:val="lowerLetter"/>
      <w:lvlText w:val="%8."/>
      <w:lvlJc w:val="left"/>
      <w:pPr>
        <w:ind w:left="6840" w:hanging="360"/>
      </w:pPr>
    </w:lvl>
    <w:lvl w:ilvl="8" w:tplc="0416001B" w:tentative="1">
      <w:start w:val="1"/>
      <w:numFmt w:val="lowerRoman"/>
      <w:lvlText w:val="%9."/>
      <w:lvlJc w:val="right"/>
      <w:pPr>
        <w:ind w:left="7560" w:hanging="180"/>
      </w:pPr>
    </w:lvl>
  </w:abstractNum>
  <w:abstractNum w:abstractNumId="16" w15:restartNumberingAfterBreak="0">
    <w:nsid w:val="3BA30943"/>
    <w:multiLevelType w:val="hybridMultilevel"/>
    <w:tmpl w:val="9FCA7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4E84C49"/>
    <w:multiLevelType w:val="multilevel"/>
    <w:tmpl w:val="9844F1BC"/>
    <w:lvl w:ilvl="0">
      <w:start w:val="1"/>
      <w:numFmt w:val="lowerLetter"/>
      <w:lvlText w:val="(%1)"/>
      <w:lvlJc w:val="left"/>
      <w:pPr>
        <w:ind w:left="2153" w:hanging="735"/>
      </w:pPr>
    </w:lvl>
    <w:lvl w:ilvl="1">
      <w:start w:val="1"/>
      <w:numFmt w:val="lowerLetter"/>
      <w:lvlText w:val="%2."/>
      <w:lvlJc w:val="left"/>
      <w:pPr>
        <w:ind w:left="2498" w:hanging="360"/>
      </w:pPr>
    </w:lvl>
    <w:lvl w:ilvl="2">
      <w:start w:val="1"/>
      <w:numFmt w:val="lowerRoman"/>
      <w:lvlText w:val="%3."/>
      <w:lvlJc w:val="right"/>
      <w:pPr>
        <w:ind w:left="3218" w:hanging="180"/>
      </w:pPr>
    </w:lvl>
    <w:lvl w:ilvl="3">
      <w:start w:val="1"/>
      <w:numFmt w:val="decimal"/>
      <w:lvlText w:val="%4."/>
      <w:lvlJc w:val="left"/>
      <w:pPr>
        <w:ind w:left="3938" w:hanging="360"/>
      </w:pPr>
    </w:lvl>
    <w:lvl w:ilvl="4">
      <w:start w:val="1"/>
      <w:numFmt w:val="lowerLetter"/>
      <w:lvlText w:val="%5."/>
      <w:lvlJc w:val="left"/>
      <w:pPr>
        <w:ind w:left="4658" w:hanging="360"/>
      </w:pPr>
    </w:lvl>
    <w:lvl w:ilvl="5">
      <w:start w:val="1"/>
      <w:numFmt w:val="lowerRoman"/>
      <w:lvlText w:val="%6."/>
      <w:lvlJc w:val="right"/>
      <w:pPr>
        <w:ind w:left="5378" w:hanging="180"/>
      </w:pPr>
    </w:lvl>
    <w:lvl w:ilvl="6">
      <w:start w:val="1"/>
      <w:numFmt w:val="decimal"/>
      <w:lvlText w:val="%7."/>
      <w:lvlJc w:val="left"/>
      <w:pPr>
        <w:ind w:left="6098" w:hanging="360"/>
      </w:pPr>
    </w:lvl>
    <w:lvl w:ilvl="7">
      <w:start w:val="1"/>
      <w:numFmt w:val="lowerLetter"/>
      <w:lvlText w:val="%8."/>
      <w:lvlJc w:val="left"/>
      <w:pPr>
        <w:ind w:left="6818" w:hanging="360"/>
      </w:pPr>
    </w:lvl>
    <w:lvl w:ilvl="8">
      <w:start w:val="1"/>
      <w:numFmt w:val="lowerRoman"/>
      <w:lvlText w:val="%9."/>
      <w:lvlJc w:val="right"/>
      <w:pPr>
        <w:ind w:left="7538" w:hanging="180"/>
      </w:pPr>
    </w:lvl>
  </w:abstractNum>
  <w:abstractNum w:abstractNumId="18" w15:restartNumberingAfterBreak="0">
    <w:nsid w:val="51B72195"/>
    <w:multiLevelType w:val="hybridMultilevel"/>
    <w:tmpl w:val="02FA83B2"/>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15:restartNumberingAfterBreak="0">
    <w:nsid w:val="533F4C79"/>
    <w:multiLevelType w:val="singleLevel"/>
    <w:tmpl w:val="EA04464A"/>
    <w:lvl w:ilvl="0">
      <w:start w:val="2"/>
      <w:numFmt w:val="decimal"/>
      <w:lvlText w:val="%1."/>
      <w:lvlJc w:val="left"/>
      <w:pPr>
        <w:tabs>
          <w:tab w:val="num" w:pos="1425"/>
        </w:tabs>
        <w:ind w:left="1425" w:hanging="1425"/>
      </w:pPr>
      <w:rPr>
        <w:rFonts w:hint="default"/>
      </w:rPr>
    </w:lvl>
  </w:abstractNum>
  <w:abstractNum w:abstractNumId="20" w15:restartNumberingAfterBreak="0">
    <w:nsid w:val="54F50AF2"/>
    <w:multiLevelType w:val="hybridMultilevel"/>
    <w:tmpl w:val="44FAB774"/>
    <w:lvl w:ilvl="0" w:tplc="7D1054E0">
      <w:start w:val="1"/>
      <w:numFmt w:val="bullet"/>
      <w:lvlText w:val=""/>
      <w:lvlJc w:val="left"/>
      <w:pPr>
        <w:tabs>
          <w:tab w:val="num" w:pos="870"/>
        </w:tabs>
        <w:ind w:left="870" w:hanging="360"/>
      </w:pPr>
      <w:rPr>
        <w:rFonts w:ascii="Symbol" w:hAnsi="Symbol" w:hint="default"/>
        <w:b w:val="0"/>
        <w:i w:val="0"/>
        <w:color w:val="auto"/>
        <w:sz w:val="24"/>
        <w:szCs w:val="24"/>
      </w:rPr>
    </w:lvl>
    <w:lvl w:ilvl="1" w:tplc="7D1054E0">
      <w:start w:val="1"/>
      <w:numFmt w:val="bullet"/>
      <w:lvlText w:val=""/>
      <w:lvlJc w:val="left"/>
      <w:pPr>
        <w:tabs>
          <w:tab w:val="num" w:pos="1950"/>
        </w:tabs>
        <w:ind w:left="1950" w:hanging="360"/>
      </w:pPr>
      <w:rPr>
        <w:rFonts w:ascii="Symbol" w:hAnsi="Symbol" w:hint="default"/>
        <w:b w:val="0"/>
        <w:i w:val="0"/>
        <w:color w:val="auto"/>
        <w:sz w:val="24"/>
        <w:szCs w:val="24"/>
      </w:rPr>
    </w:lvl>
    <w:lvl w:ilvl="2" w:tplc="0416001B" w:tentative="1">
      <w:start w:val="1"/>
      <w:numFmt w:val="lowerRoman"/>
      <w:lvlText w:val="%3."/>
      <w:lvlJc w:val="right"/>
      <w:pPr>
        <w:tabs>
          <w:tab w:val="num" w:pos="2670"/>
        </w:tabs>
        <w:ind w:left="2670" w:hanging="180"/>
      </w:pPr>
    </w:lvl>
    <w:lvl w:ilvl="3" w:tplc="0416000F" w:tentative="1">
      <w:start w:val="1"/>
      <w:numFmt w:val="decimal"/>
      <w:lvlText w:val="%4."/>
      <w:lvlJc w:val="left"/>
      <w:pPr>
        <w:tabs>
          <w:tab w:val="num" w:pos="3390"/>
        </w:tabs>
        <w:ind w:left="3390" w:hanging="360"/>
      </w:pPr>
    </w:lvl>
    <w:lvl w:ilvl="4" w:tplc="04160019" w:tentative="1">
      <w:start w:val="1"/>
      <w:numFmt w:val="lowerLetter"/>
      <w:lvlText w:val="%5."/>
      <w:lvlJc w:val="left"/>
      <w:pPr>
        <w:tabs>
          <w:tab w:val="num" w:pos="4110"/>
        </w:tabs>
        <w:ind w:left="4110" w:hanging="360"/>
      </w:pPr>
    </w:lvl>
    <w:lvl w:ilvl="5" w:tplc="0416001B" w:tentative="1">
      <w:start w:val="1"/>
      <w:numFmt w:val="lowerRoman"/>
      <w:lvlText w:val="%6."/>
      <w:lvlJc w:val="right"/>
      <w:pPr>
        <w:tabs>
          <w:tab w:val="num" w:pos="4830"/>
        </w:tabs>
        <w:ind w:left="4830" w:hanging="180"/>
      </w:pPr>
    </w:lvl>
    <w:lvl w:ilvl="6" w:tplc="0416000F" w:tentative="1">
      <w:start w:val="1"/>
      <w:numFmt w:val="decimal"/>
      <w:lvlText w:val="%7."/>
      <w:lvlJc w:val="left"/>
      <w:pPr>
        <w:tabs>
          <w:tab w:val="num" w:pos="5550"/>
        </w:tabs>
        <w:ind w:left="5550" w:hanging="360"/>
      </w:pPr>
    </w:lvl>
    <w:lvl w:ilvl="7" w:tplc="04160019" w:tentative="1">
      <w:start w:val="1"/>
      <w:numFmt w:val="lowerLetter"/>
      <w:lvlText w:val="%8."/>
      <w:lvlJc w:val="left"/>
      <w:pPr>
        <w:tabs>
          <w:tab w:val="num" w:pos="6270"/>
        </w:tabs>
        <w:ind w:left="6270" w:hanging="360"/>
      </w:pPr>
    </w:lvl>
    <w:lvl w:ilvl="8" w:tplc="0416001B" w:tentative="1">
      <w:start w:val="1"/>
      <w:numFmt w:val="lowerRoman"/>
      <w:lvlText w:val="%9."/>
      <w:lvlJc w:val="right"/>
      <w:pPr>
        <w:tabs>
          <w:tab w:val="num" w:pos="6990"/>
        </w:tabs>
        <w:ind w:left="6990" w:hanging="180"/>
      </w:pPr>
    </w:lvl>
  </w:abstractNum>
  <w:abstractNum w:abstractNumId="21" w15:restartNumberingAfterBreak="0">
    <w:nsid w:val="59F979A0"/>
    <w:multiLevelType w:val="hybridMultilevel"/>
    <w:tmpl w:val="F0244B24"/>
    <w:lvl w:ilvl="0" w:tplc="37EEFF2C">
      <w:start w:val="1"/>
      <w:numFmt w:val="lowerRoman"/>
      <w:lvlText w:val="(%1)"/>
      <w:lvlJc w:val="left"/>
      <w:pPr>
        <w:ind w:left="2520" w:hanging="720"/>
      </w:pPr>
      <w:rPr>
        <w:rFonts w:hint="default"/>
      </w:rPr>
    </w:lvl>
    <w:lvl w:ilvl="1" w:tplc="04160019" w:tentative="1">
      <w:start w:val="1"/>
      <w:numFmt w:val="lowerLetter"/>
      <w:lvlText w:val="%2."/>
      <w:lvlJc w:val="left"/>
      <w:pPr>
        <w:ind w:left="2880" w:hanging="360"/>
      </w:pPr>
    </w:lvl>
    <w:lvl w:ilvl="2" w:tplc="0416001B" w:tentative="1">
      <w:start w:val="1"/>
      <w:numFmt w:val="lowerRoman"/>
      <w:lvlText w:val="%3."/>
      <w:lvlJc w:val="right"/>
      <w:pPr>
        <w:ind w:left="3600" w:hanging="180"/>
      </w:pPr>
    </w:lvl>
    <w:lvl w:ilvl="3" w:tplc="0416000F" w:tentative="1">
      <w:start w:val="1"/>
      <w:numFmt w:val="decimal"/>
      <w:lvlText w:val="%4."/>
      <w:lvlJc w:val="left"/>
      <w:pPr>
        <w:ind w:left="4320" w:hanging="360"/>
      </w:pPr>
    </w:lvl>
    <w:lvl w:ilvl="4" w:tplc="04160019" w:tentative="1">
      <w:start w:val="1"/>
      <w:numFmt w:val="lowerLetter"/>
      <w:lvlText w:val="%5."/>
      <w:lvlJc w:val="left"/>
      <w:pPr>
        <w:ind w:left="5040" w:hanging="360"/>
      </w:pPr>
    </w:lvl>
    <w:lvl w:ilvl="5" w:tplc="0416001B" w:tentative="1">
      <w:start w:val="1"/>
      <w:numFmt w:val="lowerRoman"/>
      <w:lvlText w:val="%6."/>
      <w:lvlJc w:val="right"/>
      <w:pPr>
        <w:ind w:left="5760" w:hanging="180"/>
      </w:pPr>
    </w:lvl>
    <w:lvl w:ilvl="6" w:tplc="0416000F" w:tentative="1">
      <w:start w:val="1"/>
      <w:numFmt w:val="decimal"/>
      <w:lvlText w:val="%7."/>
      <w:lvlJc w:val="left"/>
      <w:pPr>
        <w:ind w:left="6480" w:hanging="360"/>
      </w:pPr>
    </w:lvl>
    <w:lvl w:ilvl="7" w:tplc="04160019" w:tentative="1">
      <w:start w:val="1"/>
      <w:numFmt w:val="lowerLetter"/>
      <w:lvlText w:val="%8."/>
      <w:lvlJc w:val="left"/>
      <w:pPr>
        <w:ind w:left="7200" w:hanging="360"/>
      </w:pPr>
    </w:lvl>
    <w:lvl w:ilvl="8" w:tplc="0416001B" w:tentative="1">
      <w:start w:val="1"/>
      <w:numFmt w:val="lowerRoman"/>
      <w:lvlText w:val="%9."/>
      <w:lvlJc w:val="right"/>
      <w:pPr>
        <w:ind w:left="7920" w:hanging="180"/>
      </w:pPr>
    </w:lvl>
  </w:abstractNum>
  <w:abstractNum w:abstractNumId="22" w15:restartNumberingAfterBreak="0">
    <w:nsid w:val="670E497D"/>
    <w:multiLevelType w:val="hybridMultilevel"/>
    <w:tmpl w:val="7BE0DC34"/>
    <w:lvl w:ilvl="0" w:tplc="EA6245EA">
      <w:start w:val="1"/>
      <w:numFmt w:val="lowerLetter"/>
      <w:lvlText w:val="(%1)"/>
      <w:lvlJc w:val="left"/>
      <w:pPr>
        <w:ind w:left="1131" w:hanging="564"/>
      </w:pPr>
      <w:rPr>
        <w:rFonts w:hint="default"/>
      </w:rPr>
    </w:lvl>
    <w:lvl w:ilvl="1" w:tplc="04160019">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23" w15:restartNumberingAfterBreak="0">
    <w:nsid w:val="6BF15D8C"/>
    <w:multiLevelType w:val="hybridMultilevel"/>
    <w:tmpl w:val="9348C9DC"/>
    <w:lvl w:ilvl="0" w:tplc="7D9C57D8">
      <w:start w:val="1"/>
      <w:numFmt w:val="lowerLetter"/>
      <w:lvlText w:val="(%1)"/>
      <w:lvlJc w:val="left"/>
      <w:pPr>
        <w:ind w:left="972" w:hanging="567"/>
      </w:pPr>
      <w:rPr>
        <w:rFonts w:ascii="Arial" w:eastAsia="Times New Roman" w:hAnsi="Arial" w:cs="Arial" w:hint="default"/>
        <w:b w:val="0"/>
        <w:bCs w:val="0"/>
        <w:w w:val="88"/>
        <w:sz w:val="22"/>
        <w:szCs w:val="22"/>
        <w:u w:val="none"/>
        <w:lang w:val="en-US" w:eastAsia="en-US" w:bidi="ar-SA"/>
      </w:rPr>
    </w:lvl>
    <w:lvl w:ilvl="1" w:tplc="AD66BADC">
      <w:numFmt w:val="bullet"/>
      <w:lvlText w:val="•"/>
      <w:lvlJc w:val="left"/>
      <w:pPr>
        <w:ind w:left="1636" w:hanging="567"/>
      </w:pPr>
      <w:rPr>
        <w:lang w:val="en-US" w:eastAsia="en-US" w:bidi="ar-SA"/>
      </w:rPr>
    </w:lvl>
    <w:lvl w:ilvl="2" w:tplc="44ACC96C">
      <w:numFmt w:val="bullet"/>
      <w:lvlText w:val="•"/>
      <w:lvlJc w:val="left"/>
      <w:pPr>
        <w:ind w:left="2292" w:hanging="567"/>
      </w:pPr>
      <w:rPr>
        <w:lang w:val="en-US" w:eastAsia="en-US" w:bidi="ar-SA"/>
      </w:rPr>
    </w:lvl>
    <w:lvl w:ilvl="3" w:tplc="CA94399A">
      <w:numFmt w:val="bullet"/>
      <w:lvlText w:val="•"/>
      <w:lvlJc w:val="left"/>
      <w:pPr>
        <w:ind w:left="2948" w:hanging="567"/>
      </w:pPr>
      <w:rPr>
        <w:lang w:val="en-US" w:eastAsia="en-US" w:bidi="ar-SA"/>
      </w:rPr>
    </w:lvl>
    <w:lvl w:ilvl="4" w:tplc="5348533C">
      <w:numFmt w:val="bullet"/>
      <w:lvlText w:val="•"/>
      <w:lvlJc w:val="left"/>
      <w:pPr>
        <w:ind w:left="3604" w:hanging="567"/>
      </w:pPr>
      <w:rPr>
        <w:lang w:val="en-US" w:eastAsia="en-US" w:bidi="ar-SA"/>
      </w:rPr>
    </w:lvl>
    <w:lvl w:ilvl="5" w:tplc="BFEEA092">
      <w:numFmt w:val="bullet"/>
      <w:lvlText w:val="•"/>
      <w:lvlJc w:val="left"/>
      <w:pPr>
        <w:ind w:left="4260" w:hanging="567"/>
      </w:pPr>
      <w:rPr>
        <w:lang w:val="en-US" w:eastAsia="en-US" w:bidi="ar-SA"/>
      </w:rPr>
    </w:lvl>
    <w:lvl w:ilvl="6" w:tplc="898AF8A0">
      <w:numFmt w:val="bullet"/>
      <w:lvlText w:val="•"/>
      <w:lvlJc w:val="left"/>
      <w:pPr>
        <w:ind w:left="4916" w:hanging="567"/>
      </w:pPr>
      <w:rPr>
        <w:lang w:val="en-US" w:eastAsia="en-US" w:bidi="ar-SA"/>
      </w:rPr>
    </w:lvl>
    <w:lvl w:ilvl="7" w:tplc="C5363D9A">
      <w:numFmt w:val="bullet"/>
      <w:lvlText w:val="•"/>
      <w:lvlJc w:val="left"/>
      <w:pPr>
        <w:ind w:left="5572" w:hanging="567"/>
      </w:pPr>
      <w:rPr>
        <w:lang w:val="en-US" w:eastAsia="en-US" w:bidi="ar-SA"/>
      </w:rPr>
    </w:lvl>
    <w:lvl w:ilvl="8" w:tplc="A372C0BA">
      <w:numFmt w:val="bullet"/>
      <w:lvlText w:val="•"/>
      <w:lvlJc w:val="left"/>
      <w:pPr>
        <w:ind w:left="6228" w:hanging="567"/>
      </w:pPr>
      <w:rPr>
        <w:lang w:val="en-US" w:eastAsia="en-US" w:bidi="ar-SA"/>
      </w:rPr>
    </w:lvl>
  </w:abstractNum>
  <w:abstractNum w:abstractNumId="24" w15:restartNumberingAfterBreak="0">
    <w:nsid w:val="6DB8764A"/>
    <w:multiLevelType w:val="hybridMultilevel"/>
    <w:tmpl w:val="1A245E58"/>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5" w15:restartNumberingAfterBreak="0">
    <w:nsid w:val="6F962E32"/>
    <w:multiLevelType w:val="hybridMultilevel"/>
    <w:tmpl w:val="971EE22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70D84C0F"/>
    <w:multiLevelType w:val="hybridMultilevel"/>
    <w:tmpl w:val="3E6C41FA"/>
    <w:lvl w:ilvl="0" w:tplc="80248322">
      <w:start w:val="1"/>
      <w:numFmt w:val="lowerLetter"/>
      <w:lvlText w:val="(%1)"/>
      <w:lvlJc w:val="left"/>
      <w:pPr>
        <w:ind w:left="1045" w:hanging="567"/>
      </w:pPr>
      <w:rPr>
        <w:rFonts w:ascii="Arial" w:eastAsia="Times New Roman" w:hAnsi="Arial" w:cs="Arial" w:hint="default"/>
        <w:w w:val="94"/>
        <w:sz w:val="22"/>
        <w:szCs w:val="22"/>
        <w:lang w:val="en-US" w:eastAsia="en-US" w:bidi="ar-SA"/>
      </w:rPr>
    </w:lvl>
    <w:lvl w:ilvl="1" w:tplc="9170F2DE">
      <w:numFmt w:val="bullet"/>
      <w:lvlText w:val="•"/>
      <w:lvlJc w:val="left"/>
      <w:pPr>
        <w:ind w:left="1658" w:hanging="567"/>
      </w:pPr>
      <w:rPr>
        <w:lang w:val="en-US" w:eastAsia="en-US" w:bidi="ar-SA"/>
      </w:rPr>
    </w:lvl>
    <w:lvl w:ilvl="2" w:tplc="DE06246C">
      <w:numFmt w:val="bullet"/>
      <w:lvlText w:val="•"/>
      <w:lvlJc w:val="left"/>
      <w:pPr>
        <w:ind w:left="2276" w:hanging="567"/>
      </w:pPr>
      <w:rPr>
        <w:lang w:val="en-US" w:eastAsia="en-US" w:bidi="ar-SA"/>
      </w:rPr>
    </w:lvl>
    <w:lvl w:ilvl="3" w:tplc="BECAD5AE">
      <w:numFmt w:val="bullet"/>
      <w:lvlText w:val="•"/>
      <w:lvlJc w:val="left"/>
      <w:pPr>
        <w:ind w:left="2895" w:hanging="567"/>
      </w:pPr>
      <w:rPr>
        <w:lang w:val="en-US" w:eastAsia="en-US" w:bidi="ar-SA"/>
      </w:rPr>
    </w:lvl>
    <w:lvl w:ilvl="4" w:tplc="0044A08C">
      <w:numFmt w:val="bullet"/>
      <w:lvlText w:val="•"/>
      <w:lvlJc w:val="left"/>
      <w:pPr>
        <w:ind w:left="3513" w:hanging="567"/>
      </w:pPr>
      <w:rPr>
        <w:lang w:val="en-US" w:eastAsia="en-US" w:bidi="ar-SA"/>
      </w:rPr>
    </w:lvl>
    <w:lvl w:ilvl="5" w:tplc="AA3A1E0A">
      <w:numFmt w:val="bullet"/>
      <w:lvlText w:val="•"/>
      <w:lvlJc w:val="left"/>
      <w:pPr>
        <w:ind w:left="4132" w:hanging="567"/>
      </w:pPr>
      <w:rPr>
        <w:lang w:val="en-US" w:eastAsia="en-US" w:bidi="ar-SA"/>
      </w:rPr>
    </w:lvl>
    <w:lvl w:ilvl="6" w:tplc="AA80A2A0">
      <w:numFmt w:val="bullet"/>
      <w:lvlText w:val="•"/>
      <w:lvlJc w:val="left"/>
      <w:pPr>
        <w:ind w:left="4750" w:hanging="567"/>
      </w:pPr>
      <w:rPr>
        <w:lang w:val="en-US" w:eastAsia="en-US" w:bidi="ar-SA"/>
      </w:rPr>
    </w:lvl>
    <w:lvl w:ilvl="7" w:tplc="48E05182">
      <w:numFmt w:val="bullet"/>
      <w:lvlText w:val="•"/>
      <w:lvlJc w:val="left"/>
      <w:pPr>
        <w:ind w:left="5369" w:hanging="567"/>
      </w:pPr>
      <w:rPr>
        <w:lang w:val="en-US" w:eastAsia="en-US" w:bidi="ar-SA"/>
      </w:rPr>
    </w:lvl>
    <w:lvl w:ilvl="8" w:tplc="46B04A48">
      <w:numFmt w:val="bullet"/>
      <w:lvlText w:val="•"/>
      <w:lvlJc w:val="left"/>
      <w:pPr>
        <w:ind w:left="5987" w:hanging="567"/>
      </w:pPr>
      <w:rPr>
        <w:lang w:val="en-US" w:eastAsia="en-US" w:bidi="ar-SA"/>
      </w:rPr>
    </w:lvl>
  </w:abstractNum>
  <w:abstractNum w:abstractNumId="27" w15:restartNumberingAfterBreak="0">
    <w:nsid w:val="77792CA4"/>
    <w:multiLevelType w:val="singleLevel"/>
    <w:tmpl w:val="9A4CCEBE"/>
    <w:lvl w:ilvl="0">
      <w:start w:val="2"/>
      <w:numFmt w:val="decimal"/>
      <w:lvlText w:val="%1."/>
      <w:lvlJc w:val="left"/>
      <w:pPr>
        <w:tabs>
          <w:tab w:val="num" w:pos="1425"/>
        </w:tabs>
        <w:ind w:left="1425" w:hanging="1425"/>
      </w:pPr>
      <w:rPr>
        <w:rFonts w:hint="default"/>
      </w:rPr>
    </w:lvl>
  </w:abstractNum>
  <w:num w:numId="1" w16cid:durableId="2086802324">
    <w:abstractNumId w:val="9"/>
  </w:num>
  <w:num w:numId="2" w16cid:durableId="466092547">
    <w:abstractNumId w:val="5"/>
  </w:num>
  <w:num w:numId="3" w16cid:durableId="1570575179">
    <w:abstractNumId w:val="6"/>
  </w:num>
  <w:num w:numId="4" w16cid:durableId="1204708851">
    <w:abstractNumId w:val="19"/>
  </w:num>
  <w:num w:numId="5" w16cid:durableId="1472943979">
    <w:abstractNumId w:val="27"/>
  </w:num>
  <w:num w:numId="6" w16cid:durableId="890384081">
    <w:abstractNumId w:val="0"/>
  </w:num>
  <w:num w:numId="7" w16cid:durableId="10289239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39615642">
    <w:abstractNumId w:val="8"/>
  </w:num>
  <w:num w:numId="9" w16cid:durableId="788162025">
    <w:abstractNumId w:val="17"/>
  </w:num>
  <w:num w:numId="10" w16cid:durableId="447160162">
    <w:abstractNumId w:val="14"/>
  </w:num>
  <w:num w:numId="11" w16cid:durableId="378822931">
    <w:abstractNumId w:val="7"/>
    <w:lvlOverride w:ilvl="0">
      <w:startOverride w:val="1"/>
    </w:lvlOverride>
    <w:lvlOverride w:ilvl="1"/>
    <w:lvlOverride w:ilvl="2"/>
    <w:lvlOverride w:ilvl="3"/>
    <w:lvlOverride w:ilvl="4"/>
    <w:lvlOverride w:ilvl="5"/>
    <w:lvlOverride w:ilvl="6"/>
    <w:lvlOverride w:ilvl="7"/>
    <w:lvlOverride w:ilvl="8"/>
  </w:num>
  <w:num w:numId="12" w16cid:durableId="1225987791">
    <w:abstractNumId w:val="23"/>
  </w:num>
  <w:num w:numId="13" w16cid:durableId="2107534793">
    <w:abstractNumId w:val="11"/>
    <w:lvlOverride w:ilvl="0">
      <w:startOverride w:val="1"/>
    </w:lvlOverride>
    <w:lvlOverride w:ilvl="1"/>
    <w:lvlOverride w:ilvl="2"/>
    <w:lvlOverride w:ilvl="3"/>
    <w:lvlOverride w:ilvl="4"/>
    <w:lvlOverride w:ilvl="5"/>
    <w:lvlOverride w:ilvl="6"/>
    <w:lvlOverride w:ilvl="7"/>
    <w:lvlOverride w:ilvl="8"/>
  </w:num>
  <w:num w:numId="14" w16cid:durableId="1530219871">
    <w:abstractNumId w:val="15"/>
  </w:num>
  <w:num w:numId="15" w16cid:durableId="1503738443">
    <w:abstractNumId w:val="21"/>
  </w:num>
  <w:num w:numId="16" w16cid:durableId="1504205370">
    <w:abstractNumId w:val="10"/>
    <w:lvlOverride w:ilvl="0">
      <w:startOverride w:val="1"/>
    </w:lvlOverride>
    <w:lvlOverride w:ilvl="1">
      <w:startOverride w:val="1"/>
    </w:lvlOverride>
    <w:lvlOverride w:ilvl="2"/>
    <w:lvlOverride w:ilvl="3"/>
    <w:lvlOverride w:ilvl="4"/>
    <w:lvlOverride w:ilvl="5"/>
    <w:lvlOverride w:ilvl="6"/>
    <w:lvlOverride w:ilvl="7"/>
    <w:lvlOverride w:ilvl="8"/>
  </w:num>
  <w:num w:numId="17" w16cid:durableId="1369337877">
    <w:abstractNumId w:val="10"/>
  </w:num>
  <w:num w:numId="18" w16cid:durableId="1671058409">
    <w:abstractNumId w:val="2"/>
  </w:num>
  <w:num w:numId="19" w16cid:durableId="889414148">
    <w:abstractNumId w:val="26"/>
    <w:lvlOverride w:ilvl="0">
      <w:startOverride w:val="1"/>
    </w:lvlOverride>
    <w:lvlOverride w:ilvl="1"/>
    <w:lvlOverride w:ilvl="2"/>
    <w:lvlOverride w:ilvl="3"/>
    <w:lvlOverride w:ilvl="4"/>
    <w:lvlOverride w:ilvl="5"/>
    <w:lvlOverride w:ilvl="6"/>
    <w:lvlOverride w:ilvl="7"/>
    <w:lvlOverride w:ilvl="8"/>
  </w:num>
  <w:num w:numId="20" w16cid:durableId="239022603">
    <w:abstractNumId w:val="3"/>
  </w:num>
  <w:num w:numId="21" w16cid:durableId="1453667662">
    <w:abstractNumId w:val="16"/>
  </w:num>
  <w:num w:numId="22" w16cid:durableId="851408480">
    <w:abstractNumId w:val="4"/>
  </w:num>
  <w:num w:numId="23" w16cid:durableId="905140936">
    <w:abstractNumId w:val="1"/>
  </w:num>
  <w:num w:numId="24" w16cid:durableId="117333994">
    <w:abstractNumId w:val="18"/>
  </w:num>
  <w:num w:numId="25" w16cid:durableId="199823135">
    <w:abstractNumId w:val="20"/>
  </w:num>
  <w:num w:numId="26" w16cid:durableId="568275070">
    <w:abstractNumId w:val="13"/>
  </w:num>
  <w:num w:numId="27" w16cid:durableId="1155268997">
    <w:abstractNumId w:val="22"/>
  </w:num>
  <w:num w:numId="28" w16cid:durableId="382019501">
    <w:abstractNumId w:val="24"/>
  </w:num>
  <w:num w:numId="29" w16cid:durableId="2106878735">
    <w:abstractNumId w:val="12"/>
  </w:num>
  <w:num w:numId="30" w16cid:durableId="179197476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cumentProtection w:edit="readOnly" w:enforcement="0"/>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ADE"/>
    <w:rsid w:val="0000444B"/>
    <w:rsid w:val="00004791"/>
    <w:rsid w:val="00012CCA"/>
    <w:rsid w:val="00014872"/>
    <w:rsid w:val="00015D42"/>
    <w:rsid w:val="00017BD7"/>
    <w:rsid w:val="00017FF5"/>
    <w:rsid w:val="00021899"/>
    <w:rsid w:val="00022A2E"/>
    <w:rsid w:val="000247CD"/>
    <w:rsid w:val="00032124"/>
    <w:rsid w:val="00034493"/>
    <w:rsid w:val="00035BF8"/>
    <w:rsid w:val="00041946"/>
    <w:rsid w:val="00043AB2"/>
    <w:rsid w:val="000467C5"/>
    <w:rsid w:val="00053CA8"/>
    <w:rsid w:val="00066B1E"/>
    <w:rsid w:val="00073C49"/>
    <w:rsid w:val="0008694D"/>
    <w:rsid w:val="00090FA9"/>
    <w:rsid w:val="000A138B"/>
    <w:rsid w:val="000A1A23"/>
    <w:rsid w:val="000A48CA"/>
    <w:rsid w:val="000B2D06"/>
    <w:rsid w:val="000B5137"/>
    <w:rsid w:val="000B757E"/>
    <w:rsid w:val="000C2E5F"/>
    <w:rsid w:val="000C6E1C"/>
    <w:rsid w:val="000C7369"/>
    <w:rsid w:val="000D16B8"/>
    <w:rsid w:val="000D3F7C"/>
    <w:rsid w:val="000D50F9"/>
    <w:rsid w:val="000E03D1"/>
    <w:rsid w:val="000E3779"/>
    <w:rsid w:val="000E5676"/>
    <w:rsid w:val="001037D1"/>
    <w:rsid w:val="00113971"/>
    <w:rsid w:val="001208E0"/>
    <w:rsid w:val="0012383B"/>
    <w:rsid w:val="001453D3"/>
    <w:rsid w:val="00154763"/>
    <w:rsid w:val="00157412"/>
    <w:rsid w:val="00166BB5"/>
    <w:rsid w:val="00170C5D"/>
    <w:rsid w:val="00172900"/>
    <w:rsid w:val="001750F7"/>
    <w:rsid w:val="00182BC4"/>
    <w:rsid w:val="0019070E"/>
    <w:rsid w:val="001A0221"/>
    <w:rsid w:val="001B592B"/>
    <w:rsid w:val="001C0528"/>
    <w:rsid w:val="001C0AA6"/>
    <w:rsid w:val="001C13FA"/>
    <w:rsid w:val="001C1FE8"/>
    <w:rsid w:val="001C625A"/>
    <w:rsid w:val="001C6C98"/>
    <w:rsid w:val="001E26DA"/>
    <w:rsid w:val="001E5248"/>
    <w:rsid w:val="002007B6"/>
    <w:rsid w:val="00202FB2"/>
    <w:rsid w:val="00203C9E"/>
    <w:rsid w:val="00205A86"/>
    <w:rsid w:val="0021173D"/>
    <w:rsid w:val="0021327A"/>
    <w:rsid w:val="00216F06"/>
    <w:rsid w:val="00217603"/>
    <w:rsid w:val="00222E21"/>
    <w:rsid w:val="0022322B"/>
    <w:rsid w:val="00237706"/>
    <w:rsid w:val="002528D8"/>
    <w:rsid w:val="00254AE9"/>
    <w:rsid w:val="00256A44"/>
    <w:rsid w:val="00260316"/>
    <w:rsid w:val="00263A41"/>
    <w:rsid w:val="00263B3C"/>
    <w:rsid w:val="00272F44"/>
    <w:rsid w:val="00275C7E"/>
    <w:rsid w:val="002774CA"/>
    <w:rsid w:val="002777F9"/>
    <w:rsid w:val="00280C7B"/>
    <w:rsid w:val="002827B6"/>
    <w:rsid w:val="00291608"/>
    <w:rsid w:val="002A1E8E"/>
    <w:rsid w:val="002A2811"/>
    <w:rsid w:val="002A57B6"/>
    <w:rsid w:val="002A5D54"/>
    <w:rsid w:val="002B06A8"/>
    <w:rsid w:val="002B078E"/>
    <w:rsid w:val="002B0D35"/>
    <w:rsid w:val="002B737B"/>
    <w:rsid w:val="002C1B82"/>
    <w:rsid w:val="002C4394"/>
    <w:rsid w:val="002C5705"/>
    <w:rsid w:val="002C58B2"/>
    <w:rsid w:val="002C7233"/>
    <w:rsid w:val="002E4D16"/>
    <w:rsid w:val="002E5893"/>
    <w:rsid w:val="002F11D1"/>
    <w:rsid w:val="002F7D79"/>
    <w:rsid w:val="00302B0C"/>
    <w:rsid w:val="00303D55"/>
    <w:rsid w:val="0030442F"/>
    <w:rsid w:val="00305F21"/>
    <w:rsid w:val="00307218"/>
    <w:rsid w:val="003245AA"/>
    <w:rsid w:val="00324878"/>
    <w:rsid w:val="00327512"/>
    <w:rsid w:val="0033061D"/>
    <w:rsid w:val="00330A89"/>
    <w:rsid w:val="00344209"/>
    <w:rsid w:val="0036169B"/>
    <w:rsid w:val="00364DBC"/>
    <w:rsid w:val="00365CA3"/>
    <w:rsid w:val="0036766C"/>
    <w:rsid w:val="00372326"/>
    <w:rsid w:val="00386377"/>
    <w:rsid w:val="00390E29"/>
    <w:rsid w:val="00395742"/>
    <w:rsid w:val="003971F2"/>
    <w:rsid w:val="003A4C75"/>
    <w:rsid w:val="003A552D"/>
    <w:rsid w:val="003A64A0"/>
    <w:rsid w:val="003A6E65"/>
    <w:rsid w:val="003A7029"/>
    <w:rsid w:val="003B330D"/>
    <w:rsid w:val="003B497F"/>
    <w:rsid w:val="003C3510"/>
    <w:rsid w:val="003C3701"/>
    <w:rsid w:val="003C487B"/>
    <w:rsid w:val="003D28D6"/>
    <w:rsid w:val="003D40CD"/>
    <w:rsid w:val="003E12AC"/>
    <w:rsid w:val="003E6310"/>
    <w:rsid w:val="003E7B15"/>
    <w:rsid w:val="003F4D11"/>
    <w:rsid w:val="00400C63"/>
    <w:rsid w:val="004142FC"/>
    <w:rsid w:val="00414CD4"/>
    <w:rsid w:val="00420404"/>
    <w:rsid w:val="004214B8"/>
    <w:rsid w:val="004226B1"/>
    <w:rsid w:val="004248BD"/>
    <w:rsid w:val="0043284E"/>
    <w:rsid w:val="004408E4"/>
    <w:rsid w:val="00443E3D"/>
    <w:rsid w:val="00445FEA"/>
    <w:rsid w:val="004465F2"/>
    <w:rsid w:val="00456DD0"/>
    <w:rsid w:val="00457F0F"/>
    <w:rsid w:val="00467320"/>
    <w:rsid w:val="00472F42"/>
    <w:rsid w:val="004834A9"/>
    <w:rsid w:val="0049439C"/>
    <w:rsid w:val="004A0998"/>
    <w:rsid w:val="004B0375"/>
    <w:rsid w:val="004B3C26"/>
    <w:rsid w:val="004B5B51"/>
    <w:rsid w:val="004C0C6E"/>
    <w:rsid w:val="004C249B"/>
    <w:rsid w:val="004C3DFB"/>
    <w:rsid w:val="004C4638"/>
    <w:rsid w:val="004C6CC8"/>
    <w:rsid w:val="004D10F0"/>
    <w:rsid w:val="004D55E2"/>
    <w:rsid w:val="004D652A"/>
    <w:rsid w:val="004E3C97"/>
    <w:rsid w:val="004E507E"/>
    <w:rsid w:val="004E7E3C"/>
    <w:rsid w:val="004F35DC"/>
    <w:rsid w:val="004F3913"/>
    <w:rsid w:val="004F51BE"/>
    <w:rsid w:val="00505EBB"/>
    <w:rsid w:val="00511366"/>
    <w:rsid w:val="00514404"/>
    <w:rsid w:val="00514BDC"/>
    <w:rsid w:val="00516DD0"/>
    <w:rsid w:val="005211F1"/>
    <w:rsid w:val="005256D6"/>
    <w:rsid w:val="0052792C"/>
    <w:rsid w:val="00551C48"/>
    <w:rsid w:val="00552200"/>
    <w:rsid w:val="005563CB"/>
    <w:rsid w:val="005569B1"/>
    <w:rsid w:val="00566380"/>
    <w:rsid w:val="00566A35"/>
    <w:rsid w:val="0057572A"/>
    <w:rsid w:val="0058502B"/>
    <w:rsid w:val="005A0077"/>
    <w:rsid w:val="005A0BD7"/>
    <w:rsid w:val="005A1B86"/>
    <w:rsid w:val="005A31EA"/>
    <w:rsid w:val="005A34BB"/>
    <w:rsid w:val="005A356E"/>
    <w:rsid w:val="005B2C5D"/>
    <w:rsid w:val="005C5D4E"/>
    <w:rsid w:val="005D0116"/>
    <w:rsid w:val="005D3130"/>
    <w:rsid w:val="005D395C"/>
    <w:rsid w:val="005D6A44"/>
    <w:rsid w:val="005D7DA5"/>
    <w:rsid w:val="005E07AA"/>
    <w:rsid w:val="005F0A07"/>
    <w:rsid w:val="00602DB5"/>
    <w:rsid w:val="00604561"/>
    <w:rsid w:val="00604E57"/>
    <w:rsid w:val="00606F34"/>
    <w:rsid w:val="00607A38"/>
    <w:rsid w:val="006154BA"/>
    <w:rsid w:val="00615CC2"/>
    <w:rsid w:val="00615DD7"/>
    <w:rsid w:val="00623E8E"/>
    <w:rsid w:val="006269B5"/>
    <w:rsid w:val="00627036"/>
    <w:rsid w:val="00631095"/>
    <w:rsid w:val="00647F20"/>
    <w:rsid w:val="00650827"/>
    <w:rsid w:val="00650F03"/>
    <w:rsid w:val="00654DC0"/>
    <w:rsid w:val="00657BA6"/>
    <w:rsid w:val="00660195"/>
    <w:rsid w:val="00666D03"/>
    <w:rsid w:val="00667526"/>
    <w:rsid w:val="006741BC"/>
    <w:rsid w:val="006743FC"/>
    <w:rsid w:val="00674B5F"/>
    <w:rsid w:val="00680260"/>
    <w:rsid w:val="00681A8D"/>
    <w:rsid w:val="00690923"/>
    <w:rsid w:val="00690FCD"/>
    <w:rsid w:val="00691956"/>
    <w:rsid w:val="00692564"/>
    <w:rsid w:val="00692CF6"/>
    <w:rsid w:val="006930B6"/>
    <w:rsid w:val="006949EC"/>
    <w:rsid w:val="00697F49"/>
    <w:rsid w:val="006A3807"/>
    <w:rsid w:val="006B1C72"/>
    <w:rsid w:val="006B45AF"/>
    <w:rsid w:val="006B7822"/>
    <w:rsid w:val="006C2B51"/>
    <w:rsid w:val="006C706D"/>
    <w:rsid w:val="006D16EC"/>
    <w:rsid w:val="006E2A7B"/>
    <w:rsid w:val="006E727A"/>
    <w:rsid w:val="006F0187"/>
    <w:rsid w:val="006F45C5"/>
    <w:rsid w:val="006F6BF4"/>
    <w:rsid w:val="00701C4B"/>
    <w:rsid w:val="00702422"/>
    <w:rsid w:val="007275D8"/>
    <w:rsid w:val="007318AD"/>
    <w:rsid w:val="0073260D"/>
    <w:rsid w:val="00733306"/>
    <w:rsid w:val="00733382"/>
    <w:rsid w:val="00740194"/>
    <w:rsid w:val="0074778C"/>
    <w:rsid w:val="007541E4"/>
    <w:rsid w:val="007609E9"/>
    <w:rsid w:val="00765306"/>
    <w:rsid w:val="00765F01"/>
    <w:rsid w:val="00766E01"/>
    <w:rsid w:val="00770F5A"/>
    <w:rsid w:val="00771551"/>
    <w:rsid w:val="007731D4"/>
    <w:rsid w:val="00773A20"/>
    <w:rsid w:val="00773F2D"/>
    <w:rsid w:val="00776F7D"/>
    <w:rsid w:val="0078668B"/>
    <w:rsid w:val="007A5E16"/>
    <w:rsid w:val="007A65F0"/>
    <w:rsid w:val="007B0416"/>
    <w:rsid w:val="007B2886"/>
    <w:rsid w:val="007B3009"/>
    <w:rsid w:val="007B57DB"/>
    <w:rsid w:val="007B5BAE"/>
    <w:rsid w:val="007C075F"/>
    <w:rsid w:val="007C1981"/>
    <w:rsid w:val="007C4247"/>
    <w:rsid w:val="007C5BB2"/>
    <w:rsid w:val="007D0439"/>
    <w:rsid w:val="007D6EB1"/>
    <w:rsid w:val="007D7C4A"/>
    <w:rsid w:val="007E00D9"/>
    <w:rsid w:val="007E377F"/>
    <w:rsid w:val="007F1105"/>
    <w:rsid w:val="007F36CB"/>
    <w:rsid w:val="007F3AAB"/>
    <w:rsid w:val="00800384"/>
    <w:rsid w:val="00802F34"/>
    <w:rsid w:val="00806459"/>
    <w:rsid w:val="00806601"/>
    <w:rsid w:val="00807037"/>
    <w:rsid w:val="00807407"/>
    <w:rsid w:val="0081560F"/>
    <w:rsid w:val="00820628"/>
    <w:rsid w:val="00820F09"/>
    <w:rsid w:val="0082547F"/>
    <w:rsid w:val="0084075A"/>
    <w:rsid w:val="00843DA4"/>
    <w:rsid w:val="00844890"/>
    <w:rsid w:val="00853CBD"/>
    <w:rsid w:val="00855C39"/>
    <w:rsid w:val="00857A2D"/>
    <w:rsid w:val="00861AF3"/>
    <w:rsid w:val="0086559C"/>
    <w:rsid w:val="00865AC0"/>
    <w:rsid w:val="00871B03"/>
    <w:rsid w:val="008774FC"/>
    <w:rsid w:val="008A06AC"/>
    <w:rsid w:val="008A0BBF"/>
    <w:rsid w:val="008A1F25"/>
    <w:rsid w:val="008B3DEF"/>
    <w:rsid w:val="008B5741"/>
    <w:rsid w:val="008C565B"/>
    <w:rsid w:val="008C60B3"/>
    <w:rsid w:val="008D6375"/>
    <w:rsid w:val="008F21F4"/>
    <w:rsid w:val="008F6D9B"/>
    <w:rsid w:val="008F6E5A"/>
    <w:rsid w:val="00903FA5"/>
    <w:rsid w:val="0090752F"/>
    <w:rsid w:val="00911FCC"/>
    <w:rsid w:val="009130C9"/>
    <w:rsid w:val="00913AB9"/>
    <w:rsid w:val="00916B04"/>
    <w:rsid w:val="00926B67"/>
    <w:rsid w:val="00927E73"/>
    <w:rsid w:val="009302B8"/>
    <w:rsid w:val="009357E4"/>
    <w:rsid w:val="0094079F"/>
    <w:rsid w:val="0094208C"/>
    <w:rsid w:val="0094722E"/>
    <w:rsid w:val="009503F9"/>
    <w:rsid w:val="0095111F"/>
    <w:rsid w:val="009553FE"/>
    <w:rsid w:val="00956828"/>
    <w:rsid w:val="00962004"/>
    <w:rsid w:val="009633BD"/>
    <w:rsid w:val="00963E2E"/>
    <w:rsid w:val="00964F70"/>
    <w:rsid w:val="00971280"/>
    <w:rsid w:val="009826A9"/>
    <w:rsid w:val="009946C7"/>
    <w:rsid w:val="00996672"/>
    <w:rsid w:val="009A18FD"/>
    <w:rsid w:val="009A54D2"/>
    <w:rsid w:val="009A7F05"/>
    <w:rsid w:val="009C5ADE"/>
    <w:rsid w:val="009C621F"/>
    <w:rsid w:val="009D00E7"/>
    <w:rsid w:val="009D1A96"/>
    <w:rsid w:val="009D22A1"/>
    <w:rsid w:val="009E1339"/>
    <w:rsid w:val="009E4DC4"/>
    <w:rsid w:val="009F6352"/>
    <w:rsid w:val="009F73ED"/>
    <w:rsid w:val="009F76D2"/>
    <w:rsid w:val="009F7B8E"/>
    <w:rsid w:val="00A02BD3"/>
    <w:rsid w:val="00A032AA"/>
    <w:rsid w:val="00A112EE"/>
    <w:rsid w:val="00A17768"/>
    <w:rsid w:val="00A20D90"/>
    <w:rsid w:val="00A2156A"/>
    <w:rsid w:val="00A37D59"/>
    <w:rsid w:val="00A4152D"/>
    <w:rsid w:val="00A42363"/>
    <w:rsid w:val="00A45773"/>
    <w:rsid w:val="00A55DF2"/>
    <w:rsid w:val="00A647A7"/>
    <w:rsid w:val="00A65D74"/>
    <w:rsid w:val="00A70910"/>
    <w:rsid w:val="00A71CBD"/>
    <w:rsid w:val="00A72636"/>
    <w:rsid w:val="00A73530"/>
    <w:rsid w:val="00A74F78"/>
    <w:rsid w:val="00A75046"/>
    <w:rsid w:val="00A77781"/>
    <w:rsid w:val="00A82F34"/>
    <w:rsid w:val="00A838F6"/>
    <w:rsid w:val="00A871A2"/>
    <w:rsid w:val="00A957F7"/>
    <w:rsid w:val="00A96EE0"/>
    <w:rsid w:val="00AA2CAE"/>
    <w:rsid w:val="00AA50E9"/>
    <w:rsid w:val="00AA692A"/>
    <w:rsid w:val="00AB0BE3"/>
    <w:rsid w:val="00AB4E97"/>
    <w:rsid w:val="00AC68B1"/>
    <w:rsid w:val="00AD08F6"/>
    <w:rsid w:val="00AD30FC"/>
    <w:rsid w:val="00AE1692"/>
    <w:rsid w:val="00AE3B9E"/>
    <w:rsid w:val="00AF04A1"/>
    <w:rsid w:val="00B01570"/>
    <w:rsid w:val="00B10313"/>
    <w:rsid w:val="00B112CC"/>
    <w:rsid w:val="00B12DA6"/>
    <w:rsid w:val="00B2081C"/>
    <w:rsid w:val="00B21E69"/>
    <w:rsid w:val="00B25A1E"/>
    <w:rsid w:val="00B31633"/>
    <w:rsid w:val="00B3584A"/>
    <w:rsid w:val="00B36685"/>
    <w:rsid w:val="00B47BBF"/>
    <w:rsid w:val="00B50B4A"/>
    <w:rsid w:val="00B62F9F"/>
    <w:rsid w:val="00B64807"/>
    <w:rsid w:val="00B67FFC"/>
    <w:rsid w:val="00B71165"/>
    <w:rsid w:val="00B71697"/>
    <w:rsid w:val="00B7311F"/>
    <w:rsid w:val="00B73ADA"/>
    <w:rsid w:val="00B755A5"/>
    <w:rsid w:val="00B76D3B"/>
    <w:rsid w:val="00B802F8"/>
    <w:rsid w:val="00B82DAB"/>
    <w:rsid w:val="00BA2E78"/>
    <w:rsid w:val="00BB7230"/>
    <w:rsid w:val="00BC29B0"/>
    <w:rsid w:val="00BC3299"/>
    <w:rsid w:val="00BC627E"/>
    <w:rsid w:val="00BC6E7C"/>
    <w:rsid w:val="00BC7EE7"/>
    <w:rsid w:val="00BD23C6"/>
    <w:rsid w:val="00BF0E6C"/>
    <w:rsid w:val="00BF1988"/>
    <w:rsid w:val="00BF5A40"/>
    <w:rsid w:val="00BF7610"/>
    <w:rsid w:val="00C0055E"/>
    <w:rsid w:val="00C11623"/>
    <w:rsid w:val="00C11AE1"/>
    <w:rsid w:val="00C13C80"/>
    <w:rsid w:val="00C21136"/>
    <w:rsid w:val="00C256BC"/>
    <w:rsid w:val="00C25DF8"/>
    <w:rsid w:val="00C342F3"/>
    <w:rsid w:val="00C36D5A"/>
    <w:rsid w:val="00C46095"/>
    <w:rsid w:val="00C5328D"/>
    <w:rsid w:val="00C6282C"/>
    <w:rsid w:val="00C64CBE"/>
    <w:rsid w:val="00C651F8"/>
    <w:rsid w:val="00C671BA"/>
    <w:rsid w:val="00C73C61"/>
    <w:rsid w:val="00C76F60"/>
    <w:rsid w:val="00C81C29"/>
    <w:rsid w:val="00CA11CA"/>
    <w:rsid w:val="00CA3821"/>
    <w:rsid w:val="00CB7C27"/>
    <w:rsid w:val="00CC2A42"/>
    <w:rsid w:val="00CD1C2B"/>
    <w:rsid w:val="00CD282C"/>
    <w:rsid w:val="00CD39B8"/>
    <w:rsid w:val="00CE074F"/>
    <w:rsid w:val="00CE24C4"/>
    <w:rsid w:val="00CE25FC"/>
    <w:rsid w:val="00CE472A"/>
    <w:rsid w:val="00CF1146"/>
    <w:rsid w:val="00CF1458"/>
    <w:rsid w:val="00D044AA"/>
    <w:rsid w:val="00D058F7"/>
    <w:rsid w:val="00D06B7A"/>
    <w:rsid w:val="00D07F42"/>
    <w:rsid w:val="00D11BEC"/>
    <w:rsid w:val="00D123C3"/>
    <w:rsid w:val="00D139E9"/>
    <w:rsid w:val="00D13B53"/>
    <w:rsid w:val="00D177CB"/>
    <w:rsid w:val="00D3066E"/>
    <w:rsid w:val="00D419DD"/>
    <w:rsid w:val="00D4269B"/>
    <w:rsid w:val="00D449B6"/>
    <w:rsid w:val="00D512BA"/>
    <w:rsid w:val="00D564B5"/>
    <w:rsid w:val="00D81C82"/>
    <w:rsid w:val="00D86A37"/>
    <w:rsid w:val="00D87A40"/>
    <w:rsid w:val="00D915A9"/>
    <w:rsid w:val="00D921D4"/>
    <w:rsid w:val="00D925F0"/>
    <w:rsid w:val="00D92DC0"/>
    <w:rsid w:val="00D95713"/>
    <w:rsid w:val="00DA209E"/>
    <w:rsid w:val="00DA306A"/>
    <w:rsid w:val="00DA6AB2"/>
    <w:rsid w:val="00DB0CD6"/>
    <w:rsid w:val="00DB1DAC"/>
    <w:rsid w:val="00DB33A6"/>
    <w:rsid w:val="00DB439D"/>
    <w:rsid w:val="00DB6067"/>
    <w:rsid w:val="00DC345A"/>
    <w:rsid w:val="00DD1D18"/>
    <w:rsid w:val="00DD5190"/>
    <w:rsid w:val="00DD7D85"/>
    <w:rsid w:val="00DE40EC"/>
    <w:rsid w:val="00DF7D94"/>
    <w:rsid w:val="00E01380"/>
    <w:rsid w:val="00E0162E"/>
    <w:rsid w:val="00E03866"/>
    <w:rsid w:val="00E046B1"/>
    <w:rsid w:val="00E21A26"/>
    <w:rsid w:val="00E24827"/>
    <w:rsid w:val="00E27097"/>
    <w:rsid w:val="00E31755"/>
    <w:rsid w:val="00E32A01"/>
    <w:rsid w:val="00E452D4"/>
    <w:rsid w:val="00E4625F"/>
    <w:rsid w:val="00E47802"/>
    <w:rsid w:val="00E52268"/>
    <w:rsid w:val="00E624EB"/>
    <w:rsid w:val="00E75C1A"/>
    <w:rsid w:val="00E75F08"/>
    <w:rsid w:val="00E84E0A"/>
    <w:rsid w:val="00E867EF"/>
    <w:rsid w:val="00EA067A"/>
    <w:rsid w:val="00EA66B3"/>
    <w:rsid w:val="00EB1D91"/>
    <w:rsid w:val="00EC160D"/>
    <w:rsid w:val="00EC7466"/>
    <w:rsid w:val="00EC7FEB"/>
    <w:rsid w:val="00ED56B2"/>
    <w:rsid w:val="00ED633B"/>
    <w:rsid w:val="00EE51FD"/>
    <w:rsid w:val="00EE5AD9"/>
    <w:rsid w:val="00EE5D63"/>
    <w:rsid w:val="00F06D7D"/>
    <w:rsid w:val="00F12D12"/>
    <w:rsid w:val="00F13D0D"/>
    <w:rsid w:val="00F24CE9"/>
    <w:rsid w:val="00F32A5E"/>
    <w:rsid w:val="00F3356D"/>
    <w:rsid w:val="00F342A0"/>
    <w:rsid w:val="00F43A9B"/>
    <w:rsid w:val="00F46F42"/>
    <w:rsid w:val="00F506BF"/>
    <w:rsid w:val="00F52BE1"/>
    <w:rsid w:val="00F54276"/>
    <w:rsid w:val="00F624BA"/>
    <w:rsid w:val="00F72CFE"/>
    <w:rsid w:val="00F75A94"/>
    <w:rsid w:val="00F76EA2"/>
    <w:rsid w:val="00F77B80"/>
    <w:rsid w:val="00F82161"/>
    <w:rsid w:val="00F83D65"/>
    <w:rsid w:val="00FA445C"/>
    <w:rsid w:val="00FB17B3"/>
    <w:rsid w:val="00FB530C"/>
    <w:rsid w:val="00FB5539"/>
    <w:rsid w:val="00FB784F"/>
    <w:rsid w:val="00FD14D6"/>
    <w:rsid w:val="00FD17F7"/>
    <w:rsid w:val="00FE40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910F16"/>
  <w14:defaultImageDpi w14:val="330"/>
  <w15:docId w15:val="{A08B7D21-06FC-45AF-A133-F8FB9C1DC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668B"/>
    <w:pPr>
      <w:spacing w:after="160" w:line="259" w:lineRule="auto"/>
    </w:pPr>
    <w:rPr>
      <w:rFonts w:ascii="Calibri" w:eastAsia="Calibri" w:hAnsi="Calibri" w:cs="Calibri"/>
      <w:sz w:val="22"/>
      <w:szCs w:val="22"/>
      <w:lang w:val="pt-BR" w:eastAsia="pt-BR"/>
    </w:rPr>
  </w:style>
  <w:style w:type="paragraph" w:styleId="Ttulo1">
    <w:name w:val="heading 1"/>
    <w:basedOn w:val="Normal"/>
    <w:next w:val="Normal"/>
    <w:link w:val="Ttulo1Char"/>
    <w:uiPriority w:val="9"/>
    <w:qFormat/>
    <w:pPr>
      <w:keepNext/>
      <w:jc w:val="center"/>
      <w:outlineLvl w:val="0"/>
    </w:pPr>
    <w:rPr>
      <w:i/>
    </w:rPr>
  </w:style>
  <w:style w:type="paragraph" w:styleId="Ttulo2">
    <w:name w:val="heading 2"/>
    <w:basedOn w:val="Normal"/>
    <w:next w:val="Normal"/>
    <w:link w:val="Ttulo2Char"/>
    <w:uiPriority w:val="9"/>
    <w:qFormat/>
    <w:pPr>
      <w:keepNext/>
      <w:outlineLvl w:val="1"/>
    </w:pPr>
    <w:rPr>
      <w:b/>
      <w:i/>
      <w:sz w:val="28"/>
    </w:rPr>
  </w:style>
  <w:style w:type="paragraph" w:styleId="Ttulo3">
    <w:name w:val="heading 3"/>
    <w:basedOn w:val="Normal"/>
    <w:next w:val="Normal"/>
    <w:link w:val="Ttulo3Char"/>
    <w:uiPriority w:val="9"/>
    <w:qFormat/>
    <w:pPr>
      <w:keepNext/>
      <w:jc w:val="center"/>
      <w:outlineLvl w:val="2"/>
    </w:pPr>
    <w:rPr>
      <w:b/>
      <w:i/>
      <w:sz w:val="26"/>
    </w:rPr>
  </w:style>
  <w:style w:type="paragraph" w:styleId="Ttulo4">
    <w:name w:val="heading 4"/>
    <w:basedOn w:val="Normal"/>
    <w:next w:val="Normal"/>
    <w:link w:val="Ttulo4Char"/>
    <w:uiPriority w:val="9"/>
    <w:qFormat/>
    <w:pPr>
      <w:keepNext/>
      <w:outlineLvl w:val="3"/>
    </w:pPr>
    <w:rPr>
      <w:b/>
      <w:i/>
      <w:sz w:val="28"/>
      <w:u w:val="single"/>
    </w:rPr>
  </w:style>
  <w:style w:type="paragraph" w:styleId="Ttulo5">
    <w:name w:val="heading 5"/>
    <w:basedOn w:val="Normal"/>
    <w:next w:val="Normal"/>
    <w:link w:val="Ttulo5Char"/>
    <w:uiPriority w:val="9"/>
    <w:qFormat/>
    <w:pPr>
      <w:keepNext/>
      <w:outlineLvl w:val="4"/>
    </w:pPr>
    <w:rPr>
      <w:i/>
      <w:sz w:val="16"/>
      <w:u w:val="single"/>
    </w:rPr>
  </w:style>
  <w:style w:type="paragraph" w:styleId="Ttulo6">
    <w:name w:val="heading 6"/>
    <w:basedOn w:val="Normal"/>
    <w:next w:val="Normal"/>
    <w:link w:val="Ttulo6Char"/>
    <w:uiPriority w:val="9"/>
    <w:qFormat/>
    <w:pPr>
      <w:keepNext/>
      <w:outlineLvl w:val="5"/>
    </w:pPr>
    <w:rPr>
      <w:i/>
      <w:sz w:val="28"/>
      <w:u w:val="single"/>
    </w:rPr>
  </w:style>
  <w:style w:type="paragraph" w:styleId="Ttulo7">
    <w:name w:val="heading 7"/>
    <w:basedOn w:val="Normal"/>
    <w:next w:val="Normal"/>
    <w:qFormat/>
    <w:pPr>
      <w:keepNext/>
      <w:jc w:val="center"/>
      <w:outlineLvl w:val="6"/>
    </w:pPr>
    <w:rPr>
      <w:rFonts w:ascii="Arial" w:hAnsi="Arial"/>
    </w:rPr>
  </w:style>
  <w:style w:type="paragraph" w:styleId="Ttulo8">
    <w:name w:val="heading 8"/>
    <w:basedOn w:val="Normal"/>
    <w:next w:val="Normal"/>
    <w:qFormat/>
    <w:pPr>
      <w:keepNext/>
      <w:jc w:val="both"/>
      <w:outlineLvl w:val="7"/>
    </w:pPr>
    <w:rPr>
      <w:rFonts w:ascii="Arial" w:hAnsi="Arial"/>
      <w:b/>
      <w:sz w:val="28"/>
    </w:rPr>
  </w:style>
  <w:style w:type="paragraph" w:styleId="Ttulo9">
    <w:name w:val="heading 9"/>
    <w:basedOn w:val="Normal"/>
    <w:next w:val="Normal"/>
    <w:qFormat/>
    <w:pPr>
      <w:keepNext/>
      <w:jc w:val="right"/>
      <w:outlineLvl w:val="8"/>
    </w:pPr>
    <w:rPr>
      <w:rFonts w:ascii="Arial" w:hAnsi="Arial"/>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semiHidden/>
    <w:pPr>
      <w:ind w:firstLine="1418"/>
      <w:jc w:val="both"/>
    </w:pPr>
    <w:rPr>
      <w:i/>
      <w:sz w:val="28"/>
    </w:rPr>
  </w:style>
  <w:style w:type="paragraph" w:styleId="Cabealho">
    <w:name w:val="header"/>
    <w:basedOn w:val="Normal"/>
    <w:link w:val="CabealhoChar"/>
    <w:pPr>
      <w:tabs>
        <w:tab w:val="center" w:pos="4419"/>
        <w:tab w:val="right" w:pos="8838"/>
      </w:tabs>
    </w:pPr>
  </w:style>
  <w:style w:type="paragraph" w:styleId="Rodap">
    <w:name w:val="footer"/>
    <w:basedOn w:val="Normal"/>
    <w:link w:val="RodapChar"/>
    <w:uiPriority w:val="99"/>
    <w:pPr>
      <w:tabs>
        <w:tab w:val="center" w:pos="4419"/>
        <w:tab w:val="right" w:pos="8838"/>
      </w:tabs>
    </w:pPr>
  </w:style>
  <w:style w:type="paragraph" w:styleId="Recuodecorpodetexto2">
    <w:name w:val="Body Text Indent 2"/>
    <w:basedOn w:val="Normal"/>
    <w:link w:val="Recuodecorpodetexto2Char"/>
    <w:semiHidden/>
    <w:pPr>
      <w:ind w:firstLine="1701"/>
      <w:jc w:val="both"/>
    </w:pPr>
    <w:rPr>
      <w:sz w:val="28"/>
    </w:rPr>
  </w:style>
  <w:style w:type="paragraph" w:styleId="Recuodecorpodetexto3">
    <w:name w:val="Body Text Indent 3"/>
    <w:basedOn w:val="Normal"/>
    <w:semiHidden/>
    <w:pPr>
      <w:ind w:firstLine="1418"/>
      <w:jc w:val="both"/>
    </w:pPr>
    <w:rPr>
      <w:sz w:val="28"/>
    </w:rPr>
  </w:style>
  <w:style w:type="paragraph" w:styleId="Corpodetexto">
    <w:name w:val="Body Text"/>
    <w:basedOn w:val="Normal"/>
    <w:link w:val="CorpodetextoChar"/>
    <w:uiPriority w:val="1"/>
    <w:qFormat/>
    <w:pPr>
      <w:tabs>
        <w:tab w:val="left" w:pos="1418"/>
      </w:tabs>
      <w:jc w:val="both"/>
    </w:pPr>
    <w:rPr>
      <w:rFonts w:ascii="Arial" w:hAnsi="Arial"/>
      <w:sz w:val="28"/>
    </w:rPr>
  </w:style>
  <w:style w:type="paragraph" w:styleId="Corpodetexto2">
    <w:name w:val="Body Text 2"/>
    <w:basedOn w:val="Normal"/>
    <w:semiHidden/>
    <w:pPr>
      <w:tabs>
        <w:tab w:val="left" w:pos="1418"/>
      </w:tabs>
      <w:ind w:right="-1"/>
      <w:jc w:val="both"/>
    </w:pPr>
    <w:rPr>
      <w:rFonts w:ascii="Arial" w:hAnsi="Arial"/>
      <w:sz w:val="26"/>
    </w:rPr>
  </w:style>
  <w:style w:type="character" w:styleId="Nmerodepgina">
    <w:name w:val="page number"/>
    <w:basedOn w:val="Fontepargpadro"/>
    <w:uiPriority w:val="99"/>
    <w:semiHidden/>
  </w:style>
  <w:style w:type="paragraph" w:styleId="Corpodetexto3">
    <w:name w:val="Body Text 3"/>
    <w:basedOn w:val="Normal"/>
    <w:semiHidden/>
    <w:pPr>
      <w:tabs>
        <w:tab w:val="left" w:pos="1701"/>
      </w:tabs>
      <w:jc w:val="both"/>
    </w:pPr>
    <w:rPr>
      <w:rFonts w:ascii="Arial" w:hAnsi="Arial" w:cs="Arial"/>
    </w:rPr>
  </w:style>
  <w:style w:type="paragraph" w:styleId="NormalWeb">
    <w:name w:val="Normal (Web)"/>
    <w:basedOn w:val="Normal"/>
    <w:uiPriority w:val="99"/>
    <w:semiHidden/>
    <w:unhideWhenUsed/>
    <w:rsid w:val="000D16B8"/>
    <w:pPr>
      <w:spacing w:before="100" w:beforeAutospacing="1" w:after="100" w:afterAutospacing="1"/>
    </w:pPr>
    <w:rPr>
      <w:szCs w:val="24"/>
    </w:rPr>
  </w:style>
  <w:style w:type="table" w:styleId="Tabelacomgrade">
    <w:name w:val="Table Grid"/>
    <w:basedOn w:val="Tabelanormal"/>
    <w:uiPriority w:val="39"/>
    <w:rsid w:val="00AE3B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bealhoChar">
    <w:name w:val="Cabeçalho Char"/>
    <w:basedOn w:val="Fontepargpadro"/>
    <w:link w:val="Cabealho"/>
    <w:rsid w:val="00386377"/>
  </w:style>
  <w:style w:type="character" w:customStyle="1" w:styleId="RodapChar">
    <w:name w:val="Rodapé Char"/>
    <w:basedOn w:val="Fontepargpadro"/>
    <w:link w:val="Rodap"/>
    <w:uiPriority w:val="99"/>
    <w:rsid w:val="00865AC0"/>
  </w:style>
  <w:style w:type="character" w:customStyle="1" w:styleId="apple-converted-space">
    <w:name w:val="apple-converted-space"/>
    <w:basedOn w:val="Fontepargpadro"/>
    <w:rsid w:val="00F82161"/>
  </w:style>
  <w:style w:type="character" w:customStyle="1" w:styleId="highlight">
    <w:name w:val="highlight"/>
    <w:basedOn w:val="Fontepargpadro"/>
    <w:rsid w:val="00F82161"/>
  </w:style>
  <w:style w:type="paragraph" w:styleId="Textodebalo">
    <w:name w:val="Balloon Text"/>
    <w:basedOn w:val="Normal"/>
    <w:link w:val="TextodebaloChar"/>
    <w:uiPriority w:val="99"/>
    <w:semiHidden/>
    <w:unhideWhenUsed/>
    <w:rsid w:val="005A34BB"/>
    <w:rPr>
      <w:rFonts w:ascii="Tahoma" w:hAnsi="Tahoma" w:cs="Tahoma"/>
      <w:sz w:val="16"/>
      <w:szCs w:val="16"/>
    </w:rPr>
  </w:style>
  <w:style w:type="character" w:customStyle="1" w:styleId="TextodebaloChar">
    <w:name w:val="Texto de balão Char"/>
    <w:basedOn w:val="Fontepargpadro"/>
    <w:link w:val="Textodebalo"/>
    <w:uiPriority w:val="99"/>
    <w:semiHidden/>
    <w:rsid w:val="005A34BB"/>
    <w:rPr>
      <w:rFonts w:ascii="Tahoma" w:hAnsi="Tahoma" w:cs="Tahoma"/>
      <w:sz w:val="16"/>
      <w:szCs w:val="16"/>
    </w:rPr>
  </w:style>
  <w:style w:type="character" w:styleId="Refdecomentrio">
    <w:name w:val="annotation reference"/>
    <w:basedOn w:val="Fontepargpadro"/>
    <w:uiPriority w:val="99"/>
    <w:semiHidden/>
    <w:unhideWhenUsed/>
    <w:rsid w:val="005A34BB"/>
    <w:rPr>
      <w:sz w:val="16"/>
      <w:szCs w:val="16"/>
    </w:rPr>
  </w:style>
  <w:style w:type="paragraph" w:styleId="Textodecomentrio">
    <w:name w:val="annotation text"/>
    <w:basedOn w:val="Normal"/>
    <w:link w:val="TextodecomentrioChar"/>
    <w:uiPriority w:val="99"/>
    <w:unhideWhenUsed/>
    <w:rsid w:val="005A34BB"/>
  </w:style>
  <w:style w:type="character" w:customStyle="1" w:styleId="TextodecomentrioChar">
    <w:name w:val="Texto de comentário Char"/>
    <w:basedOn w:val="Fontepargpadro"/>
    <w:link w:val="Textodecomentrio"/>
    <w:uiPriority w:val="99"/>
    <w:rsid w:val="005A34BB"/>
  </w:style>
  <w:style w:type="paragraph" w:styleId="Assuntodocomentrio">
    <w:name w:val="annotation subject"/>
    <w:basedOn w:val="Textodecomentrio"/>
    <w:next w:val="Textodecomentrio"/>
    <w:link w:val="AssuntodocomentrioChar"/>
    <w:uiPriority w:val="99"/>
    <w:semiHidden/>
    <w:unhideWhenUsed/>
    <w:rsid w:val="005A34BB"/>
    <w:rPr>
      <w:b/>
      <w:bCs/>
    </w:rPr>
  </w:style>
  <w:style w:type="character" w:customStyle="1" w:styleId="AssuntodocomentrioChar">
    <w:name w:val="Assunto do comentário Char"/>
    <w:basedOn w:val="TextodecomentrioChar"/>
    <w:link w:val="Assuntodocomentrio"/>
    <w:uiPriority w:val="99"/>
    <w:semiHidden/>
    <w:rsid w:val="005A34BB"/>
    <w:rPr>
      <w:b/>
      <w:bCs/>
    </w:rPr>
  </w:style>
  <w:style w:type="character" w:customStyle="1" w:styleId="Recuodecorpodetexto2Char">
    <w:name w:val="Recuo de corpo de texto 2 Char"/>
    <w:basedOn w:val="Fontepargpadro"/>
    <w:link w:val="Recuodecorpodetexto2"/>
    <w:semiHidden/>
    <w:rsid w:val="00964F70"/>
    <w:rPr>
      <w:sz w:val="28"/>
    </w:rPr>
  </w:style>
  <w:style w:type="character" w:styleId="Forte">
    <w:name w:val="Strong"/>
    <w:basedOn w:val="Fontepargpadro"/>
    <w:uiPriority w:val="22"/>
    <w:qFormat/>
    <w:rsid w:val="007A65F0"/>
    <w:rPr>
      <w:b/>
      <w:bCs/>
    </w:rPr>
  </w:style>
  <w:style w:type="character" w:styleId="Hyperlink">
    <w:name w:val="Hyperlink"/>
    <w:basedOn w:val="Fontepargpadro"/>
    <w:uiPriority w:val="99"/>
    <w:unhideWhenUsed/>
    <w:rsid w:val="007A65F0"/>
    <w:rPr>
      <w:color w:val="0000FF"/>
      <w:u w:val="single"/>
    </w:rPr>
  </w:style>
  <w:style w:type="paragraph" w:customStyle="1" w:styleId="Default">
    <w:name w:val="Default"/>
    <w:rsid w:val="001A0221"/>
    <w:pPr>
      <w:autoSpaceDE w:val="0"/>
      <w:autoSpaceDN w:val="0"/>
      <w:adjustRightInd w:val="0"/>
    </w:pPr>
    <w:rPr>
      <w:rFonts w:ascii="Arial" w:hAnsi="Arial" w:cs="Arial"/>
      <w:color w:val="000000"/>
      <w:sz w:val="24"/>
      <w:szCs w:val="24"/>
      <w:lang w:val="pt-BR"/>
    </w:rPr>
  </w:style>
  <w:style w:type="character" w:styleId="MenoPendente">
    <w:name w:val="Unresolved Mention"/>
    <w:basedOn w:val="Fontepargpadro"/>
    <w:uiPriority w:val="99"/>
    <w:semiHidden/>
    <w:unhideWhenUsed/>
    <w:rsid w:val="003A6E65"/>
    <w:rPr>
      <w:color w:val="605E5C"/>
      <w:shd w:val="clear" w:color="auto" w:fill="E1DFDD"/>
    </w:rPr>
  </w:style>
  <w:style w:type="character" w:customStyle="1" w:styleId="CorpodetextoChar">
    <w:name w:val="Corpo de texto Char"/>
    <w:basedOn w:val="Fontepargpadro"/>
    <w:link w:val="Corpodetexto"/>
    <w:uiPriority w:val="1"/>
    <w:rsid w:val="000E03D1"/>
    <w:rPr>
      <w:rFonts w:ascii="Arial" w:hAnsi="Arial"/>
      <w:sz w:val="28"/>
      <w:lang w:val="pt-BR" w:eastAsia="pt-BR"/>
    </w:rPr>
  </w:style>
  <w:style w:type="paragraph" w:styleId="Textodenotaderodap">
    <w:name w:val="footnote text"/>
    <w:basedOn w:val="Normal"/>
    <w:link w:val="TextodenotaderodapChar"/>
    <w:uiPriority w:val="99"/>
    <w:semiHidden/>
    <w:unhideWhenUsed/>
    <w:rsid w:val="000E03D1"/>
    <w:pPr>
      <w:spacing w:after="0"/>
    </w:pPr>
    <w:rPr>
      <w:rFonts w:ascii="Times New Roman" w:hAnsi="Times New Roman"/>
      <w:sz w:val="20"/>
    </w:rPr>
  </w:style>
  <w:style w:type="character" w:customStyle="1" w:styleId="TextodenotaderodapChar">
    <w:name w:val="Texto de nota de rodapé Char"/>
    <w:basedOn w:val="Fontepargpadro"/>
    <w:link w:val="Textodenotaderodap"/>
    <w:uiPriority w:val="99"/>
    <w:semiHidden/>
    <w:rsid w:val="000E03D1"/>
    <w:rPr>
      <w:lang w:val="pt-BR" w:eastAsia="pt-BR"/>
    </w:rPr>
  </w:style>
  <w:style w:type="character" w:styleId="Refdenotaderodap">
    <w:name w:val="footnote reference"/>
    <w:basedOn w:val="Fontepargpadro"/>
    <w:uiPriority w:val="99"/>
    <w:semiHidden/>
    <w:unhideWhenUsed/>
    <w:rsid w:val="000E03D1"/>
    <w:rPr>
      <w:vertAlign w:val="superscript"/>
    </w:rPr>
  </w:style>
  <w:style w:type="character" w:styleId="Nmerodelinha">
    <w:name w:val="line number"/>
    <w:basedOn w:val="Fontepargpadro"/>
    <w:uiPriority w:val="99"/>
    <w:semiHidden/>
    <w:unhideWhenUsed/>
    <w:rsid w:val="00857A2D"/>
  </w:style>
  <w:style w:type="paragraph" w:customStyle="1" w:styleId="IASBSectionTitle1NonInd">
    <w:name w:val="IASB Section Title 1 NonInd"/>
    <w:basedOn w:val="Normal"/>
    <w:rsid w:val="00BF7610"/>
    <w:pPr>
      <w:keepNext/>
      <w:keepLines/>
      <w:pBdr>
        <w:bottom w:val="single" w:sz="4" w:space="0" w:color="auto"/>
      </w:pBdr>
      <w:spacing w:before="400" w:after="200" w:line="240" w:lineRule="auto"/>
    </w:pPr>
    <w:rPr>
      <w:rFonts w:ascii="Arial" w:eastAsia="Times New Roman" w:hAnsi="Arial" w:cs="Arial"/>
      <w:b/>
      <w:sz w:val="26"/>
      <w:szCs w:val="20"/>
      <w:lang w:eastAsia="en-US"/>
    </w:rPr>
  </w:style>
  <w:style w:type="character" w:customStyle="1" w:styleId="Ttulo1Char">
    <w:name w:val="Título 1 Char"/>
    <w:basedOn w:val="Fontepargpadro"/>
    <w:link w:val="Ttulo1"/>
    <w:uiPriority w:val="9"/>
    <w:rsid w:val="002B0D35"/>
    <w:rPr>
      <w:rFonts w:ascii="Calibri" w:eastAsia="Calibri" w:hAnsi="Calibri" w:cs="Calibri"/>
      <w:i/>
      <w:sz w:val="22"/>
      <w:szCs w:val="22"/>
      <w:lang w:val="pt-BR" w:eastAsia="pt-BR"/>
    </w:rPr>
  </w:style>
  <w:style w:type="character" w:customStyle="1" w:styleId="Ttulo2Char">
    <w:name w:val="Título 2 Char"/>
    <w:basedOn w:val="Fontepargpadro"/>
    <w:link w:val="Ttulo2"/>
    <w:uiPriority w:val="9"/>
    <w:rsid w:val="002B0D35"/>
    <w:rPr>
      <w:rFonts w:ascii="Calibri" w:eastAsia="Calibri" w:hAnsi="Calibri" w:cs="Calibri"/>
      <w:b/>
      <w:i/>
      <w:sz w:val="28"/>
      <w:szCs w:val="22"/>
      <w:lang w:val="pt-BR" w:eastAsia="pt-BR"/>
    </w:rPr>
  </w:style>
  <w:style w:type="character" w:customStyle="1" w:styleId="Ttulo3Char">
    <w:name w:val="Título 3 Char"/>
    <w:basedOn w:val="Fontepargpadro"/>
    <w:link w:val="Ttulo3"/>
    <w:uiPriority w:val="9"/>
    <w:rsid w:val="002B0D35"/>
    <w:rPr>
      <w:rFonts w:ascii="Calibri" w:eastAsia="Calibri" w:hAnsi="Calibri" w:cs="Calibri"/>
      <w:b/>
      <w:i/>
      <w:sz w:val="26"/>
      <w:szCs w:val="22"/>
      <w:lang w:val="pt-BR" w:eastAsia="pt-BR"/>
    </w:rPr>
  </w:style>
  <w:style w:type="character" w:customStyle="1" w:styleId="Ttulo4Char">
    <w:name w:val="Título 4 Char"/>
    <w:basedOn w:val="Fontepargpadro"/>
    <w:link w:val="Ttulo4"/>
    <w:uiPriority w:val="9"/>
    <w:rsid w:val="002B0D35"/>
    <w:rPr>
      <w:rFonts w:ascii="Calibri" w:eastAsia="Calibri" w:hAnsi="Calibri" w:cs="Calibri"/>
      <w:b/>
      <w:i/>
      <w:sz w:val="28"/>
      <w:szCs w:val="22"/>
      <w:u w:val="single"/>
      <w:lang w:val="pt-BR" w:eastAsia="pt-BR"/>
    </w:rPr>
  </w:style>
  <w:style w:type="character" w:customStyle="1" w:styleId="Ttulo5Char">
    <w:name w:val="Título 5 Char"/>
    <w:basedOn w:val="Fontepargpadro"/>
    <w:link w:val="Ttulo5"/>
    <w:uiPriority w:val="9"/>
    <w:rsid w:val="002B0D35"/>
    <w:rPr>
      <w:rFonts w:ascii="Calibri" w:eastAsia="Calibri" w:hAnsi="Calibri" w:cs="Calibri"/>
      <w:i/>
      <w:sz w:val="16"/>
      <w:szCs w:val="22"/>
      <w:u w:val="single"/>
      <w:lang w:val="pt-BR" w:eastAsia="pt-BR"/>
    </w:rPr>
  </w:style>
  <w:style w:type="character" w:customStyle="1" w:styleId="Ttulo6Char">
    <w:name w:val="Título 6 Char"/>
    <w:basedOn w:val="Fontepargpadro"/>
    <w:link w:val="Ttulo6"/>
    <w:uiPriority w:val="9"/>
    <w:rsid w:val="002B0D35"/>
    <w:rPr>
      <w:rFonts w:ascii="Calibri" w:eastAsia="Calibri" w:hAnsi="Calibri" w:cs="Calibri"/>
      <w:i/>
      <w:sz w:val="28"/>
      <w:szCs w:val="22"/>
      <w:u w:val="single"/>
      <w:lang w:val="pt-BR" w:eastAsia="pt-BR"/>
    </w:rPr>
  </w:style>
  <w:style w:type="table" w:customStyle="1" w:styleId="TableNormal1">
    <w:name w:val="Table Normal1"/>
    <w:rsid w:val="002B0D35"/>
    <w:pPr>
      <w:spacing w:after="160" w:line="259" w:lineRule="auto"/>
    </w:pPr>
    <w:rPr>
      <w:rFonts w:ascii="Calibri" w:eastAsia="Calibri" w:hAnsi="Calibri" w:cs="Calibri"/>
      <w:sz w:val="22"/>
      <w:szCs w:val="22"/>
      <w:lang w:val="pt-BR" w:eastAsia="pt-BR"/>
    </w:rPr>
    <w:tblPr>
      <w:tblCellMar>
        <w:top w:w="0" w:type="dxa"/>
        <w:left w:w="0" w:type="dxa"/>
        <w:bottom w:w="0" w:type="dxa"/>
        <w:right w:w="0" w:type="dxa"/>
      </w:tblCellMar>
    </w:tblPr>
  </w:style>
  <w:style w:type="paragraph" w:styleId="Ttulo">
    <w:name w:val="Title"/>
    <w:basedOn w:val="Normal"/>
    <w:next w:val="Normal"/>
    <w:link w:val="TtuloChar"/>
    <w:uiPriority w:val="10"/>
    <w:qFormat/>
    <w:rsid w:val="002B0D35"/>
    <w:pPr>
      <w:keepNext/>
      <w:keepLines/>
      <w:spacing w:before="480" w:after="120"/>
    </w:pPr>
    <w:rPr>
      <w:b/>
      <w:sz w:val="72"/>
      <w:szCs w:val="72"/>
    </w:rPr>
  </w:style>
  <w:style w:type="character" w:customStyle="1" w:styleId="TtuloChar">
    <w:name w:val="Título Char"/>
    <w:basedOn w:val="Fontepargpadro"/>
    <w:link w:val="Ttulo"/>
    <w:uiPriority w:val="10"/>
    <w:rsid w:val="002B0D35"/>
    <w:rPr>
      <w:rFonts w:ascii="Calibri" w:eastAsia="Calibri" w:hAnsi="Calibri" w:cs="Calibri"/>
      <w:b/>
      <w:sz w:val="72"/>
      <w:szCs w:val="72"/>
      <w:lang w:val="pt-BR" w:eastAsia="pt-BR"/>
    </w:rPr>
  </w:style>
  <w:style w:type="paragraph" w:styleId="PargrafodaLista">
    <w:name w:val="List Paragraph"/>
    <w:basedOn w:val="Normal"/>
    <w:uiPriority w:val="34"/>
    <w:qFormat/>
    <w:rsid w:val="002B0D35"/>
    <w:pPr>
      <w:ind w:left="720"/>
      <w:contextualSpacing/>
    </w:pPr>
  </w:style>
  <w:style w:type="paragraph" w:styleId="Pr-formataoHTML">
    <w:name w:val="HTML Preformatted"/>
    <w:basedOn w:val="Normal"/>
    <w:link w:val="Pr-formataoHTMLChar"/>
    <w:uiPriority w:val="99"/>
    <w:unhideWhenUsed/>
    <w:rsid w:val="002B0D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Pr-formataoHTMLChar">
    <w:name w:val="Pré-formatação HTML Char"/>
    <w:basedOn w:val="Fontepargpadro"/>
    <w:link w:val="Pr-formataoHTML"/>
    <w:uiPriority w:val="99"/>
    <w:rsid w:val="002B0D35"/>
    <w:rPr>
      <w:rFonts w:ascii="Courier New" w:hAnsi="Courier New" w:cs="Courier New"/>
      <w:lang w:val="pt-BR" w:eastAsia="pt-BR"/>
    </w:rPr>
  </w:style>
  <w:style w:type="character" w:customStyle="1" w:styleId="y2iqfc">
    <w:name w:val="y2iqfc"/>
    <w:basedOn w:val="Fontepargpadro"/>
    <w:rsid w:val="002B0D35"/>
  </w:style>
  <w:style w:type="paragraph" w:styleId="Subttulo">
    <w:name w:val="Subtitle"/>
    <w:basedOn w:val="Normal"/>
    <w:next w:val="Normal"/>
    <w:link w:val="SubttuloChar"/>
    <w:uiPriority w:val="11"/>
    <w:qFormat/>
    <w:rsid w:val="002B0D35"/>
    <w:pPr>
      <w:keepNext/>
      <w:keepLines/>
      <w:spacing w:before="360" w:after="80"/>
    </w:pPr>
    <w:rPr>
      <w:rFonts w:ascii="Georgia" w:eastAsia="Georgia" w:hAnsi="Georgia" w:cs="Georgia"/>
      <w:i/>
      <w:color w:val="666666"/>
      <w:sz w:val="48"/>
      <w:szCs w:val="48"/>
    </w:rPr>
  </w:style>
  <w:style w:type="character" w:customStyle="1" w:styleId="SubttuloChar">
    <w:name w:val="Subtítulo Char"/>
    <w:basedOn w:val="Fontepargpadro"/>
    <w:link w:val="Subttulo"/>
    <w:uiPriority w:val="11"/>
    <w:rsid w:val="002B0D35"/>
    <w:rPr>
      <w:rFonts w:ascii="Georgia" w:eastAsia="Georgia" w:hAnsi="Georgia" w:cs="Georgia"/>
      <w:i/>
      <w:color w:val="666666"/>
      <w:sz w:val="48"/>
      <w:szCs w:val="48"/>
      <w:lang w:val="pt-BR" w:eastAsia="pt-BR"/>
    </w:rPr>
  </w:style>
  <w:style w:type="paragraph" w:styleId="Reviso">
    <w:name w:val="Revision"/>
    <w:hidden/>
    <w:uiPriority w:val="99"/>
    <w:rsid w:val="002B0D35"/>
    <w:rPr>
      <w:rFonts w:ascii="Calibri" w:eastAsia="Calibri" w:hAnsi="Calibri" w:cs="Calibri"/>
      <w:noProof/>
      <w:sz w:val="22"/>
      <w:szCs w:val="22"/>
      <w:lang w:val="pt-BR" w:eastAsia="pt-BR"/>
    </w:rPr>
  </w:style>
  <w:style w:type="paragraph" w:styleId="Textoembloco">
    <w:name w:val="Block Text"/>
    <w:basedOn w:val="Normal"/>
    <w:link w:val="TextoemblocoChar"/>
    <w:rsid w:val="002B0D35"/>
    <w:pPr>
      <w:widowControl w:val="0"/>
      <w:tabs>
        <w:tab w:val="left" w:pos="6804"/>
      </w:tabs>
      <w:spacing w:before="2" w:after="2" w:line="250" w:lineRule="auto"/>
      <w:ind w:left="336" w:right="57" w:hanging="279"/>
    </w:pPr>
    <w:rPr>
      <w:rFonts w:ascii="Arial" w:eastAsia="Times New Roman" w:hAnsi="Arial" w:cs="Times New Roman"/>
      <w:sz w:val="20"/>
      <w:szCs w:val="24"/>
      <w:lang w:val="pt-PT" w:eastAsia="x-none"/>
    </w:rPr>
  </w:style>
  <w:style w:type="character" w:customStyle="1" w:styleId="TextoemblocoChar">
    <w:name w:val="Texto em bloco Char"/>
    <w:link w:val="Textoembloco"/>
    <w:locked/>
    <w:rsid w:val="002B0D35"/>
    <w:rPr>
      <w:rFonts w:ascii="Arial" w:hAnsi="Arial"/>
      <w:szCs w:val="24"/>
      <w:lang w:val="pt-PT" w:eastAsia="x-none"/>
    </w:rPr>
  </w:style>
  <w:style w:type="paragraph" w:customStyle="1" w:styleId="IASBNormalnpara">
    <w:name w:val="IASB Normal npara"/>
    <w:basedOn w:val="Normal"/>
    <w:rsid w:val="002B0D35"/>
    <w:pPr>
      <w:spacing w:before="100" w:after="0" w:line="240" w:lineRule="auto"/>
      <w:ind w:left="782" w:hanging="782"/>
      <w:jc w:val="both"/>
    </w:pPr>
    <w:rPr>
      <w:rFonts w:ascii="Times New Roman" w:eastAsia="Times New Roman" w:hAnsi="Times New Roman" w:cs="Times New Roman"/>
      <w:sz w:val="19"/>
      <w:szCs w:val="20"/>
      <w:lang w:eastAsia="en-US"/>
    </w:rPr>
  </w:style>
  <w:style w:type="paragraph" w:customStyle="1" w:styleId="IASBSectionTitle2NonInd">
    <w:name w:val="IASB Section Title 2 NonInd"/>
    <w:basedOn w:val="Normal"/>
    <w:rsid w:val="002B0D35"/>
    <w:pPr>
      <w:keepNext/>
      <w:keepLines/>
      <w:spacing w:before="300" w:after="200" w:line="240" w:lineRule="auto"/>
    </w:pPr>
    <w:rPr>
      <w:rFonts w:ascii="Arial" w:eastAsia="Times New Roman" w:hAnsi="Arial" w:cs="Arial"/>
      <w:b/>
      <w:sz w:val="26"/>
      <w:szCs w:val="20"/>
      <w:lang w:eastAsia="en-US"/>
    </w:rPr>
  </w:style>
  <w:style w:type="paragraph" w:customStyle="1" w:styleId="IASBSectionTitle2Ind">
    <w:name w:val="IASB Section Title 2 Ind"/>
    <w:basedOn w:val="IASBSectionTitle2NonInd"/>
    <w:rsid w:val="002B0D35"/>
    <w:pPr>
      <w:spacing w:before="240"/>
      <w:ind w:left="782"/>
    </w:pPr>
  </w:style>
  <w:style w:type="paragraph" w:customStyle="1" w:styleId="IASBNormalnparaL1">
    <w:name w:val="IASB Normal nparaL1"/>
    <w:basedOn w:val="IASBNormalnpara"/>
    <w:rsid w:val="002B0D35"/>
    <w:pPr>
      <w:ind w:left="1564"/>
    </w:pPr>
  </w:style>
  <w:style w:type="paragraph" w:customStyle="1" w:styleId="IASBNormalnparaP">
    <w:name w:val="IASB Normal nparaP"/>
    <w:basedOn w:val="Normal"/>
    <w:rsid w:val="002B0D35"/>
    <w:pPr>
      <w:tabs>
        <w:tab w:val="left" w:pos="4253"/>
      </w:tabs>
      <w:spacing w:before="100" w:after="100" w:line="240" w:lineRule="auto"/>
      <w:ind w:left="782"/>
      <w:jc w:val="both"/>
    </w:pPr>
    <w:rPr>
      <w:rFonts w:ascii="Times New Roman" w:eastAsia="Times New Roman" w:hAnsi="Times New Roman" w:cs="Times New Roman"/>
      <w:sz w:val="19"/>
      <w:szCs w:val="20"/>
      <w:lang w:eastAsia="en-US"/>
    </w:rPr>
  </w:style>
  <w:style w:type="paragraph" w:customStyle="1" w:styleId="IASBNormalnparaL2">
    <w:name w:val="IASB Normal nparaL2"/>
    <w:basedOn w:val="IASBNormalnparaL1"/>
    <w:rsid w:val="002B0D35"/>
    <w:pPr>
      <w:ind w:left="2347"/>
    </w:pPr>
  </w:style>
  <w:style w:type="paragraph" w:customStyle="1" w:styleId="IASBNormal">
    <w:name w:val="IASB Normal"/>
    <w:rsid w:val="002B0D35"/>
    <w:pPr>
      <w:tabs>
        <w:tab w:val="left" w:pos="4253"/>
      </w:tabs>
      <w:spacing w:before="100" w:after="100"/>
      <w:jc w:val="both"/>
    </w:pPr>
    <w:rPr>
      <w:sz w:val="19"/>
      <w:lang w:val="pt-BR" w:eastAsia="pt-BR"/>
    </w:rPr>
  </w:style>
  <w:style w:type="paragraph" w:customStyle="1" w:styleId="IASBSectionTitle3Ind">
    <w:name w:val="IASB Section Title 3 Ind"/>
    <w:basedOn w:val="Normal"/>
    <w:rsid w:val="002B0D35"/>
    <w:pPr>
      <w:keepNext/>
      <w:keepLines/>
      <w:spacing w:before="240" w:after="200" w:line="240" w:lineRule="auto"/>
      <w:ind w:left="782"/>
    </w:pPr>
    <w:rPr>
      <w:rFonts w:ascii="Arial" w:eastAsia="Times New Roman" w:hAnsi="Arial" w:cs="Arial"/>
      <w:b/>
      <w:szCs w:val="20"/>
    </w:rPr>
  </w:style>
  <w:style w:type="paragraph" w:customStyle="1" w:styleId="IASBNormalL1">
    <w:name w:val="IASB Normal L1"/>
    <w:basedOn w:val="IASBNormalnpara"/>
    <w:rsid w:val="002B0D35"/>
    <w:rPr>
      <w:lang w:eastAsia="pt-BR"/>
    </w:rPr>
  </w:style>
  <w:style w:type="paragraph" w:customStyle="1" w:styleId="IASBTableBoldTNR">
    <w:name w:val="IASB Table Bold TNR"/>
    <w:basedOn w:val="Normal"/>
    <w:qFormat/>
    <w:rsid w:val="002B0D35"/>
    <w:pPr>
      <w:spacing w:before="120" w:after="0" w:line="240" w:lineRule="auto"/>
    </w:pPr>
    <w:rPr>
      <w:rFonts w:ascii="Times New Roman" w:eastAsia="Times New Roman" w:hAnsi="Times New Roman" w:cs="Times New Roman"/>
      <w:b/>
      <w:sz w:val="19"/>
      <w:szCs w:val="20"/>
    </w:rPr>
  </w:style>
  <w:style w:type="paragraph" w:customStyle="1" w:styleId="IASBTableArial">
    <w:name w:val="IASB Table Arial"/>
    <w:basedOn w:val="Normal"/>
    <w:rsid w:val="002B0D35"/>
    <w:pPr>
      <w:spacing w:before="120" w:after="0" w:line="240" w:lineRule="auto"/>
    </w:pPr>
    <w:rPr>
      <w:rFonts w:ascii="Arial" w:eastAsia="Times New Roman" w:hAnsi="Arial" w:cs="Times New Roman"/>
      <w:sz w:val="18"/>
      <w:szCs w:val="20"/>
    </w:rPr>
  </w:style>
  <w:style w:type="paragraph" w:customStyle="1" w:styleId="IASBSectionTitle4Ind">
    <w:name w:val="IASB Section Title 4 Ind"/>
    <w:basedOn w:val="Normal"/>
    <w:rsid w:val="002B0D35"/>
    <w:pPr>
      <w:keepNext/>
      <w:keepLines/>
      <w:spacing w:before="300" w:after="200" w:line="240" w:lineRule="auto"/>
      <w:ind w:left="782"/>
    </w:pPr>
    <w:rPr>
      <w:rFonts w:ascii="Arial" w:eastAsia="Times New Roman" w:hAnsi="Arial" w:cs="Arial"/>
      <w:i/>
      <w:szCs w:val="20"/>
    </w:rPr>
  </w:style>
  <w:style w:type="paragraph" w:customStyle="1" w:styleId="p1">
    <w:name w:val="p1"/>
    <w:basedOn w:val="Normal"/>
    <w:rsid w:val="002B0D35"/>
    <w:pPr>
      <w:spacing w:after="0" w:line="240" w:lineRule="auto"/>
    </w:pPr>
    <w:rPr>
      <w:rFonts w:ascii="Helvetica" w:eastAsia="Times New Roman" w:hAnsi="Helvetica" w:cs="Times New Roman"/>
      <w:color w:val="000000"/>
      <w:sz w:val="13"/>
      <w:szCs w:val="13"/>
      <w:lang w:eastAsia="en-US"/>
    </w:rPr>
  </w:style>
  <w:style w:type="character" w:styleId="HiperlinkVisitado">
    <w:name w:val="FollowedHyperlink"/>
    <w:basedOn w:val="Fontepargpadro"/>
    <w:uiPriority w:val="99"/>
    <w:semiHidden/>
    <w:unhideWhenUsed/>
    <w:rsid w:val="002B0D35"/>
    <w:rPr>
      <w:color w:val="800080" w:themeColor="followedHyperlink"/>
      <w:u w:val="single"/>
    </w:rPr>
  </w:style>
  <w:style w:type="paragraph" w:customStyle="1" w:styleId="TableParagraph">
    <w:name w:val="Table Paragraph"/>
    <w:basedOn w:val="Normal"/>
    <w:uiPriority w:val="1"/>
    <w:qFormat/>
    <w:rsid w:val="005563CB"/>
    <w:pPr>
      <w:widowControl w:val="0"/>
      <w:autoSpaceDE w:val="0"/>
      <w:autoSpaceDN w:val="0"/>
      <w:spacing w:after="0" w:line="240" w:lineRule="auto"/>
      <w:ind w:left="575"/>
      <w:jc w:val="both"/>
    </w:pPr>
    <w:rPr>
      <w:rFonts w:ascii="Arial MT" w:eastAsia="Arial MT" w:hAnsi="Arial MT" w:cs="Arial MT"/>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8285096">
      <w:bodyDiv w:val="1"/>
      <w:marLeft w:val="0"/>
      <w:marRight w:val="0"/>
      <w:marTop w:val="0"/>
      <w:marBottom w:val="0"/>
      <w:divBdr>
        <w:top w:val="none" w:sz="0" w:space="0" w:color="auto"/>
        <w:left w:val="none" w:sz="0" w:space="0" w:color="auto"/>
        <w:bottom w:val="none" w:sz="0" w:space="0" w:color="auto"/>
        <w:right w:val="none" w:sz="0" w:space="0" w:color="auto"/>
      </w:divBdr>
    </w:div>
    <w:div w:id="1736388247">
      <w:bodyDiv w:val="1"/>
      <w:marLeft w:val="0"/>
      <w:marRight w:val="0"/>
      <w:marTop w:val="0"/>
      <w:marBottom w:val="0"/>
      <w:divBdr>
        <w:top w:val="none" w:sz="0" w:space="0" w:color="auto"/>
        <w:left w:val="none" w:sz="0" w:space="0" w:color="auto"/>
        <w:bottom w:val="none" w:sz="0" w:space="0" w:color="auto"/>
        <w:right w:val="none" w:sz="0" w:space="0" w:color="auto"/>
      </w:divBdr>
    </w:div>
    <w:div w:id="19653102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a.menezes\Downloads\REVIS&#195;O%20NBC%203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D20219-54AC-4934-A6FC-7C1203ED7F28}">
  <ds:schemaRefs>
    <ds:schemaRef ds:uri="http://schemas.openxmlformats.org/officeDocument/2006/bibliography"/>
  </ds:schemaRefs>
</ds:datastoreItem>
</file>

<file path=docMetadata/LabelInfo.xml><?xml version="1.0" encoding="utf-8"?>
<clbl:labelList xmlns:clbl="http://schemas.microsoft.com/office/2020/mipLabelMetadata">
  <clbl:label id="{2f506418-3f35-4e74-84b7-56d98e4d3dcc}" enabled="0" method="" siteId="{2f506418-3f35-4e74-84b7-56d98e4d3dcc}" removed="1"/>
</clbl:labelList>
</file>

<file path=docProps/app.xml><?xml version="1.0" encoding="utf-8"?>
<Properties xmlns="http://schemas.openxmlformats.org/officeDocument/2006/extended-properties" xmlns:vt="http://schemas.openxmlformats.org/officeDocument/2006/docPropsVTypes">
  <Template>REVISÃO NBC 34</Template>
  <TotalTime>117</TotalTime>
  <Pages>9</Pages>
  <Words>3052</Words>
  <Characters>16485</Characters>
  <Application>Microsoft Office Word</Application>
  <DocSecurity>0</DocSecurity>
  <Lines>137</Lines>
  <Paragraphs>38</Paragraphs>
  <ScaleCrop>false</ScaleCrop>
  <HeadingPairs>
    <vt:vector size="2" baseType="variant">
      <vt:variant>
        <vt:lpstr>Título</vt:lpstr>
      </vt:variant>
      <vt:variant>
        <vt:i4>1</vt:i4>
      </vt:variant>
    </vt:vector>
  </HeadingPairs>
  <TitlesOfParts>
    <vt:vector size="1" baseType="lpstr">
      <vt:lpstr>PROC</vt:lpstr>
    </vt:vector>
  </TitlesOfParts>
  <Company>CFC</Company>
  <LinksUpToDate>false</LinksUpToDate>
  <CharactersWithSpaces>19499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dc:title>
  <dc:subject/>
  <dc:creator>Maria Laura Lisboa de Menezes</dc:creator>
  <cp:keywords/>
  <cp:lastModifiedBy>Joseane de Sousa Silva</cp:lastModifiedBy>
  <cp:revision>22</cp:revision>
  <cp:lastPrinted>2025-12-19T20:11:00Z</cp:lastPrinted>
  <dcterms:created xsi:type="dcterms:W3CDTF">2026-09-23T14:46:00Z</dcterms:created>
  <dcterms:modified xsi:type="dcterms:W3CDTF">2026-09-30T15:01:00Z</dcterms:modified>
</cp:coreProperties>
</file>