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B64E2" w14:textId="77777777" w:rsidR="00F5446D" w:rsidRPr="000A4B61" w:rsidRDefault="00F5446D" w:rsidP="00F5446D">
      <w:pPr>
        <w:jc w:val="center"/>
        <w:rPr>
          <w:rFonts w:cs="Calibri"/>
          <w:b/>
          <w:bCs/>
        </w:rPr>
      </w:pPr>
      <w:r w:rsidRPr="000A4B61">
        <w:rPr>
          <w:rFonts w:cs="Calibri"/>
          <w:b/>
          <w:bCs/>
        </w:rPr>
        <w:t>NORMA BRASILEIRA DE CONTABILIDADE, NBC TSP 40, DE XX DE XXXXXXX DE 2026</w:t>
      </w:r>
      <w:bookmarkStart w:id="0" w:name="_Hlk236901813"/>
      <w:bookmarkEnd w:id="0"/>
    </w:p>
    <w:p w14:paraId="3FCA360D" w14:textId="77777777" w:rsidR="00F5446D" w:rsidRPr="000A4B61" w:rsidRDefault="00F5446D" w:rsidP="00F5446D">
      <w:pPr>
        <w:jc w:val="center"/>
        <w:rPr>
          <w:rFonts w:cs="Calibri"/>
          <w:b/>
          <w:bCs/>
        </w:rPr>
      </w:pPr>
    </w:p>
    <w:p w14:paraId="4B88659E" w14:textId="77777777" w:rsidR="00F5446D" w:rsidRPr="00FC7520" w:rsidRDefault="00F5446D" w:rsidP="00224C3E">
      <w:pPr>
        <w:ind w:left="3119" w:firstLine="1701"/>
        <w:jc w:val="right"/>
        <w:rPr>
          <w:rFonts w:cs="Calibri"/>
          <w:b/>
          <w:bCs/>
        </w:rPr>
      </w:pPr>
      <w:r w:rsidRPr="00FC7520">
        <w:rPr>
          <w:rFonts w:cs="Calibri"/>
          <w:b/>
          <w:bCs/>
        </w:rPr>
        <w:t>Aprova a NBC TSP 40 – Despesa de Transferência</w:t>
      </w:r>
    </w:p>
    <w:p w14:paraId="4AAF3085" w14:textId="77777777" w:rsidR="00F5446D" w:rsidRPr="000A4B61" w:rsidRDefault="00F5446D" w:rsidP="00F5446D">
      <w:pPr>
        <w:jc w:val="right"/>
        <w:rPr>
          <w:rFonts w:cs="Calibri"/>
          <w:i/>
          <w:iCs/>
        </w:rPr>
      </w:pPr>
    </w:p>
    <w:p w14:paraId="3DE53B27" w14:textId="77777777" w:rsidR="00F5446D" w:rsidRPr="000A4B61" w:rsidRDefault="00224C3E" w:rsidP="00957C63">
      <w:pPr>
        <w:ind w:firstLine="720"/>
        <w:jc w:val="both"/>
        <w:outlineLvl w:val="0"/>
        <w:rPr>
          <w:rFonts w:cs="Calibri"/>
          <w:b/>
          <w:bCs/>
        </w:rPr>
      </w:pPr>
      <w:r w:rsidRPr="00854C5C">
        <w:rPr>
          <w:rFonts w:asciiTheme="majorHAnsi" w:hAnsiTheme="majorHAnsi" w:cstheme="majorHAnsi"/>
          <w:szCs w:val="24"/>
        </w:rPr>
        <w:t xml:space="preserve">O </w:t>
      </w:r>
      <w:r w:rsidRPr="00854C5C">
        <w:rPr>
          <w:rFonts w:asciiTheme="majorHAnsi" w:hAnsiTheme="majorHAnsi" w:cstheme="majorHAnsi"/>
          <w:b/>
          <w:bCs/>
          <w:szCs w:val="24"/>
        </w:rPr>
        <w:t>CONSELHO FEDERAL DE CONTABILIDADE</w:t>
      </w:r>
      <w:r w:rsidRPr="00854C5C">
        <w:rPr>
          <w:rFonts w:asciiTheme="majorHAnsi" w:hAnsiTheme="majorHAnsi" w:cstheme="majorHAnsi"/>
          <w:szCs w:val="24"/>
        </w:rPr>
        <w:t xml:space="preserve">, considerando o processo de convergência das Normas Brasileiras de Contabilidade aos padrões internacionais e que, mediante acordo firmado com a </w:t>
      </w:r>
      <w:r w:rsidRPr="00F70C99">
        <w:rPr>
          <w:rFonts w:asciiTheme="majorHAnsi" w:hAnsiTheme="majorHAnsi" w:cstheme="majorHAnsi"/>
          <w:szCs w:val="24"/>
        </w:rPr>
        <w:t>Fed</w:t>
      </w:r>
      <w:r w:rsidRPr="00854C5C">
        <w:rPr>
          <w:rFonts w:asciiTheme="majorHAnsi" w:hAnsiTheme="majorHAnsi" w:cstheme="majorHAnsi"/>
          <w:szCs w:val="24"/>
        </w:rPr>
        <w:t>eração Internacional de Contadores (</w:t>
      </w:r>
      <w:proofErr w:type="spellStart"/>
      <w:r w:rsidRPr="00854C5C">
        <w:rPr>
          <w:rFonts w:asciiTheme="majorHAnsi" w:hAnsiTheme="majorHAnsi" w:cstheme="majorHAnsi"/>
          <w:szCs w:val="24"/>
        </w:rPr>
        <w:t>Ifac</w:t>
      </w:r>
      <w:proofErr w:type="spellEnd"/>
      <w:r w:rsidRPr="00854C5C">
        <w:rPr>
          <w:rFonts w:asciiTheme="majorHAnsi" w:hAnsiTheme="majorHAnsi" w:cstheme="majorHAnsi"/>
          <w:szCs w:val="24"/>
        </w:rPr>
        <w:t xml:space="preserve">), que autorizou, no Brasil, o CFC como um dos tradutores de suas normas e publicações, outorgando os direitos de realizar tradução, publicação e distribuição das normas internacionais e demais pronunciamentos em formato eletrônico, no exercício de suas atribuições legais e regimentais e com fundamento no disposto na alínea “f” do art. 6º do Decreto-Lei nº 9.295, de 27 de maio de 1946, alterado pela Lei nº 12.249, de 11 de junho de 2010, faz saber que foi aprovada, em seu Plenário, a seguinte Norma Brasileira de Contabilidade (NBC), elaborada de acordo com a IPSAS </w:t>
      </w:r>
      <w:r>
        <w:rPr>
          <w:rFonts w:asciiTheme="majorHAnsi" w:hAnsiTheme="majorHAnsi" w:cstheme="majorHAnsi"/>
          <w:szCs w:val="24"/>
        </w:rPr>
        <w:t>48</w:t>
      </w:r>
      <w:r w:rsidRPr="00854C5C">
        <w:rPr>
          <w:rFonts w:asciiTheme="majorHAnsi" w:hAnsiTheme="majorHAnsi" w:cstheme="majorHAnsi"/>
          <w:szCs w:val="24"/>
        </w:rPr>
        <w:t xml:space="preserve"> – </w:t>
      </w:r>
      <w:proofErr w:type="spellStart"/>
      <w:r w:rsidRPr="00224C3E">
        <w:rPr>
          <w:rFonts w:asciiTheme="majorHAnsi" w:hAnsiTheme="majorHAnsi" w:cstheme="majorHAnsi"/>
          <w:i/>
          <w:iCs/>
          <w:szCs w:val="24"/>
        </w:rPr>
        <w:t>Transfer</w:t>
      </w:r>
      <w:proofErr w:type="spellEnd"/>
      <w:r w:rsidRPr="00224C3E">
        <w:rPr>
          <w:rFonts w:asciiTheme="majorHAnsi" w:hAnsiTheme="majorHAnsi" w:cstheme="majorHAnsi"/>
          <w:i/>
          <w:iCs/>
          <w:szCs w:val="24"/>
        </w:rPr>
        <w:t xml:space="preserve"> </w:t>
      </w:r>
      <w:proofErr w:type="spellStart"/>
      <w:r w:rsidRPr="00224C3E">
        <w:rPr>
          <w:rFonts w:asciiTheme="majorHAnsi" w:hAnsiTheme="majorHAnsi" w:cstheme="majorHAnsi"/>
          <w:i/>
          <w:iCs/>
          <w:szCs w:val="24"/>
        </w:rPr>
        <w:t>Expenses</w:t>
      </w:r>
      <w:proofErr w:type="spellEnd"/>
      <w:r w:rsidRPr="00854C5C">
        <w:rPr>
          <w:rFonts w:asciiTheme="majorHAnsi" w:hAnsiTheme="majorHAnsi" w:cstheme="majorHAnsi"/>
          <w:i/>
          <w:iCs/>
          <w:szCs w:val="24"/>
        </w:rPr>
        <w:t xml:space="preserve">, </w:t>
      </w:r>
      <w:r w:rsidRPr="00854C5C">
        <w:rPr>
          <w:rFonts w:asciiTheme="majorHAnsi" w:hAnsiTheme="majorHAnsi" w:cstheme="majorHAnsi"/>
          <w:szCs w:val="24"/>
        </w:rPr>
        <w:t>editado pelo</w:t>
      </w:r>
      <w:r w:rsidRPr="00854C5C">
        <w:rPr>
          <w:rFonts w:asciiTheme="majorHAnsi" w:hAnsiTheme="majorHAnsi" w:cstheme="majorHAnsi"/>
          <w:i/>
          <w:iCs/>
          <w:szCs w:val="24"/>
        </w:rPr>
        <w:t xml:space="preserve"> </w:t>
      </w:r>
      <w:proofErr w:type="spellStart"/>
      <w:r w:rsidRPr="00854C5C">
        <w:rPr>
          <w:rFonts w:asciiTheme="majorHAnsi" w:hAnsiTheme="majorHAnsi" w:cstheme="majorHAnsi"/>
          <w:i/>
          <w:iCs/>
          <w:szCs w:val="24"/>
        </w:rPr>
        <w:t>International</w:t>
      </w:r>
      <w:proofErr w:type="spellEnd"/>
      <w:r w:rsidRPr="00854C5C">
        <w:rPr>
          <w:rFonts w:asciiTheme="majorHAnsi" w:hAnsiTheme="majorHAnsi" w:cstheme="majorHAnsi"/>
          <w:i/>
          <w:iCs/>
          <w:szCs w:val="24"/>
        </w:rPr>
        <w:t xml:space="preserve"> </w:t>
      </w:r>
      <w:proofErr w:type="spellStart"/>
      <w:r w:rsidRPr="00854C5C">
        <w:rPr>
          <w:rFonts w:asciiTheme="majorHAnsi" w:hAnsiTheme="majorHAnsi" w:cstheme="majorHAnsi"/>
          <w:i/>
          <w:iCs/>
          <w:szCs w:val="24"/>
        </w:rPr>
        <w:t>Public</w:t>
      </w:r>
      <w:proofErr w:type="spellEnd"/>
      <w:r w:rsidRPr="00854C5C">
        <w:rPr>
          <w:rFonts w:asciiTheme="majorHAnsi" w:hAnsiTheme="majorHAnsi" w:cstheme="majorHAnsi"/>
          <w:i/>
          <w:iCs/>
          <w:szCs w:val="24"/>
        </w:rPr>
        <w:t xml:space="preserve"> Sector </w:t>
      </w:r>
      <w:proofErr w:type="spellStart"/>
      <w:r w:rsidRPr="00854C5C">
        <w:rPr>
          <w:rFonts w:asciiTheme="majorHAnsi" w:hAnsiTheme="majorHAnsi" w:cstheme="majorHAnsi"/>
          <w:i/>
          <w:iCs/>
          <w:szCs w:val="24"/>
        </w:rPr>
        <w:t>Accounting</w:t>
      </w:r>
      <w:proofErr w:type="spellEnd"/>
      <w:r w:rsidRPr="00854C5C">
        <w:rPr>
          <w:rFonts w:asciiTheme="majorHAnsi" w:hAnsiTheme="majorHAnsi" w:cstheme="majorHAnsi"/>
          <w:i/>
          <w:iCs/>
          <w:szCs w:val="24"/>
        </w:rPr>
        <w:t xml:space="preserve"> Standards Board da </w:t>
      </w:r>
      <w:proofErr w:type="spellStart"/>
      <w:r w:rsidRPr="00854C5C">
        <w:rPr>
          <w:rFonts w:asciiTheme="majorHAnsi" w:hAnsiTheme="majorHAnsi" w:cstheme="majorHAnsi"/>
          <w:i/>
          <w:iCs/>
          <w:szCs w:val="24"/>
        </w:rPr>
        <w:t>International</w:t>
      </w:r>
      <w:proofErr w:type="spellEnd"/>
      <w:r w:rsidRPr="00854C5C">
        <w:rPr>
          <w:rFonts w:asciiTheme="majorHAnsi" w:hAnsiTheme="majorHAnsi" w:cstheme="majorHAnsi"/>
          <w:i/>
          <w:iCs/>
          <w:szCs w:val="24"/>
        </w:rPr>
        <w:t xml:space="preserve"> Federation </w:t>
      </w:r>
      <w:proofErr w:type="spellStart"/>
      <w:r w:rsidRPr="00854C5C">
        <w:rPr>
          <w:rFonts w:asciiTheme="majorHAnsi" w:hAnsiTheme="majorHAnsi" w:cstheme="majorHAnsi"/>
          <w:i/>
          <w:iCs/>
          <w:szCs w:val="24"/>
        </w:rPr>
        <w:t>of</w:t>
      </w:r>
      <w:proofErr w:type="spellEnd"/>
      <w:r w:rsidRPr="00854C5C">
        <w:rPr>
          <w:rFonts w:asciiTheme="majorHAnsi" w:hAnsiTheme="majorHAnsi" w:cstheme="majorHAnsi"/>
          <w:i/>
          <w:iCs/>
          <w:szCs w:val="24"/>
        </w:rPr>
        <w:t xml:space="preserve"> </w:t>
      </w:r>
      <w:proofErr w:type="spellStart"/>
      <w:r w:rsidRPr="00854C5C">
        <w:rPr>
          <w:rFonts w:asciiTheme="majorHAnsi" w:hAnsiTheme="majorHAnsi" w:cstheme="majorHAnsi"/>
          <w:i/>
          <w:iCs/>
          <w:szCs w:val="24"/>
        </w:rPr>
        <w:t>Accountants</w:t>
      </w:r>
      <w:proofErr w:type="spellEnd"/>
      <w:r w:rsidRPr="00854C5C">
        <w:rPr>
          <w:rFonts w:asciiTheme="majorHAnsi" w:hAnsiTheme="majorHAnsi" w:cstheme="majorHAnsi"/>
          <w:i/>
          <w:iCs/>
          <w:szCs w:val="24"/>
        </w:rPr>
        <w:t xml:space="preserve"> (IPSASB/</w:t>
      </w:r>
      <w:proofErr w:type="spellStart"/>
      <w:r w:rsidRPr="00854C5C">
        <w:rPr>
          <w:rFonts w:asciiTheme="majorHAnsi" w:hAnsiTheme="majorHAnsi" w:cstheme="majorHAnsi"/>
          <w:i/>
          <w:iCs/>
          <w:szCs w:val="24"/>
        </w:rPr>
        <w:t>Ifac</w:t>
      </w:r>
      <w:proofErr w:type="spellEnd"/>
      <w:r w:rsidRPr="00854C5C">
        <w:rPr>
          <w:rFonts w:asciiTheme="majorHAnsi" w:hAnsiTheme="majorHAnsi" w:cstheme="majorHAnsi"/>
          <w:i/>
          <w:iCs/>
          <w:szCs w:val="24"/>
        </w:rPr>
        <w:t>)</w:t>
      </w:r>
      <w:r w:rsidRPr="00854C5C">
        <w:rPr>
          <w:rFonts w:asciiTheme="majorHAnsi" w:hAnsiTheme="majorHAnsi" w:cstheme="majorHAnsi"/>
          <w:szCs w:val="24"/>
        </w:rPr>
        <w:t xml:space="preserve"> e revisada de acordo com o </w:t>
      </w:r>
      <w:r w:rsidRPr="00854C5C">
        <w:rPr>
          <w:rFonts w:asciiTheme="majorHAnsi" w:hAnsiTheme="majorHAnsi" w:cstheme="majorHAnsi"/>
          <w:i/>
          <w:iCs/>
          <w:szCs w:val="24"/>
        </w:rPr>
        <w:t>IPSASB-HANDBOOK 2024</w:t>
      </w:r>
      <w:r w:rsidRPr="00854C5C">
        <w:rPr>
          <w:rFonts w:asciiTheme="majorHAnsi" w:hAnsiTheme="majorHAnsi" w:cstheme="majorHAnsi"/>
          <w:szCs w:val="24"/>
        </w:rPr>
        <w:t>:</w:t>
      </w:r>
    </w:p>
    <w:p w14:paraId="1E1B2308" w14:textId="77777777" w:rsidR="000E4188" w:rsidRDefault="000E4188" w:rsidP="00F5446D">
      <w:pPr>
        <w:pStyle w:val="IASBNormalnpara"/>
        <w:spacing w:before="0" w:after="120"/>
        <w:jc w:val="center"/>
        <w:rPr>
          <w:rFonts w:ascii="Calibri" w:hAnsi="Calibri" w:cs="Calibri"/>
          <w:b/>
          <w:bCs/>
          <w:sz w:val="24"/>
          <w:szCs w:val="24"/>
        </w:rPr>
      </w:pPr>
    </w:p>
    <w:p w14:paraId="121BB7E9" w14:textId="77777777" w:rsidR="00F5446D" w:rsidRDefault="00224C3E" w:rsidP="00F5446D">
      <w:pPr>
        <w:pStyle w:val="IASBNormalnpara"/>
        <w:spacing w:before="0" w:after="120"/>
        <w:jc w:val="center"/>
        <w:rPr>
          <w:rFonts w:ascii="Calibri" w:hAnsi="Calibri" w:cs="Calibri"/>
          <w:b/>
          <w:bCs/>
          <w:sz w:val="24"/>
          <w:szCs w:val="24"/>
        </w:rPr>
      </w:pPr>
      <w:r w:rsidRPr="00224C3E">
        <w:rPr>
          <w:rFonts w:ascii="Calibri" w:hAnsi="Calibri" w:cs="Calibri"/>
          <w:b/>
          <w:bCs/>
          <w:sz w:val="24"/>
          <w:szCs w:val="24"/>
        </w:rPr>
        <w:t>NBC TSP 40 – DESPESA DE TRANSFERÊNCIA</w:t>
      </w:r>
    </w:p>
    <w:p w14:paraId="4C6B1C7E" w14:textId="77777777" w:rsidR="000E4188" w:rsidRPr="000A4B61" w:rsidRDefault="000E4188" w:rsidP="00F5446D">
      <w:pPr>
        <w:pStyle w:val="IASBNormalnpara"/>
        <w:spacing w:before="0" w:after="120"/>
        <w:jc w:val="center"/>
        <w:rPr>
          <w:rFonts w:ascii="Calibri" w:hAnsi="Calibri" w:cs="Calibri"/>
          <w:b/>
          <w:bCs/>
          <w:sz w:val="24"/>
          <w:szCs w:val="24"/>
        </w:rPr>
      </w:pPr>
    </w:p>
    <w:tbl>
      <w:tblPr>
        <w:tblW w:w="10200" w:type="dxa"/>
        <w:tblLayout w:type="fixed"/>
        <w:tblLook w:val="04A0" w:firstRow="1" w:lastRow="0" w:firstColumn="1" w:lastColumn="0" w:noHBand="0" w:noVBand="1"/>
      </w:tblPr>
      <w:tblGrid>
        <w:gridCol w:w="236"/>
        <w:gridCol w:w="8123"/>
        <w:gridCol w:w="1841"/>
      </w:tblGrid>
      <w:tr w:rsidR="00F5446D" w:rsidRPr="00A52CD3" w14:paraId="6085259C" w14:textId="77777777" w:rsidTr="00057616">
        <w:trPr>
          <w:cantSplit/>
        </w:trPr>
        <w:tc>
          <w:tcPr>
            <w:tcW w:w="236" w:type="dxa"/>
            <w:tcBorders>
              <w:top w:val="nil"/>
              <w:left w:val="nil"/>
              <w:bottom w:val="nil"/>
              <w:right w:val="single" w:sz="4" w:space="0" w:color="auto"/>
            </w:tcBorders>
            <w:vAlign w:val="bottom"/>
          </w:tcPr>
          <w:p w14:paraId="4430E61D" w14:textId="77777777" w:rsidR="00F5446D" w:rsidRPr="000A4B61" w:rsidRDefault="00F5446D" w:rsidP="00876CB7">
            <w:pPr>
              <w:pStyle w:val="IASBTableBoldArial"/>
              <w:spacing w:before="0"/>
              <w:jc w:val="both"/>
              <w:rPr>
                <w:rFonts w:ascii="Calibri" w:hAnsi="Calibri" w:cs="Calibri"/>
                <w:sz w:val="24"/>
                <w:szCs w:val="24"/>
                <w:lang w:eastAsia="en-US"/>
              </w:rPr>
            </w:pPr>
          </w:p>
        </w:tc>
        <w:tc>
          <w:tcPr>
            <w:tcW w:w="8123" w:type="dxa"/>
            <w:tcBorders>
              <w:top w:val="single" w:sz="4" w:space="0" w:color="auto"/>
              <w:left w:val="single" w:sz="4" w:space="0" w:color="auto"/>
              <w:bottom w:val="single" w:sz="4" w:space="0" w:color="auto"/>
              <w:right w:val="single" w:sz="4" w:space="0" w:color="auto"/>
            </w:tcBorders>
            <w:vAlign w:val="bottom"/>
            <w:hideMark/>
          </w:tcPr>
          <w:p w14:paraId="22F8C64C" w14:textId="77777777" w:rsidR="00F5446D" w:rsidRPr="0094745F" w:rsidRDefault="00F5446D" w:rsidP="00876CB7">
            <w:pPr>
              <w:pStyle w:val="IASBTableBoldArial"/>
              <w:spacing w:before="60" w:after="60"/>
              <w:jc w:val="both"/>
              <w:rPr>
                <w:rFonts w:ascii="Calibri" w:hAnsi="Calibri" w:cs="Calibri"/>
                <w:b w:val="0"/>
                <w:sz w:val="24"/>
                <w:szCs w:val="24"/>
                <w:lang w:eastAsia="en-US"/>
              </w:rPr>
            </w:pPr>
            <w:r w:rsidRPr="0094745F">
              <w:rPr>
                <w:rFonts w:ascii="Calibri" w:hAnsi="Calibri" w:cs="Calibri"/>
                <w:b w:val="0"/>
                <w:sz w:val="24"/>
                <w:szCs w:val="24"/>
                <w:lang w:eastAsia="en-US"/>
              </w:rPr>
              <w:t>Sumário</w:t>
            </w:r>
          </w:p>
        </w:tc>
        <w:tc>
          <w:tcPr>
            <w:tcW w:w="1841" w:type="dxa"/>
            <w:tcBorders>
              <w:top w:val="single" w:sz="4" w:space="0" w:color="auto"/>
              <w:left w:val="single" w:sz="4" w:space="0" w:color="auto"/>
              <w:bottom w:val="single" w:sz="4" w:space="0" w:color="auto"/>
              <w:right w:val="single" w:sz="4" w:space="0" w:color="auto"/>
            </w:tcBorders>
            <w:vAlign w:val="bottom"/>
            <w:hideMark/>
          </w:tcPr>
          <w:p w14:paraId="3CDC0A55" w14:textId="77777777" w:rsidR="00F5446D" w:rsidRPr="0094745F" w:rsidRDefault="00F5446D" w:rsidP="00876CB7">
            <w:pPr>
              <w:pStyle w:val="IASBTableBoldArial"/>
              <w:spacing w:before="60" w:after="60"/>
              <w:jc w:val="center"/>
              <w:rPr>
                <w:rFonts w:ascii="Calibri" w:hAnsi="Calibri" w:cs="Calibri"/>
                <w:b w:val="0"/>
                <w:sz w:val="24"/>
                <w:szCs w:val="24"/>
                <w:lang w:eastAsia="en-US"/>
              </w:rPr>
            </w:pPr>
            <w:r w:rsidRPr="0094745F">
              <w:rPr>
                <w:rFonts w:ascii="Calibri" w:hAnsi="Calibri" w:cs="Calibri"/>
                <w:b w:val="0"/>
                <w:sz w:val="24"/>
                <w:szCs w:val="24"/>
                <w:lang w:eastAsia="en-US"/>
              </w:rPr>
              <w:t>Item</w:t>
            </w:r>
          </w:p>
        </w:tc>
      </w:tr>
      <w:tr w:rsidR="00F5446D" w:rsidRPr="00A52CD3" w14:paraId="1FB8DD91" w14:textId="77777777" w:rsidTr="00057616">
        <w:trPr>
          <w:cantSplit/>
          <w:trHeight w:val="58"/>
        </w:trPr>
        <w:tc>
          <w:tcPr>
            <w:tcW w:w="236" w:type="dxa"/>
            <w:tcBorders>
              <w:top w:val="nil"/>
              <w:left w:val="nil"/>
              <w:bottom w:val="nil"/>
              <w:right w:val="single" w:sz="4" w:space="0" w:color="auto"/>
            </w:tcBorders>
            <w:vAlign w:val="bottom"/>
          </w:tcPr>
          <w:p w14:paraId="6F00BD7E" w14:textId="77777777" w:rsidR="00F5446D" w:rsidRPr="00A52CD3" w:rsidRDefault="00F5446D" w:rsidP="00876CB7">
            <w:pPr>
              <w:pStyle w:val="IASBTableBoldArial"/>
              <w:spacing w:before="0"/>
              <w:jc w:val="both"/>
              <w:rPr>
                <w:rFonts w:ascii="Calibri" w:hAnsi="Calibri" w:cs="Calibri"/>
                <w:sz w:val="24"/>
                <w:szCs w:val="24"/>
                <w:lang w:eastAsia="en-US"/>
              </w:rPr>
            </w:pPr>
          </w:p>
        </w:tc>
        <w:tc>
          <w:tcPr>
            <w:tcW w:w="8123" w:type="dxa"/>
            <w:tcBorders>
              <w:top w:val="single" w:sz="4" w:space="0" w:color="auto"/>
              <w:left w:val="single" w:sz="4" w:space="0" w:color="auto"/>
              <w:bottom w:val="single" w:sz="4" w:space="0" w:color="auto"/>
              <w:right w:val="single" w:sz="4" w:space="0" w:color="auto"/>
            </w:tcBorders>
            <w:vAlign w:val="bottom"/>
            <w:hideMark/>
          </w:tcPr>
          <w:p w14:paraId="0A72733A" w14:textId="77777777" w:rsidR="00F5446D" w:rsidRPr="0094745F" w:rsidRDefault="0094745F" w:rsidP="00876CB7">
            <w:pPr>
              <w:pStyle w:val="IASBTableBoldArial"/>
              <w:spacing w:before="60" w:after="60"/>
              <w:rPr>
                <w:rFonts w:ascii="Calibri" w:hAnsi="Calibri" w:cs="Calibri"/>
                <w:sz w:val="24"/>
                <w:szCs w:val="24"/>
                <w:lang w:eastAsia="en-US"/>
              </w:rPr>
            </w:pPr>
            <w:r>
              <w:rPr>
                <w:rFonts w:ascii="Calibri" w:hAnsi="Calibri" w:cs="Calibri"/>
                <w:b w:val="0"/>
                <w:sz w:val="24"/>
                <w:szCs w:val="24"/>
              </w:rPr>
              <w:t>Objetivo</w:t>
            </w:r>
          </w:p>
        </w:tc>
        <w:tc>
          <w:tcPr>
            <w:tcW w:w="1841" w:type="dxa"/>
            <w:tcBorders>
              <w:top w:val="single" w:sz="4" w:space="0" w:color="auto"/>
              <w:left w:val="single" w:sz="4" w:space="0" w:color="auto"/>
              <w:bottom w:val="single" w:sz="4" w:space="0" w:color="auto"/>
              <w:right w:val="single" w:sz="4" w:space="0" w:color="auto"/>
            </w:tcBorders>
            <w:vAlign w:val="bottom"/>
            <w:hideMark/>
          </w:tcPr>
          <w:p w14:paraId="63BB33A3" w14:textId="77777777" w:rsidR="00F5446D" w:rsidRPr="0094745F" w:rsidRDefault="00F5446D" w:rsidP="00876CB7">
            <w:pPr>
              <w:pStyle w:val="IASBTableBoldArial"/>
              <w:spacing w:before="60" w:after="60"/>
              <w:jc w:val="center"/>
              <w:rPr>
                <w:rFonts w:ascii="Calibri" w:hAnsi="Calibri" w:cs="Calibri"/>
                <w:sz w:val="24"/>
                <w:szCs w:val="24"/>
                <w:lang w:eastAsia="en-US"/>
              </w:rPr>
            </w:pPr>
            <w:r>
              <w:rPr>
                <w:rFonts w:ascii="Calibri" w:hAnsi="Calibri" w:cs="Calibri"/>
                <w:b w:val="0"/>
                <w:sz w:val="24"/>
                <w:szCs w:val="24"/>
              </w:rPr>
              <w:t>1 – 2</w:t>
            </w:r>
          </w:p>
        </w:tc>
      </w:tr>
      <w:tr w:rsidR="00F5446D" w:rsidRPr="00A52CD3" w14:paraId="55EA4F82" w14:textId="77777777" w:rsidTr="00057616">
        <w:trPr>
          <w:cantSplit/>
          <w:trHeight w:val="58"/>
        </w:trPr>
        <w:tc>
          <w:tcPr>
            <w:tcW w:w="236" w:type="dxa"/>
            <w:tcBorders>
              <w:top w:val="nil"/>
              <w:left w:val="nil"/>
              <w:bottom w:val="nil"/>
              <w:right w:val="single" w:sz="4" w:space="0" w:color="auto"/>
            </w:tcBorders>
            <w:vAlign w:val="bottom"/>
          </w:tcPr>
          <w:p w14:paraId="1218C5FE" w14:textId="77777777" w:rsidR="00F5446D" w:rsidRPr="00A52CD3" w:rsidRDefault="00F5446D" w:rsidP="00876CB7">
            <w:pPr>
              <w:pStyle w:val="IASBTableBoldArial"/>
              <w:spacing w:before="0"/>
              <w:jc w:val="both"/>
              <w:rPr>
                <w:rFonts w:ascii="Calibri" w:hAnsi="Calibri" w:cs="Calibri"/>
                <w:sz w:val="24"/>
                <w:szCs w:val="24"/>
                <w:lang w:eastAsia="en-US"/>
              </w:rPr>
            </w:pPr>
          </w:p>
        </w:tc>
        <w:tc>
          <w:tcPr>
            <w:tcW w:w="8123" w:type="dxa"/>
            <w:tcBorders>
              <w:top w:val="single" w:sz="4" w:space="0" w:color="auto"/>
              <w:left w:val="single" w:sz="4" w:space="0" w:color="auto"/>
              <w:bottom w:val="single" w:sz="4" w:space="0" w:color="auto"/>
              <w:right w:val="single" w:sz="4" w:space="0" w:color="auto"/>
            </w:tcBorders>
            <w:vAlign w:val="bottom"/>
            <w:hideMark/>
          </w:tcPr>
          <w:p w14:paraId="5B704B3B" w14:textId="77777777" w:rsidR="00F5446D" w:rsidRPr="0094745F" w:rsidRDefault="0094745F" w:rsidP="00876CB7">
            <w:pPr>
              <w:pStyle w:val="IASBTableBoldArial"/>
              <w:spacing w:before="60" w:after="60"/>
              <w:rPr>
                <w:rFonts w:ascii="Calibri" w:hAnsi="Calibri" w:cs="Calibri"/>
                <w:sz w:val="24"/>
                <w:szCs w:val="24"/>
                <w:lang w:eastAsia="en-US"/>
              </w:rPr>
            </w:pPr>
            <w:r>
              <w:rPr>
                <w:rFonts w:ascii="Calibri" w:hAnsi="Calibri" w:cs="Calibri"/>
                <w:b w:val="0"/>
                <w:sz w:val="24"/>
                <w:szCs w:val="24"/>
              </w:rPr>
              <w:t>Alcance</w:t>
            </w:r>
          </w:p>
        </w:tc>
        <w:tc>
          <w:tcPr>
            <w:tcW w:w="1841" w:type="dxa"/>
            <w:tcBorders>
              <w:top w:val="single" w:sz="4" w:space="0" w:color="auto"/>
              <w:left w:val="single" w:sz="4" w:space="0" w:color="auto"/>
              <w:bottom w:val="single" w:sz="4" w:space="0" w:color="auto"/>
              <w:right w:val="single" w:sz="4" w:space="0" w:color="auto"/>
            </w:tcBorders>
            <w:vAlign w:val="bottom"/>
            <w:hideMark/>
          </w:tcPr>
          <w:p w14:paraId="7E030BD8" w14:textId="77777777" w:rsidR="00F5446D" w:rsidRPr="0094745F" w:rsidRDefault="00F5446D" w:rsidP="00876CB7">
            <w:pPr>
              <w:pStyle w:val="IASBTableBoldArial"/>
              <w:spacing w:before="60" w:after="60"/>
              <w:jc w:val="center"/>
              <w:rPr>
                <w:rFonts w:ascii="Calibri" w:hAnsi="Calibri" w:cs="Calibri"/>
                <w:sz w:val="24"/>
                <w:szCs w:val="24"/>
                <w:lang w:eastAsia="en-US"/>
              </w:rPr>
            </w:pPr>
            <w:r>
              <w:rPr>
                <w:rFonts w:ascii="Calibri" w:hAnsi="Calibri" w:cs="Calibri"/>
                <w:b w:val="0"/>
                <w:sz w:val="24"/>
                <w:szCs w:val="24"/>
              </w:rPr>
              <w:t>3 – 5</w:t>
            </w:r>
          </w:p>
        </w:tc>
      </w:tr>
      <w:tr w:rsidR="00F5446D" w:rsidRPr="00A52CD3" w14:paraId="5DB49BC9" w14:textId="77777777" w:rsidTr="00057616">
        <w:trPr>
          <w:cantSplit/>
          <w:trHeight w:val="58"/>
        </w:trPr>
        <w:tc>
          <w:tcPr>
            <w:tcW w:w="236" w:type="dxa"/>
            <w:tcBorders>
              <w:top w:val="nil"/>
              <w:left w:val="nil"/>
              <w:bottom w:val="nil"/>
              <w:right w:val="single" w:sz="4" w:space="0" w:color="auto"/>
            </w:tcBorders>
            <w:vAlign w:val="bottom"/>
          </w:tcPr>
          <w:p w14:paraId="18F919C0" w14:textId="77777777" w:rsidR="00F5446D" w:rsidRPr="00A52CD3" w:rsidRDefault="00F5446D" w:rsidP="00876CB7">
            <w:pPr>
              <w:pStyle w:val="IASBTableBoldArial"/>
              <w:spacing w:before="0"/>
              <w:jc w:val="both"/>
              <w:rPr>
                <w:rFonts w:ascii="Calibri" w:hAnsi="Calibri" w:cs="Calibri"/>
                <w:sz w:val="24"/>
                <w:szCs w:val="24"/>
                <w:lang w:eastAsia="en-US"/>
              </w:rPr>
            </w:pPr>
          </w:p>
        </w:tc>
        <w:tc>
          <w:tcPr>
            <w:tcW w:w="8123" w:type="dxa"/>
            <w:tcBorders>
              <w:top w:val="single" w:sz="4" w:space="0" w:color="auto"/>
              <w:left w:val="single" w:sz="4" w:space="0" w:color="auto"/>
              <w:bottom w:val="single" w:sz="4" w:space="0" w:color="auto"/>
              <w:right w:val="single" w:sz="4" w:space="0" w:color="auto"/>
            </w:tcBorders>
            <w:vAlign w:val="bottom"/>
            <w:hideMark/>
          </w:tcPr>
          <w:p w14:paraId="275DA754" w14:textId="77777777" w:rsidR="00F5446D" w:rsidRPr="0094745F" w:rsidRDefault="0094745F" w:rsidP="00876CB7">
            <w:pPr>
              <w:pStyle w:val="IASBTableBoldArial"/>
              <w:spacing w:before="60" w:after="60"/>
              <w:rPr>
                <w:rFonts w:ascii="Calibri" w:hAnsi="Calibri" w:cs="Calibri"/>
                <w:sz w:val="24"/>
                <w:szCs w:val="24"/>
                <w:lang w:eastAsia="en-US"/>
              </w:rPr>
            </w:pPr>
            <w:r>
              <w:rPr>
                <w:rFonts w:ascii="Calibri" w:hAnsi="Calibri" w:cs="Calibri"/>
                <w:b w:val="0"/>
                <w:sz w:val="24"/>
                <w:szCs w:val="24"/>
              </w:rPr>
              <w:t>Definições</w:t>
            </w:r>
          </w:p>
        </w:tc>
        <w:tc>
          <w:tcPr>
            <w:tcW w:w="1841" w:type="dxa"/>
            <w:tcBorders>
              <w:top w:val="single" w:sz="4" w:space="0" w:color="auto"/>
              <w:left w:val="single" w:sz="4" w:space="0" w:color="auto"/>
              <w:bottom w:val="single" w:sz="4" w:space="0" w:color="auto"/>
              <w:right w:val="single" w:sz="4" w:space="0" w:color="auto"/>
            </w:tcBorders>
            <w:vAlign w:val="bottom"/>
            <w:hideMark/>
          </w:tcPr>
          <w:p w14:paraId="4EE90D6B" w14:textId="77777777" w:rsidR="00F5446D" w:rsidRPr="0094745F" w:rsidRDefault="00F5446D" w:rsidP="00876CB7">
            <w:pPr>
              <w:pStyle w:val="IASBTableBoldArial"/>
              <w:spacing w:before="60" w:after="60"/>
              <w:jc w:val="center"/>
              <w:rPr>
                <w:rFonts w:ascii="Calibri" w:hAnsi="Calibri" w:cs="Calibri"/>
                <w:sz w:val="24"/>
                <w:szCs w:val="24"/>
                <w:lang w:eastAsia="en-US"/>
              </w:rPr>
            </w:pPr>
            <w:r>
              <w:rPr>
                <w:rFonts w:ascii="Calibri" w:hAnsi="Calibri" w:cs="Calibri"/>
                <w:b w:val="0"/>
                <w:sz w:val="24"/>
                <w:szCs w:val="24"/>
              </w:rPr>
              <w:t>6 – 7</w:t>
            </w:r>
          </w:p>
        </w:tc>
      </w:tr>
      <w:tr w:rsidR="00F5446D" w:rsidRPr="00A52CD3" w14:paraId="33D43F65" w14:textId="77777777" w:rsidTr="00057616">
        <w:trPr>
          <w:cantSplit/>
          <w:trHeight w:val="58"/>
        </w:trPr>
        <w:tc>
          <w:tcPr>
            <w:tcW w:w="236" w:type="dxa"/>
            <w:tcBorders>
              <w:top w:val="nil"/>
              <w:left w:val="nil"/>
              <w:bottom w:val="nil"/>
              <w:right w:val="single" w:sz="4" w:space="0" w:color="auto"/>
            </w:tcBorders>
            <w:vAlign w:val="bottom"/>
          </w:tcPr>
          <w:p w14:paraId="74C946A8" w14:textId="77777777" w:rsidR="00F5446D" w:rsidRPr="00A52CD3" w:rsidRDefault="00F5446D" w:rsidP="00876CB7">
            <w:pPr>
              <w:pStyle w:val="IASBTableBoldArial"/>
              <w:spacing w:before="0"/>
              <w:jc w:val="both"/>
              <w:rPr>
                <w:rFonts w:ascii="Calibri" w:hAnsi="Calibri" w:cs="Calibri"/>
                <w:sz w:val="24"/>
                <w:szCs w:val="24"/>
                <w:lang w:eastAsia="en-US"/>
              </w:rPr>
            </w:pPr>
          </w:p>
        </w:tc>
        <w:tc>
          <w:tcPr>
            <w:tcW w:w="8123" w:type="dxa"/>
            <w:tcBorders>
              <w:top w:val="single" w:sz="4" w:space="0" w:color="auto"/>
              <w:left w:val="single" w:sz="4" w:space="0" w:color="auto"/>
              <w:bottom w:val="single" w:sz="4" w:space="0" w:color="auto"/>
              <w:right w:val="single" w:sz="4" w:space="0" w:color="auto"/>
            </w:tcBorders>
            <w:vAlign w:val="bottom"/>
            <w:hideMark/>
          </w:tcPr>
          <w:p w14:paraId="68A896A9" w14:textId="77777777" w:rsidR="00F5446D" w:rsidRPr="0094745F" w:rsidRDefault="0094745F" w:rsidP="00876CB7">
            <w:pPr>
              <w:pStyle w:val="IASBTableBoldArial"/>
              <w:spacing w:before="60" w:after="60"/>
              <w:rPr>
                <w:rFonts w:ascii="Calibri" w:hAnsi="Calibri" w:cs="Calibri"/>
                <w:sz w:val="24"/>
                <w:szCs w:val="24"/>
                <w:lang w:eastAsia="en-US"/>
              </w:rPr>
            </w:pPr>
            <w:r>
              <w:rPr>
                <w:rFonts w:ascii="Calibri" w:hAnsi="Calibri" w:cs="Calibri"/>
                <w:b w:val="0"/>
                <w:sz w:val="24"/>
                <w:szCs w:val="24"/>
              </w:rPr>
              <w:t>Identificação da Transação de Despesa de Transferência</w:t>
            </w:r>
          </w:p>
        </w:tc>
        <w:tc>
          <w:tcPr>
            <w:tcW w:w="1841" w:type="dxa"/>
            <w:tcBorders>
              <w:top w:val="single" w:sz="4" w:space="0" w:color="auto"/>
              <w:left w:val="single" w:sz="4" w:space="0" w:color="auto"/>
              <w:bottom w:val="single" w:sz="4" w:space="0" w:color="auto"/>
              <w:right w:val="single" w:sz="4" w:space="0" w:color="auto"/>
            </w:tcBorders>
            <w:vAlign w:val="bottom"/>
            <w:hideMark/>
          </w:tcPr>
          <w:p w14:paraId="26A8C682" w14:textId="77777777" w:rsidR="00F5446D" w:rsidRPr="0094745F" w:rsidRDefault="00F5446D" w:rsidP="00876CB7">
            <w:pPr>
              <w:pStyle w:val="IASBTableBoldArial"/>
              <w:spacing w:before="60" w:after="60"/>
              <w:jc w:val="center"/>
              <w:rPr>
                <w:rFonts w:ascii="Calibri" w:hAnsi="Calibri" w:cs="Calibri"/>
                <w:sz w:val="24"/>
                <w:szCs w:val="24"/>
                <w:lang w:eastAsia="en-US"/>
              </w:rPr>
            </w:pPr>
            <w:r>
              <w:rPr>
                <w:rFonts w:ascii="Calibri" w:hAnsi="Calibri" w:cs="Calibri"/>
                <w:b w:val="0"/>
                <w:sz w:val="24"/>
                <w:szCs w:val="24"/>
              </w:rPr>
              <w:t>8 – 9</w:t>
            </w:r>
          </w:p>
        </w:tc>
      </w:tr>
      <w:tr w:rsidR="00F5446D" w:rsidRPr="00A52CD3" w14:paraId="1571AD80" w14:textId="77777777" w:rsidTr="00057616">
        <w:trPr>
          <w:cantSplit/>
          <w:trHeight w:val="58"/>
        </w:trPr>
        <w:tc>
          <w:tcPr>
            <w:tcW w:w="236" w:type="dxa"/>
            <w:tcBorders>
              <w:top w:val="nil"/>
              <w:left w:val="nil"/>
              <w:bottom w:val="nil"/>
              <w:right w:val="single" w:sz="4" w:space="0" w:color="auto"/>
            </w:tcBorders>
            <w:vAlign w:val="bottom"/>
          </w:tcPr>
          <w:p w14:paraId="7090DB2F" w14:textId="77777777" w:rsidR="00F5446D" w:rsidRPr="00A52CD3" w:rsidRDefault="00F5446D" w:rsidP="00876CB7">
            <w:pPr>
              <w:pStyle w:val="IASBTableBoldArial"/>
              <w:spacing w:before="0"/>
              <w:jc w:val="both"/>
              <w:rPr>
                <w:rFonts w:ascii="Calibri" w:hAnsi="Calibri" w:cs="Calibri"/>
                <w:sz w:val="24"/>
                <w:szCs w:val="24"/>
                <w:lang w:eastAsia="en-US"/>
              </w:rPr>
            </w:pPr>
          </w:p>
        </w:tc>
        <w:tc>
          <w:tcPr>
            <w:tcW w:w="8123" w:type="dxa"/>
            <w:tcBorders>
              <w:top w:val="single" w:sz="4" w:space="0" w:color="auto"/>
              <w:left w:val="single" w:sz="4" w:space="0" w:color="auto"/>
              <w:bottom w:val="single" w:sz="4" w:space="0" w:color="auto"/>
              <w:right w:val="single" w:sz="4" w:space="0" w:color="auto"/>
            </w:tcBorders>
            <w:vAlign w:val="bottom"/>
            <w:hideMark/>
          </w:tcPr>
          <w:p w14:paraId="00357D95" w14:textId="77777777" w:rsidR="00F5446D" w:rsidRPr="0094745F" w:rsidRDefault="0094745F" w:rsidP="00876CB7">
            <w:pPr>
              <w:pStyle w:val="IASBTableBoldArial"/>
              <w:spacing w:before="60" w:after="60"/>
              <w:rPr>
                <w:rFonts w:ascii="Calibri" w:hAnsi="Calibri" w:cs="Calibri"/>
                <w:sz w:val="24"/>
                <w:szCs w:val="24"/>
                <w:lang w:eastAsia="en-US"/>
              </w:rPr>
            </w:pPr>
            <w:r>
              <w:rPr>
                <w:rFonts w:ascii="Calibri" w:hAnsi="Calibri" w:cs="Calibri"/>
                <w:b w:val="0"/>
                <w:sz w:val="24"/>
                <w:szCs w:val="24"/>
              </w:rPr>
              <w:t>Acordos Vinculantes e Exequibilidade</w:t>
            </w:r>
          </w:p>
        </w:tc>
        <w:tc>
          <w:tcPr>
            <w:tcW w:w="1841" w:type="dxa"/>
            <w:tcBorders>
              <w:top w:val="single" w:sz="4" w:space="0" w:color="auto"/>
              <w:left w:val="single" w:sz="4" w:space="0" w:color="auto"/>
              <w:bottom w:val="single" w:sz="4" w:space="0" w:color="auto"/>
              <w:right w:val="single" w:sz="4" w:space="0" w:color="auto"/>
            </w:tcBorders>
            <w:vAlign w:val="bottom"/>
            <w:hideMark/>
          </w:tcPr>
          <w:p w14:paraId="1F1F7900" w14:textId="77777777" w:rsidR="00F5446D" w:rsidRPr="0094745F" w:rsidRDefault="00F5446D" w:rsidP="00876CB7">
            <w:pPr>
              <w:pStyle w:val="IASBTableBoldArial"/>
              <w:spacing w:before="60" w:after="60"/>
              <w:jc w:val="center"/>
              <w:rPr>
                <w:rFonts w:ascii="Calibri" w:hAnsi="Calibri" w:cs="Calibri"/>
                <w:sz w:val="24"/>
                <w:szCs w:val="24"/>
                <w:lang w:eastAsia="en-US"/>
              </w:rPr>
            </w:pPr>
            <w:r>
              <w:rPr>
                <w:rFonts w:ascii="Calibri" w:hAnsi="Calibri" w:cs="Calibri"/>
                <w:b w:val="0"/>
                <w:sz w:val="24"/>
                <w:szCs w:val="24"/>
              </w:rPr>
              <w:t>10 – 17</w:t>
            </w:r>
          </w:p>
        </w:tc>
      </w:tr>
      <w:tr w:rsidR="00F5446D" w:rsidRPr="00A52CD3" w14:paraId="4E7C74F4" w14:textId="77777777" w:rsidTr="00057616">
        <w:trPr>
          <w:cantSplit/>
          <w:trHeight w:val="58"/>
        </w:trPr>
        <w:tc>
          <w:tcPr>
            <w:tcW w:w="236" w:type="dxa"/>
            <w:tcBorders>
              <w:top w:val="nil"/>
              <w:left w:val="nil"/>
              <w:bottom w:val="nil"/>
              <w:right w:val="single" w:sz="4" w:space="0" w:color="auto"/>
            </w:tcBorders>
            <w:vAlign w:val="bottom"/>
          </w:tcPr>
          <w:p w14:paraId="4519C7B7" w14:textId="77777777" w:rsidR="00F5446D" w:rsidRPr="00A52CD3" w:rsidRDefault="00F5446D" w:rsidP="00876CB7">
            <w:pPr>
              <w:pStyle w:val="IASBTableBoldArial"/>
              <w:spacing w:before="0"/>
              <w:jc w:val="both"/>
              <w:rPr>
                <w:rFonts w:ascii="Calibri" w:hAnsi="Calibri" w:cs="Calibri"/>
                <w:sz w:val="24"/>
                <w:szCs w:val="24"/>
                <w:lang w:eastAsia="en-US"/>
              </w:rPr>
            </w:pPr>
          </w:p>
        </w:tc>
        <w:tc>
          <w:tcPr>
            <w:tcW w:w="8123" w:type="dxa"/>
            <w:tcBorders>
              <w:top w:val="single" w:sz="4" w:space="0" w:color="auto"/>
              <w:left w:val="single" w:sz="4" w:space="0" w:color="auto"/>
              <w:bottom w:val="single" w:sz="4" w:space="0" w:color="auto"/>
              <w:right w:val="single" w:sz="4" w:space="0" w:color="auto"/>
            </w:tcBorders>
            <w:vAlign w:val="bottom"/>
            <w:hideMark/>
          </w:tcPr>
          <w:p w14:paraId="090F8483" w14:textId="77777777" w:rsidR="00F5446D" w:rsidRPr="0094745F" w:rsidRDefault="0094745F" w:rsidP="00876CB7">
            <w:pPr>
              <w:pStyle w:val="IASBTableBoldArial"/>
              <w:spacing w:before="60" w:after="60"/>
              <w:rPr>
                <w:rFonts w:ascii="Calibri" w:hAnsi="Calibri" w:cs="Calibri"/>
                <w:sz w:val="24"/>
                <w:szCs w:val="24"/>
                <w:lang w:eastAsia="en-US"/>
              </w:rPr>
            </w:pPr>
            <w:r>
              <w:rPr>
                <w:rFonts w:ascii="Calibri" w:hAnsi="Calibri" w:cs="Calibri"/>
                <w:b w:val="0"/>
                <w:sz w:val="24"/>
                <w:szCs w:val="24"/>
              </w:rPr>
              <w:t xml:space="preserve">    Combinação de Acordos Vinculantes</w:t>
            </w:r>
          </w:p>
        </w:tc>
        <w:tc>
          <w:tcPr>
            <w:tcW w:w="1841" w:type="dxa"/>
            <w:tcBorders>
              <w:top w:val="single" w:sz="4" w:space="0" w:color="auto"/>
              <w:left w:val="single" w:sz="4" w:space="0" w:color="auto"/>
              <w:bottom w:val="single" w:sz="4" w:space="0" w:color="auto"/>
              <w:right w:val="single" w:sz="4" w:space="0" w:color="auto"/>
            </w:tcBorders>
            <w:vAlign w:val="bottom"/>
            <w:hideMark/>
          </w:tcPr>
          <w:p w14:paraId="335B3E94" w14:textId="77777777" w:rsidR="00F5446D" w:rsidRPr="0094745F" w:rsidRDefault="00F5446D" w:rsidP="00876CB7">
            <w:pPr>
              <w:pStyle w:val="IASBTableBoldArial"/>
              <w:spacing w:before="60" w:after="60"/>
              <w:jc w:val="center"/>
              <w:rPr>
                <w:rFonts w:ascii="Calibri" w:hAnsi="Calibri" w:cs="Calibri"/>
                <w:sz w:val="24"/>
                <w:szCs w:val="24"/>
                <w:lang w:eastAsia="en-US"/>
              </w:rPr>
            </w:pPr>
            <w:r>
              <w:rPr>
                <w:rFonts w:ascii="Calibri" w:hAnsi="Calibri" w:cs="Calibri"/>
                <w:b w:val="0"/>
                <w:sz w:val="24"/>
                <w:szCs w:val="24"/>
              </w:rPr>
              <w:t>17</w:t>
            </w:r>
          </w:p>
        </w:tc>
      </w:tr>
      <w:tr w:rsidR="00F5446D" w:rsidRPr="00A52CD3" w14:paraId="55287ED7" w14:textId="77777777" w:rsidTr="00057616">
        <w:trPr>
          <w:cantSplit/>
          <w:trHeight w:val="58"/>
        </w:trPr>
        <w:tc>
          <w:tcPr>
            <w:tcW w:w="236" w:type="dxa"/>
            <w:tcBorders>
              <w:top w:val="nil"/>
              <w:left w:val="nil"/>
              <w:bottom w:val="nil"/>
              <w:right w:val="single" w:sz="4" w:space="0" w:color="auto"/>
            </w:tcBorders>
            <w:vAlign w:val="bottom"/>
          </w:tcPr>
          <w:p w14:paraId="179F8F88" w14:textId="77777777" w:rsidR="00F5446D" w:rsidRPr="00A52CD3" w:rsidRDefault="00F5446D" w:rsidP="00876CB7">
            <w:pPr>
              <w:pStyle w:val="IASBTableBoldArial"/>
              <w:spacing w:before="0"/>
              <w:jc w:val="both"/>
              <w:rPr>
                <w:rFonts w:ascii="Calibri" w:hAnsi="Calibri" w:cs="Calibri"/>
                <w:sz w:val="24"/>
                <w:szCs w:val="24"/>
                <w:lang w:eastAsia="en-US"/>
              </w:rPr>
            </w:pPr>
          </w:p>
        </w:tc>
        <w:tc>
          <w:tcPr>
            <w:tcW w:w="8123" w:type="dxa"/>
            <w:tcBorders>
              <w:top w:val="single" w:sz="4" w:space="0" w:color="auto"/>
              <w:left w:val="single" w:sz="4" w:space="0" w:color="auto"/>
              <w:bottom w:val="single" w:sz="4" w:space="0" w:color="auto"/>
              <w:right w:val="single" w:sz="4" w:space="0" w:color="auto"/>
            </w:tcBorders>
            <w:vAlign w:val="bottom"/>
            <w:hideMark/>
          </w:tcPr>
          <w:p w14:paraId="5F52148B" w14:textId="77777777" w:rsidR="00F5446D" w:rsidRPr="0094745F" w:rsidRDefault="0094745F" w:rsidP="00876CB7">
            <w:pPr>
              <w:pStyle w:val="IASBTableBoldArial"/>
              <w:spacing w:before="60" w:after="60"/>
              <w:rPr>
                <w:rFonts w:ascii="Calibri" w:hAnsi="Calibri" w:cs="Calibri"/>
                <w:sz w:val="24"/>
                <w:szCs w:val="24"/>
                <w:lang w:eastAsia="en-US"/>
              </w:rPr>
            </w:pPr>
            <w:r>
              <w:rPr>
                <w:rFonts w:ascii="Calibri" w:hAnsi="Calibri" w:cs="Calibri"/>
                <w:b w:val="0"/>
                <w:sz w:val="24"/>
                <w:szCs w:val="24"/>
              </w:rPr>
              <w:t>Despesas de Transferência Decorrentes de Transações sem Acordos Vinculantes</w:t>
            </w:r>
          </w:p>
        </w:tc>
        <w:tc>
          <w:tcPr>
            <w:tcW w:w="1841" w:type="dxa"/>
            <w:tcBorders>
              <w:top w:val="single" w:sz="4" w:space="0" w:color="auto"/>
              <w:left w:val="single" w:sz="4" w:space="0" w:color="auto"/>
              <w:bottom w:val="single" w:sz="4" w:space="0" w:color="auto"/>
              <w:right w:val="single" w:sz="4" w:space="0" w:color="auto"/>
            </w:tcBorders>
            <w:vAlign w:val="bottom"/>
            <w:hideMark/>
          </w:tcPr>
          <w:p w14:paraId="6AEB04EA" w14:textId="77777777" w:rsidR="00F5446D" w:rsidRPr="0094745F" w:rsidRDefault="00F5446D" w:rsidP="00876CB7">
            <w:pPr>
              <w:pStyle w:val="IASBTableBoldArial"/>
              <w:spacing w:before="60" w:after="60"/>
              <w:jc w:val="center"/>
              <w:rPr>
                <w:rFonts w:ascii="Calibri" w:hAnsi="Calibri" w:cs="Calibri"/>
                <w:sz w:val="24"/>
                <w:szCs w:val="24"/>
                <w:lang w:eastAsia="en-US"/>
              </w:rPr>
            </w:pPr>
            <w:r>
              <w:rPr>
                <w:rFonts w:ascii="Calibri" w:hAnsi="Calibri" w:cs="Calibri"/>
                <w:b w:val="0"/>
                <w:sz w:val="24"/>
                <w:szCs w:val="24"/>
              </w:rPr>
              <w:t>18 – 20</w:t>
            </w:r>
          </w:p>
        </w:tc>
      </w:tr>
      <w:tr w:rsidR="00F5446D" w:rsidRPr="00A52CD3" w14:paraId="18F2E7E7" w14:textId="77777777" w:rsidTr="00057616">
        <w:trPr>
          <w:cantSplit/>
          <w:trHeight w:val="58"/>
        </w:trPr>
        <w:tc>
          <w:tcPr>
            <w:tcW w:w="236" w:type="dxa"/>
            <w:tcBorders>
              <w:top w:val="nil"/>
              <w:left w:val="nil"/>
              <w:bottom w:val="nil"/>
              <w:right w:val="single" w:sz="4" w:space="0" w:color="auto"/>
            </w:tcBorders>
            <w:vAlign w:val="bottom"/>
          </w:tcPr>
          <w:p w14:paraId="0D96E56F" w14:textId="77777777" w:rsidR="00F5446D" w:rsidRPr="00A52CD3" w:rsidRDefault="00F5446D" w:rsidP="00876CB7">
            <w:pPr>
              <w:pStyle w:val="IASBTableBoldArial"/>
              <w:spacing w:before="0"/>
              <w:jc w:val="both"/>
              <w:rPr>
                <w:rFonts w:ascii="Calibri" w:hAnsi="Calibri" w:cs="Calibri"/>
                <w:sz w:val="24"/>
                <w:szCs w:val="24"/>
                <w:lang w:eastAsia="en-US"/>
              </w:rPr>
            </w:pPr>
          </w:p>
        </w:tc>
        <w:tc>
          <w:tcPr>
            <w:tcW w:w="8123" w:type="dxa"/>
            <w:tcBorders>
              <w:top w:val="single" w:sz="4" w:space="0" w:color="auto"/>
              <w:left w:val="single" w:sz="4" w:space="0" w:color="auto"/>
              <w:bottom w:val="single" w:sz="4" w:space="0" w:color="auto"/>
              <w:right w:val="single" w:sz="4" w:space="0" w:color="auto"/>
            </w:tcBorders>
            <w:vAlign w:val="bottom"/>
            <w:hideMark/>
          </w:tcPr>
          <w:p w14:paraId="70EC994E" w14:textId="77777777" w:rsidR="00F5446D" w:rsidRPr="0094745F" w:rsidRDefault="0094745F" w:rsidP="00876CB7">
            <w:pPr>
              <w:pStyle w:val="IASBTableBoldArial"/>
              <w:spacing w:before="60" w:after="60"/>
              <w:rPr>
                <w:rFonts w:ascii="Calibri" w:hAnsi="Calibri" w:cs="Calibri"/>
                <w:sz w:val="24"/>
                <w:szCs w:val="24"/>
                <w:lang w:eastAsia="en-US"/>
              </w:rPr>
            </w:pPr>
            <w:r>
              <w:rPr>
                <w:rFonts w:ascii="Calibri" w:hAnsi="Calibri" w:cs="Calibri"/>
                <w:b w:val="0"/>
                <w:sz w:val="24"/>
                <w:szCs w:val="24"/>
              </w:rPr>
              <w:t xml:space="preserve">    Reconhecimento</w:t>
            </w:r>
          </w:p>
        </w:tc>
        <w:tc>
          <w:tcPr>
            <w:tcW w:w="1841" w:type="dxa"/>
            <w:tcBorders>
              <w:top w:val="single" w:sz="4" w:space="0" w:color="auto"/>
              <w:left w:val="single" w:sz="4" w:space="0" w:color="auto"/>
              <w:bottom w:val="single" w:sz="4" w:space="0" w:color="auto"/>
              <w:right w:val="single" w:sz="4" w:space="0" w:color="auto"/>
            </w:tcBorders>
            <w:vAlign w:val="bottom"/>
            <w:hideMark/>
          </w:tcPr>
          <w:p w14:paraId="3FC23834" w14:textId="77777777" w:rsidR="00F5446D" w:rsidRPr="0094745F" w:rsidRDefault="00F5446D" w:rsidP="00876CB7">
            <w:pPr>
              <w:pStyle w:val="IASBTableBoldArial"/>
              <w:spacing w:before="60" w:after="60"/>
              <w:jc w:val="center"/>
              <w:rPr>
                <w:rFonts w:ascii="Calibri" w:hAnsi="Calibri" w:cs="Calibri"/>
                <w:sz w:val="24"/>
                <w:szCs w:val="24"/>
                <w:lang w:eastAsia="en-US"/>
              </w:rPr>
            </w:pPr>
            <w:r>
              <w:rPr>
                <w:rFonts w:ascii="Calibri" w:hAnsi="Calibri" w:cs="Calibri"/>
                <w:b w:val="0"/>
                <w:sz w:val="24"/>
                <w:szCs w:val="24"/>
              </w:rPr>
              <w:t>18</w:t>
            </w:r>
          </w:p>
        </w:tc>
      </w:tr>
      <w:tr w:rsidR="00F5446D" w:rsidRPr="00A52CD3" w14:paraId="0C99FFCA" w14:textId="77777777" w:rsidTr="00057616">
        <w:trPr>
          <w:cantSplit/>
          <w:trHeight w:val="58"/>
        </w:trPr>
        <w:tc>
          <w:tcPr>
            <w:tcW w:w="236" w:type="dxa"/>
            <w:tcBorders>
              <w:top w:val="nil"/>
              <w:left w:val="nil"/>
              <w:bottom w:val="nil"/>
              <w:right w:val="single" w:sz="4" w:space="0" w:color="auto"/>
            </w:tcBorders>
            <w:vAlign w:val="bottom"/>
          </w:tcPr>
          <w:p w14:paraId="39B7478F" w14:textId="77777777" w:rsidR="00F5446D" w:rsidRPr="00A52CD3" w:rsidRDefault="00F5446D" w:rsidP="00876CB7">
            <w:pPr>
              <w:pStyle w:val="IASBTableBoldArial"/>
              <w:spacing w:before="0"/>
              <w:jc w:val="both"/>
              <w:rPr>
                <w:rFonts w:ascii="Calibri" w:hAnsi="Calibri" w:cs="Calibri"/>
                <w:sz w:val="24"/>
                <w:szCs w:val="24"/>
                <w:lang w:eastAsia="en-US"/>
              </w:rPr>
            </w:pPr>
          </w:p>
        </w:tc>
        <w:tc>
          <w:tcPr>
            <w:tcW w:w="8123" w:type="dxa"/>
            <w:tcBorders>
              <w:top w:val="single" w:sz="4" w:space="0" w:color="auto"/>
              <w:left w:val="single" w:sz="4" w:space="0" w:color="auto"/>
              <w:bottom w:val="single" w:sz="4" w:space="0" w:color="auto"/>
              <w:right w:val="single" w:sz="4" w:space="0" w:color="auto"/>
            </w:tcBorders>
            <w:vAlign w:val="bottom"/>
            <w:hideMark/>
          </w:tcPr>
          <w:p w14:paraId="47410D18" w14:textId="77777777" w:rsidR="00F5446D" w:rsidRPr="0094745F" w:rsidRDefault="0094745F" w:rsidP="00876CB7">
            <w:pPr>
              <w:pStyle w:val="IASBTableBoldArial"/>
              <w:spacing w:before="60" w:after="60"/>
              <w:rPr>
                <w:rFonts w:ascii="Calibri" w:hAnsi="Calibri" w:cs="Calibri"/>
                <w:sz w:val="24"/>
                <w:szCs w:val="24"/>
                <w:lang w:eastAsia="en-US"/>
              </w:rPr>
            </w:pPr>
            <w:r>
              <w:rPr>
                <w:rFonts w:ascii="Calibri" w:hAnsi="Calibri" w:cs="Calibri"/>
                <w:b w:val="0"/>
                <w:sz w:val="24"/>
                <w:szCs w:val="24"/>
              </w:rPr>
              <w:t xml:space="preserve">    Mensuração</w:t>
            </w:r>
          </w:p>
        </w:tc>
        <w:tc>
          <w:tcPr>
            <w:tcW w:w="1841" w:type="dxa"/>
            <w:tcBorders>
              <w:top w:val="single" w:sz="4" w:space="0" w:color="auto"/>
              <w:left w:val="single" w:sz="4" w:space="0" w:color="auto"/>
              <w:bottom w:val="single" w:sz="4" w:space="0" w:color="auto"/>
              <w:right w:val="single" w:sz="4" w:space="0" w:color="auto"/>
            </w:tcBorders>
            <w:vAlign w:val="bottom"/>
            <w:hideMark/>
          </w:tcPr>
          <w:p w14:paraId="25A02AE3" w14:textId="77777777" w:rsidR="00F5446D" w:rsidRPr="0094745F" w:rsidRDefault="00F5446D" w:rsidP="00876CB7">
            <w:pPr>
              <w:pStyle w:val="IASBTableBoldArial"/>
              <w:spacing w:before="60" w:after="60"/>
              <w:jc w:val="center"/>
              <w:rPr>
                <w:rFonts w:ascii="Calibri" w:hAnsi="Calibri" w:cs="Calibri"/>
                <w:sz w:val="24"/>
                <w:szCs w:val="24"/>
                <w:lang w:eastAsia="en-US"/>
              </w:rPr>
            </w:pPr>
            <w:r>
              <w:rPr>
                <w:rFonts w:ascii="Calibri" w:hAnsi="Calibri" w:cs="Calibri"/>
                <w:b w:val="0"/>
                <w:sz w:val="24"/>
                <w:szCs w:val="24"/>
              </w:rPr>
              <w:t>19 – 20</w:t>
            </w:r>
          </w:p>
        </w:tc>
      </w:tr>
      <w:tr w:rsidR="00F5446D" w:rsidRPr="00A52CD3" w14:paraId="313AF23C" w14:textId="77777777" w:rsidTr="00057616">
        <w:trPr>
          <w:cantSplit/>
          <w:trHeight w:val="58"/>
        </w:trPr>
        <w:tc>
          <w:tcPr>
            <w:tcW w:w="236" w:type="dxa"/>
            <w:tcBorders>
              <w:top w:val="nil"/>
              <w:left w:val="nil"/>
              <w:bottom w:val="nil"/>
              <w:right w:val="single" w:sz="4" w:space="0" w:color="auto"/>
            </w:tcBorders>
            <w:vAlign w:val="bottom"/>
          </w:tcPr>
          <w:p w14:paraId="0AF69A24" w14:textId="77777777" w:rsidR="00F5446D" w:rsidRPr="00A52CD3" w:rsidRDefault="00F5446D" w:rsidP="00876CB7">
            <w:pPr>
              <w:pStyle w:val="IASBTableBoldArial"/>
              <w:spacing w:before="0"/>
              <w:jc w:val="both"/>
              <w:rPr>
                <w:rFonts w:ascii="Calibri" w:hAnsi="Calibri" w:cs="Calibri"/>
                <w:sz w:val="24"/>
                <w:szCs w:val="24"/>
                <w:lang w:eastAsia="en-US"/>
              </w:rPr>
            </w:pPr>
          </w:p>
        </w:tc>
        <w:tc>
          <w:tcPr>
            <w:tcW w:w="8123" w:type="dxa"/>
            <w:tcBorders>
              <w:top w:val="single" w:sz="4" w:space="0" w:color="auto"/>
              <w:left w:val="single" w:sz="4" w:space="0" w:color="auto"/>
              <w:bottom w:val="single" w:sz="4" w:space="0" w:color="auto"/>
              <w:right w:val="single" w:sz="4" w:space="0" w:color="auto"/>
            </w:tcBorders>
            <w:vAlign w:val="bottom"/>
            <w:hideMark/>
          </w:tcPr>
          <w:p w14:paraId="3183FB92" w14:textId="77777777" w:rsidR="00F5446D" w:rsidRPr="0094745F" w:rsidRDefault="0094745F" w:rsidP="00876CB7">
            <w:pPr>
              <w:pStyle w:val="IASBTableBoldArial"/>
              <w:spacing w:before="60" w:after="60"/>
              <w:rPr>
                <w:rFonts w:ascii="Calibri" w:hAnsi="Calibri" w:cs="Calibri"/>
                <w:sz w:val="24"/>
                <w:szCs w:val="24"/>
                <w:lang w:eastAsia="en-US"/>
              </w:rPr>
            </w:pPr>
            <w:r>
              <w:rPr>
                <w:rFonts w:ascii="Calibri" w:hAnsi="Calibri" w:cs="Calibri"/>
                <w:b w:val="0"/>
                <w:sz w:val="24"/>
                <w:szCs w:val="24"/>
              </w:rPr>
              <w:t>Despesas de Transferência Decorrentes de Transações com Acordos Vinculantes</w:t>
            </w:r>
          </w:p>
        </w:tc>
        <w:tc>
          <w:tcPr>
            <w:tcW w:w="1841" w:type="dxa"/>
            <w:tcBorders>
              <w:top w:val="single" w:sz="4" w:space="0" w:color="auto"/>
              <w:left w:val="single" w:sz="4" w:space="0" w:color="auto"/>
              <w:bottom w:val="single" w:sz="4" w:space="0" w:color="auto"/>
              <w:right w:val="single" w:sz="4" w:space="0" w:color="auto"/>
            </w:tcBorders>
            <w:vAlign w:val="bottom"/>
            <w:hideMark/>
          </w:tcPr>
          <w:p w14:paraId="2F56D520" w14:textId="77777777" w:rsidR="00F5446D" w:rsidRPr="0094745F" w:rsidRDefault="00F5446D" w:rsidP="00876CB7">
            <w:pPr>
              <w:pStyle w:val="IASBTableBoldArial"/>
              <w:spacing w:before="60" w:after="60"/>
              <w:jc w:val="center"/>
              <w:rPr>
                <w:rFonts w:ascii="Calibri" w:hAnsi="Calibri" w:cs="Calibri"/>
                <w:sz w:val="24"/>
                <w:szCs w:val="24"/>
                <w:lang w:eastAsia="en-US"/>
              </w:rPr>
            </w:pPr>
            <w:r>
              <w:rPr>
                <w:rFonts w:ascii="Calibri" w:hAnsi="Calibri" w:cs="Calibri"/>
                <w:b w:val="0"/>
                <w:sz w:val="24"/>
                <w:szCs w:val="24"/>
              </w:rPr>
              <w:t>21 – 43</w:t>
            </w:r>
          </w:p>
        </w:tc>
      </w:tr>
      <w:tr w:rsidR="00F5446D" w:rsidRPr="00A52CD3" w14:paraId="45DB5139" w14:textId="77777777" w:rsidTr="00057616">
        <w:trPr>
          <w:cantSplit/>
          <w:trHeight w:val="58"/>
        </w:trPr>
        <w:tc>
          <w:tcPr>
            <w:tcW w:w="236" w:type="dxa"/>
            <w:tcBorders>
              <w:top w:val="nil"/>
              <w:left w:val="nil"/>
              <w:bottom w:val="nil"/>
              <w:right w:val="single" w:sz="4" w:space="0" w:color="auto"/>
            </w:tcBorders>
            <w:vAlign w:val="bottom"/>
          </w:tcPr>
          <w:p w14:paraId="3D6BB7D2" w14:textId="77777777" w:rsidR="00F5446D" w:rsidRPr="00A52CD3" w:rsidRDefault="00F5446D" w:rsidP="00876CB7">
            <w:pPr>
              <w:pStyle w:val="IASBTableBoldArial"/>
              <w:spacing w:before="0"/>
              <w:jc w:val="both"/>
              <w:rPr>
                <w:rFonts w:ascii="Calibri" w:hAnsi="Calibri" w:cs="Calibri"/>
                <w:sz w:val="24"/>
                <w:szCs w:val="24"/>
                <w:lang w:eastAsia="en-US"/>
              </w:rPr>
            </w:pPr>
          </w:p>
        </w:tc>
        <w:tc>
          <w:tcPr>
            <w:tcW w:w="8123" w:type="dxa"/>
            <w:tcBorders>
              <w:top w:val="single" w:sz="4" w:space="0" w:color="auto"/>
              <w:left w:val="single" w:sz="4" w:space="0" w:color="auto"/>
              <w:bottom w:val="single" w:sz="4" w:space="0" w:color="auto"/>
              <w:right w:val="single" w:sz="4" w:space="0" w:color="auto"/>
            </w:tcBorders>
            <w:vAlign w:val="bottom"/>
            <w:hideMark/>
          </w:tcPr>
          <w:p w14:paraId="6877CCD4" w14:textId="77777777" w:rsidR="00F5446D" w:rsidRPr="0094745F" w:rsidRDefault="0094745F" w:rsidP="00876CB7">
            <w:pPr>
              <w:pStyle w:val="IASBTableBoldArial"/>
              <w:spacing w:before="60" w:after="60"/>
              <w:rPr>
                <w:rFonts w:ascii="Calibri" w:hAnsi="Calibri" w:cs="Calibri"/>
                <w:sz w:val="24"/>
                <w:szCs w:val="24"/>
                <w:lang w:eastAsia="en-US"/>
              </w:rPr>
            </w:pPr>
            <w:r>
              <w:rPr>
                <w:rFonts w:ascii="Calibri" w:hAnsi="Calibri" w:cs="Calibri"/>
                <w:b w:val="0"/>
                <w:sz w:val="24"/>
                <w:szCs w:val="24"/>
              </w:rPr>
              <w:t xml:space="preserve">    Identificação dos Direitos Decorrentes de Transferência</w:t>
            </w:r>
          </w:p>
        </w:tc>
        <w:tc>
          <w:tcPr>
            <w:tcW w:w="1841" w:type="dxa"/>
            <w:tcBorders>
              <w:top w:val="single" w:sz="4" w:space="0" w:color="auto"/>
              <w:left w:val="single" w:sz="4" w:space="0" w:color="auto"/>
              <w:bottom w:val="single" w:sz="4" w:space="0" w:color="auto"/>
              <w:right w:val="single" w:sz="4" w:space="0" w:color="auto"/>
            </w:tcBorders>
            <w:vAlign w:val="bottom"/>
            <w:hideMark/>
          </w:tcPr>
          <w:p w14:paraId="56F9BD2D" w14:textId="77777777" w:rsidR="00F5446D" w:rsidRPr="0094745F" w:rsidRDefault="00F5446D" w:rsidP="00876CB7">
            <w:pPr>
              <w:pStyle w:val="IASBTableBoldArial"/>
              <w:spacing w:before="60" w:after="60"/>
              <w:jc w:val="center"/>
              <w:rPr>
                <w:rFonts w:ascii="Calibri" w:hAnsi="Calibri" w:cs="Calibri"/>
                <w:sz w:val="24"/>
                <w:szCs w:val="24"/>
                <w:lang w:eastAsia="en-US"/>
              </w:rPr>
            </w:pPr>
            <w:r>
              <w:rPr>
                <w:rFonts w:ascii="Calibri" w:hAnsi="Calibri" w:cs="Calibri"/>
                <w:b w:val="0"/>
                <w:sz w:val="24"/>
                <w:szCs w:val="24"/>
              </w:rPr>
              <w:t>21</w:t>
            </w:r>
          </w:p>
        </w:tc>
      </w:tr>
      <w:tr w:rsidR="00F5446D" w:rsidRPr="00A52CD3" w14:paraId="2802DFDA" w14:textId="77777777" w:rsidTr="00057616">
        <w:trPr>
          <w:cantSplit/>
          <w:trHeight w:val="58"/>
        </w:trPr>
        <w:tc>
          <w:tcPr>
            <w:tcW w:w="236" w:type="dxa"/>
            <w:tcBorders>
              <w:top w:val="nil"/>
              <w:left w:val="nil"/>
              <w:bottom w:val="nil"/>
              <w:right w:val="single" w:sz="4" w:space="0" w:color="auto"/>
            </w:tcBorders>
            <w:vAlign w:val="bottom"/>
          </w:tcPr>
          <w:p w14:paraId="09C7C470" w14:textId="77777777" w:rsidR="00F5446D" w:rsidRPr="00A52CD3" w:rsidRDefault="00F5446D" w:rsidP="00876CB7">
            <w:pPr>
              <w:pStyle w:val="IASBTableBoldArial"/>
              <w:spacing w:before="0"/>
              <w:jc w:val="both"/>
              <w:rPr>
                <w:rFonts w:ascii="Calibri" w:hAnsi="Calibri" w:cs="Calibri"/>
                <w:sz w:val="24"/>
                <w:szCs w:val="24"/>
                <w:lang w:eastAsia="en-US"/>
              </w:rPr>
            </w:pPr>
          </w:p>
        </w:tc>
        <w:tc>
          <w:tcPr>
            <w:tcW w:w="8123" w:type="dxa"/>
            <w:tcBorders>
              <w:top w:val="single" w:sz="4" w:space="0" w:color="auto"/>
              <w:left w:val="single" w:sz="4" w:space="0" w:color="auto"/>
              <w:bottom w:val="single" w:sz="4" w:space="0" w:color="auto"/>
              <w:right w:val="single" w:sz="4" w:space="0" w:color="auto"/>
            </w:tcBorders>
            <w:vAlign w:val="bottom"/>
            <w:hideMark/>
          </w:tcPr>
          <w:p w14:paraId="4FC7B02A" w14:textId="77777777" w:rsidR="00F5446D" w:rsidRPr="0094745F" w:rsidRDefault="0094745F" w:rsidP="00876CB7">
            <w:pPr>
              <w:pStyle w:val="IASBTableBoldArial"/>
              <w:spacing w:before="60" w:after="60"/>
              <w:rPr>
                <w:rFonts w:ascii="Calibri" w:hAnsi="Calibri" w:cs="Calibri"/>
                <w:sz w:val="24"/>
                <w:szCs w:val="24"/>
                <w:lang w:eastAsia="en-US"/>
              </w:rPr>
            </w:pPr>
            <w:r>
              <w:rPr>
                <w:rFonts w:ascii="Calibri" w:hAnsi="Calibri" w:cs="Calibri"/>
                <w:b w:val="0"/>
                <w:sz w:val="24"/>
                <w:szCs w:val="24"/>
              </w:rPr>
              <w:t xml:space="preserve">    Reconhecimento das Despesas de Transferência</w:t>
            </w:r>
          </w:p>
        </w:tc>
        <w:tc>
          <w:tcPr>
            <w:tcW w:w="1841" w:type="dxa"/>
            <w:tcBorders>
              <w:top w:val="single" w:sz="4" w:space="0" w:color="auto"/>
              <w:left w:val="single" w:sz="4" w:space="0" w:color="auto"/>
              <w:bottom w:val="single" w:sz="4" w:space="0" w:color="auto"/>
              <w:right w:val="single" w:sz="4" w:space="0" w:color="auto"/>
            </w:tcBorders>
            <w:vAlign w:val="bottom"/>
            <w:hideMark/>
          </w:tcPr>
          <w:p w14:paraId="3ABE0CEE" w14:textId="77777777" w:rsidR="00F5446D" w:rsidRPr="0094745F" w:rsidRDefault="00F5446D" w:rsidP="00876CB7">
            <w:pPr>
              <w:pStyle w:val="IASBTableBoldArial"/>
              <w:spacing w:before="60" w:after="60"/>
              <w:jc w:val="center"/>
              <w:rPr>
                <w:rFonts w:ascii="Calibri" w:hAnsi="Calibri" w:cs="Calibri"/>
                <w:sz w:val="24"/>
                <w:szCs w:val="24"/>
                <w:lang w:eastAsia="en-US"/>
              </w:rPr>
            </w:pPr>
            <w:r>
              <w:rPr>
                <w:rFonts w:ascii="Calibri" w:hAnsi="Calibri" w:cs="Calibri"/>
                <w:b w:val="0"/>
                <w:sz w:val="24"/>
                <w:szCs w:val="24"/>
              </w:rPr>
              <w:t>22 – 25</w:t>
            </w:r>
          </w:p>
        </w:tc>
      </w:tr>
      <w:tr w:rsidR="00F5446D" w:rsidRPr="00A52CD3" w14:paraId="33475C59" w14:textId="77777777" w:rsidTr="00057616">
        <w:trPr>
          <w:cantSplit/>
          <w:trHeight w:val="58"/>
        </w:trPr>
        <w:tc>
          <w:tcPr>
            <w:tcW w:w="236" w:type="dxa"/>
            <w:tcBorders>
              <w:top w:val="nil"/>
              <w:left w:val="nil"/>
              <w:bottom w:val="nil"/>
              <w:right w:val="single" w:sz="4" w:space="0" w:color="auto"/>
            </w:tcBorders>
            <w:vAlign w:val="bottom"/>
          </w:tcPr>
          <w:p w14:paraId="11527C6C" w14:textId="77777777" w:rsidR="00F5446D" w:rsidRPr="00A52CD3" w:rsidRDefault="00F5446D" w:rsidP="00876CB7">
            <w:pPr>
              <w:pStyle w:val="IASBTableBoldArial"/>
              <w:spacing w:before="0"/>
              <w:jc w:val="both"/>
              <w:rPr>
                <w:rFonts w:ascii="Calibri" w:hAnsi="Calibri" w:cs="Calibri"/>
                <w:sz w:val="24"/>
                <w:szCs w:val="24"/>
                <w:lang w:eastAsia="en-US"/>
              </w:rPr>
            </w:pPr>
          </w:p>
        </w:tc>
        <w:tc>
          <w:tcPr>
            <w:tcW w:w="8123" w:type="dxa"/>
            <w:tcBorders>
              <w:top w:val="single" w:sz="4" w:space="0" w:color="auto"/>
              <w:left w:val="single" w:sz="4" w:space="0" w:color="auto"/>
              <w:bottom w:val="single" w:sz="4" w:space="0" w:color="auto"/>
              <w:right w:val="single" w:sz="4" w:space="0" w:color="auto"/>
            </w:tcBorders>
            <w:vAlign w:val="bottom"/>
            <w:hideMark/>
          </w:tcPr>
          <w:p w14:paraId="247C06FD" w14:textId="77777777" w:rsidR="00F5446D" w:rsidRPr="0094745F" w:rsidRDefault="0094745F" w:rsidP="00876CB7">
            <w:pPr>
              <w:pStyle w:val="IASBTableBoldArial"/>
              <w:spacing w:before="60" w:after="60"/>
              <w:rPr>
                <w:rFonts w:ascii="Calibri" w:hAnsi="Calibri" w:cs="Calibri"/>
                <w:sz w:val="24"/>
                <w:szCs w:val="24"/>
                <w:lang w:eastAsia="en-US"/>
              </w:rPr>
            </w:pPr>
            <w:r>
              <w:rPr>
                <w:rFonts w:ascii="Calibri" w:hAnsi="Calibri" w:cs="Calibri"/>
                <w:b w:val="0"/>
                <w:sz w:val="24"/>
                <w:szCs w:val="24"/>
              </w:rPr>
              <w:t xml:space="preserve">    </w:t>
            </w:r>
            <w:proofErr w:type="spellStart"/>
            <w:r>
              <w:rPr>
                <w:rFonts w:ascii="Calibri" w:hAnsi="Calibri" w:cs="Calibri"/>
                <w:b w:val="0"/>
                <w:sz w:val="24"/>
                <w:szCs w:val="24"/>
              </w:rPr>
              <w:t>Desreconhecimento</w:t>
            </w:r>
            <w:proofErr w:type="spellEnd"/>
            <w:r>
              <w:rPr>
                <w:rFonts w:ascii="Calibri" w:hAnsi="Calibri" w:cs="Calibri"/>
                <w:b w:val="0"/>
                <w:sz w:val="24"/>
                <w:szCs w:val="24"/>
              </w:rPr>
              <w:t xml:space="preserve"> do Ativo de Direito Decorrente de Transferência por Descumprimento do Acordo pelo Destinatário da Transferência</w:t>
            </w:r>
          </w:p>
        </w:tc>
        <w:tc>
          <w:tcPr>
            <w:tcW w:w="1841" w:type="dxa"/>
            <w:tcBorders>
              <w:top w:val="single" w:sz="4" w:space="0" w:color="auto"/>
              <w:left w:val="single" w:sz="4" w:space="0" w:color="auto"/>
              <w:bottom w:val="single" w:sz="4" w:space="0" w:color="auto"/>
              <w:right w:val="single" w:sz="4" w:space="0" w:color="auto"/>
            </w:tcBorders>
            <w:vAlign w:val="bottom"/>
            <w:hideMark/>
          </w:tcPr>
          <w:p w14:paraId="4524E3E3" w14:textId="77777777" w:rsidR="00F5446D" w:rsidRPr="0094745F" w:rsidRDefault="00F5446D" w:rsidP="00876CB7">
            <w:pPr>
              <w:pStyle w:val="IASBTableBoldArial"/>
              <w:spacing w:before="60" w:after="60"/>
              <w:jc w:val="center"/>
              <w:rPr>
                <w:rFonts w:ascii="Calibri" w:hAnsi="Calibri" w:cs="Calibri"/>
                <w:sz w:val="24"/>
                <w:szCs w:val="24"/>
                <w:lang w:eastAsia="en-US"/>
              </w:rPr>
            </w:pPr>
            <w:r>
              <w:rPr>
                <w:rFonts w:ascii="Calibri" w:hAnsi="Calibri" w:cs="Calibri"/>
                <w:b w:val="0"/>
                <w:sz w:val="24"/>
                <w:szCs w:val="24"/>
              </w:rPr>
              <w:t>26</w:t>
            </w:r>
          </w:p>
        </w:tc>
      </w:tr>
      <w:tr w:rsidR="00F5446D" w:rsidRPr="00A52CD3" w14:paraId="40B26A37" w14:textId="77777777" w:rsidTr="00057616">
        <w:trPr>
          <w:cantSplit/>
          <w:trHeight w:val="58"/>
        </w:trPr>
        <w:tc>
          <w:tcPr>
            <w:tcW w:w="236" w:type="dxa"/>
            <w:tcBorders>
              <w:top w:val="nil"/>
              <w:left w:val="nil"/>
              <w:bottom w:val="nil"/>
              <w:right w:val="single" w:sz="4" w:space="0" w:color="auto"/>
            </w:tcBorders>
            <w:vAlign w:val="bottom"/>
          </w:tcPr>
          <w:p w14:paraId="53AE96DA" w14:textId="77777777" w:rsidR="00F5446D" w:rsidRPr="00A52CD3" w:rsidRDefault="00F5446D" w:rsidP="00876CB7">
            <w:pPr>
              <w:pStyle w:val="IASBTableBoldArial"/>
              <w:spacing w:before="0"/>
              <w:jc w:val="both"/>
              <w:rPr>
                <w:rFonts w:ascii="Calibri" w:hAnsi="Calibri" w:cs="Calibri"/>
                <w:sz w:val="24"/>
                <w:szCs w:val="24"/>
                <w:lang w:eastAsia="en-US"/>
              </w:rPr>
            </w:pPr>
          </w:p>
        </w:tc>
        <w:tc>
          <w:tcPr>
            <w:tcW w:w="8123" w:type="dxa"/>
            <w:tcBorders>
              <w:top w:val="single" w:sz="4" w:space="0" w:color="auto"/>
              <w:left w:val="single" w:sz="4" w:space="0" w:color="auto"/>
              <w:bottom w:val="single" w:sz="4" w:space="0" w:color="auto"/>
              <w:right w:val="single" w:sz="4" w:space="0" w:color="auto"/>
            </w:tcBorders>
            <w:vAlign w:val="bottom"/>
            <w:hideMark/>
          </w:tcPr>
          <w:p w14:paraId="6BDDFED6" w14:textId="77777777" w:rsidR="00F5446D" w:rsidRPr="0094745F" w:rsidRDefault="0094745F" w:rsidP="00876CB7">
            <w:pPr>
              <w:pStyle w:val="IASBTableBoldArial"/>
              <w:spacing w:before="60" w:after="60"/>
              <w:rPr>
                <w:rFonts w:ascii="Calibri" w:hAnsi="Calibri" w:cs="Calibri"/>
                <w:sz w:val="24"/>
                <w:szCs w:val="24"/>
                <w:lang w:eastAsia="en-US"/>
              </w:rPr>
            </w:pPr>
            <w:r>
              <w:rPr>
                <w:rFonts w:ascii="Calibri" w:hAnsi="Calibri" w:cs="Calibri"/>
                <w:b w:val="0"/>
                <w:sz w:val="24"/>
                <w:szCs w:val="24"/>
              </w:rPr>
              <w:t xml:space="preserve">    Modificações no Acordo Vinculante</w:t>
            </w:r>
          </w:p>
        </w:tc>
        <w:tc>
          <w:tcPr>
            <w:tcW w:w="1841" w:type="dxa"/>
            <w:tcBorders>
              <w:top w:val="single" w:sz="4" w:space="0" w:color="auto"/>
              <w:left w:val="single" w:sz="4" w:space="0" w:color="auto"/>
              <w:bottom w:val="single" w:sz="4" w:space="0" w:color="auto"/>
              <w:right w:val="single" w:sz="4" w:space="0" w:color="auto"/>
            </w:tcBorders>
            <w:vAlign w:val="bottom"/>
            <w:hideMark/>
          </w:tcPr>
          <w:p w14:paraId="3E86492F" w14:textId="77777777" w:rsidR="00F5446D" w:rsidRPr="0094745F" w:rsidRDefault="00F5446D" w:rsidP="00876CB7">
            <w:pPr>
              <w:pStyle w:val="IASBTableBoldArial"/>
              <w:spacing w:before="60" w:after="60"/>
              <w:jc w:val="center"/>
              <w:rPr>
                <w:rFonts w:ascii="Calibri" w:hAnsi="Calibri" w:cs="Calibri"/>
                <w:sz w:val="24"/>
                <w:szCs w:val="24"/>
                <w:lang w:eastAsia="en-US"/>
              </w:rPr>
            </w:pPr>
            <w:r>
              <w:rPr>
                <w:rFonts w:ascii="Calibri" w:hAnsi="Calibri" w:cs="Calibri"/>
                <w:b w:val="0"/>
                <w:sz w:val="24"/>
                <w:szCs w:val="24"/>
              </w:rPr>
              <w:t>27 – 29</w:t>
            </w:r>
          </w:p>
        </w:tc>
      </w:tr>
      <w:tr w:rsidR="00F5446D" w:rsidRPr="00A52CD3" w14:paraId="775D4A36" w14:textId="77777777" w:rsidTr="00057616">
        <w:trPr>
          <w:cantSplit/>
          <w:trHeight w:val="58"/>
        </w:trPr>
        <w:tc>
          <w:tcPr>
            <w:tcW w:w="236" w:type="dxa"/>
            <w:tcBorders>
              <w:top w:val="nil"/>
              <w:left w:val="nil"/>
              <w:bottom w:val="nil"/>
              <w:right w:val="single" w:sz="4" w:space="0" w:color="auto"/>
            </w:tcBorders>
            <w:vAlign w:val="bottom"/>
          </w:tcPr>
          <w:p w14:paraId="17A1872A" w14:textId="77777777" w:rsidR="00F5446D" w:rsidRPr="00A52CD3" w:rsidRDefault="00F5446D" w:rsidP="00876CB7">
            <w:pPr>
              <w:pStyle w:val="IASBTableBoldArial"/>
              <w:spacing w:before="0"/>
              <w:jc w:val="both"/>
              <w:rPr>
                <w:rFonts w:ascii="Calibri" w:hAnsi="Calibri" w:cs="Calibri"/>
                <w:sz w:val="24"/>
                <w:szCs w:val="24"/>
                <w:lang w:eastAsia="en-US"/>
              </w:rPr>
            </w:pPr>
          </w:p>
        </w:tc>
        <w:tc>
          <w:tcPr>
            <w:tcW w:w="8123" w:type="dxa"/>
            <w:tcBorders>
              <w:top w:val="single" w:sz="4" w:space="0" w:color="auto"/>
              <w:left w:val="single" w:sz="4" w:space="0" w:color="auto"/>
              <w:bottom w:val="single" w:sz="4" w:space="0" w:color="auto"/>
              <w:right w:val="single" w:sz="4" w:space="0" w:color="auto"/>
            </w:tcBorders>
            <w:vAlign w:val="bottom"/>
            <w:hideMark/>
          </w:tcPr>
          <w:p w14:paraId="2ACB1F2A" w14:textId="77777777" w:rsidR="00F5446D" w:rsidRPr="0094745F" w:rsidRDefault="0094745F" w:rsidP="00876CB7">
            <w:pPr>
              <w:pStyle w:val="IASBTableBoldArial"/>
              <w:spacing w:before="60" w:after="60"/>
              <w:rPr>
                <w:rFonts w:ascii="Calibri" w:hAnsi="Calibri" w:cs="Calibri"/>
                <w:sz w:val="24"/>
                <w:szCs w:val="24"/>
                <w:lang w:eastAsia="en-US"/>
              </w:rPr>
            </w:pPr>
            <w:r>
              <w:rPr>
                <w:rFonts w:ascii="Calibri" w:hAnsi="Calibri" w:cs="Calibri"/>
                <w:b w:val="0"/>
                <w:sz w:val="24"/>
                <w:szCs w:val="24"/>
              </w:rPr>
              <w:t xml:space="preserve">    Mensuração</w:t>
            </w:r>
          </w:p>
        </w:tc>
        <w:tc>
          <w:tcPr>
            <w:tcW w:w="1841" w:type="dxa"/>
            <w:tcBorders>
              <w:top w:val="single" w:sz="4" w:space="0" w:color="auto"/>
              <w:left w:val="single" w:sz="4" w:space="0" w:color="auto"/>
              <w:bottom w:val="single" w:sz="4" w:space="0" w:color="auto"/>
              <w:right w:val="single" w:sz="4" w:space="0" w:color="auto"/>
            </w:tcBorders>
            <w:vAlign w:val="bottom"/>
            <w:hideMark/>
          </w:tcPr>
          <w:p w14:paraId="4D775DFB" w14:textId="77777777" w:rsidR="00F5446D" w:rsidRPr="0094745F" w:rsidRDefault="00F5446D" w:rsidP="00876CB7">
            <w:pPr>
              <w:pStyle w:val="IASBTableBoldArial"/>
              <w:spacing w:before="60" w:after="60"/>
              <w:jc w:val="center"/>
              <w:rPr>
                <w:rFonts w:ascii="Calibri" w:hAnsi="Calibri" w:cs="Calibri"/>
                <w:sz w:val="24"/>
                <w:szCs w:val="24"/>
                <w:lang w:eastAsia="en-US"/>
              </w:rPr>
            </w:pPr>
            <w:r>
              <w:rPr>
                <w:rFonts w:ascii="Calibri" w:hAnsi="Calibri" w:cs="Calibri"/>
                <w:b w:val="0"/>
                <w:sz w:val="24"/>
                <w:szCs w:val="24"/>
              </w:rPr>
              <w:t>30 – 34</w:t>
            </w:r>
          </w:p>
        </w:tc>
      </w:tr>
      <w:tr w:rsidR="00F5446D" w:rsidRPr="00A52CD3" w14:paraId="0DF73B90" w14:textId="77777777" w:rsidTr="00057616">
        <w:trPr>
          <w:cantSplit/>
          <w:trHeight w:val="58"/>
        </w:trPr>
        <w:tc>
          <w:tcPr>
            <w:tcW w:w="236" w:type="dxa"/>
            <w:tcBorders>
              <w:top w:val="nil"/>
              <w:left w:val="nil"/>
              <w:bottom w:val="nil"/>
              <w:right w:val="single" w:sz="4" w:space="0" w:color="auto"/>
            </w:tcBorders>
            <w:vAlign w:val="bottom"/>
          </w:tcPr>
          <w:p w14:paraId="50F4E643" w14:textId="77777777" w:rsidR="00F5446D" w:rsidRPr="00A52CD3" w:rsidRDefault="00F5446D" w:rsidP="00876CB7">
            <w:pPr>
              <w:pStyle w:val="IASBTableBoldArial"/>
              <w:spacing w:before="0"/>
              <w:jc w:val="both"/>
              <w:rPr>
                <w:rFonts w:ascii="Calibri" w:hAnsi="Calibri" w:cs="Calibri"/>
                <w:sz w:val="24"/>
                <w:szCs w:val="24"/>
                <w:lang w:eastAsia="en-US"/>
              </w:rPr>
            </w:pPr>
          </w:p>
        </w:tc>
        <w:tc>
          <w:tcPr>
            <w:tcW w:w="8123" w:type="dxa"/>
            <w:tcBorders>
              <w:top w:val="single" w:sz="4" w:space="0" w:color="auto"/>
              <w:left w:val="single" w:sz="4" w:space="0" w:color="auto"/>
              <w:bottom w:val="single" w:sz="4" w:space="0" w:color="auto"/>
              <w:right w:val="single" w:sz="4" w:space="0" w:color="auto"/>
            </w:tcBorders>
            <w:vAlign w:val="bottom"/>
            <w:hideMark/>
          </w:tcPr>
          <w:p w14:paraId="5E3280DD" w14:textId="77777777" w:rsidR="00F5446D" w:rsidRPr="0094745F" w:rsidRDefault="0094745F" w:rsidP="00876CB7">
            <w:pPr>
              <w:pStyle w:val="IASBTableBoldArial"/>
              <w:spacing w:before="60" w:after="60"/>
              <w:rPr>
                <w:rFonts w:ascii="Calibri" w:hAnsi="Calibri" w:cs="Calibri"/>
                <w:sz w:val="24"/>
                <w:szCs w:val="24"/>
                <w:lang w:eastAsia="en-US"/>
              </w:rPr>
            </w:pPr>
            <w:r>
              <w:rPr>
                <w:rFonts w:ascii="Calibri" w:hAnsi="Calibri" w:cs="Calibri"/>
                <w:b w:val="0"/>
                <w:sz w:val="24"/>
                <w:szCs w:val="24"/>
              </w:rPr>
              <w:t xml:space="preserve">    Contraprestação Variável</w:t>
            </w:r>
          </w:p>
        </w:tc>
        <w:tc>
          <w:tcPr>
            <w:tcW w:w="1841" w:type="dxa"/>
            <w:tcBorders>
              <w:top w:val="single" w:sz="4" w:space="0" w:color="auto"/>
              <w:left w:val="single" w:sz="4" w:space="0" w:color="auto"/>
              <w:bottom w:val="single" w:sz="4" w:space="0" w:color="auto"/>
              <w:right w:val="single" w:sz="4" w:space="0" w:color="auto"/>
            </w:tcBorders>
            <w:vAlign w:val="bottom"/>
            <w:hideMark/>
          </w:tcPr>
          <w:p w14:paraId="52868709" w14:textId="77777777" w:rsidR="00F5446D" w:rsidRPr="0094745F" w:rsidRDefault="00F5446D" w:rsidP="00876CB7">
            <w:pPr>
              <w:pStyle w:val="IASBTableBoldArial"/>
              <w:spacing w:before="60" w:after="60"/>
              <w:jc w:val="center"/>
              <w:rPr>
                <w:rFonts w:ascii="Calibri" w:hAnsi="Calibri" w:cs="Calibri"/>
                <w:sz w:val="24"/>
                <w:szCs w:val="24"/>
                <w:lang w:eastAsia="en-US"/>
              </w:rPr>
            </w:pPr>
            <w:r>
              <w:rPr>
                <w:rFonts w:ascii="Calibri" w:hAnsi="Calibri" w:cs="Calibri"/>
                <w:b w:val="0"/>
                <w:sz w:val="24"/>
                <w:szCs w:val="24"/>
              </w:rPr>
              <w:t>35 – 37</w:t>
            </w:r>
          </w:p>
        </w:tc>
      </w:tr>
      <w:tr w:rsidR="00F5446D" w:rsidRPr="00A52CD3" w14:paraId="114EAD04" w14:textId="77777777" w:rsidTr="00057616">
        <w:trPr>
          <w:cantSplit/>
          <w:trHeight w:val="58"/>
        </w:trPr>
        <w:tc>
          <w:tcPr>
            <w:tcW w:w="236" w:type="dxa"/>
            <w:tcBorders>
              <w:top w:val="nil"/>
              <w:left w:val="nil"/>
              <w:bottom w:val="nil"/>
              <w:right w:val="single" w:sz="4" w:space="0" w:color="auto"/>
            </w:tcBorders>
            <w:vAlign w:val="bottom"/>
          </w:tcPr>
          <w:p w14:paraId="60B4CE3D" w14:textId="77777777" w:rsidR="00F5446D" w:rsidRPr="00A52CD3" w:rsidRDefault="00F5446D" w:rsidP="00876CB7">
            <w:pPr>
              <w:pStyle w:val="IASBTableBoldArial"/>
              <w:spacing w:before="0"/>
              <w:jc w:val="both"/>
              <w:rPr>
                <w:rFonts w:ascii="Calibri" w:hAnsi="Calibri" w:cs="Calibri"/>
                <w:sz w:val="24"/>
                <w:szCs w:val="24"/>
                <w:lang w:eastAsia="en-US"/>
              </w:rPr>
            </w:pPr>
          </w:p>
        </w:tc>
        <w:tc>
          <w:tcPr>
            <w:tcW w:w="8123" w:type="dxa"/>
            <w:tcBorders>
              <w:top w:val="single" w:sz="4" w:space="0" w:color="auto"/>
              <w:left w:val="single" w:sz="4" w:space="0" w:color="auto"/>
              <w:bottom w:val="single" w:sz="4" w:space="0" w:color="auto"/>
              <w:right w:val="single" w:sz="4" w:space="0" w:color="auto"/>
            </w:tcBorders>
            <w:vAlign w:val="bottom"/>
            <w:hideMark/>
          </w:tcPr>
          <w:p w14:paraId="1358EC94" w14:textId="77777777" w:rsidR="00F5446D" w:rsidRPr="0094745F" w:rsidRDefault="0094745F" w:rsidP="00876CB7">
            <w:pPr>
              <w:pStyle w:val="IASBTableBoldArial"/>
              <w:spacing w:before="60" w:after="60"/>
              <w:rPr>
                <w:rFonts w:ascii="Calibri" w:hAnsi="Calibri" w:cs="Calibri"/>
                <w:sz w:val="24"/>
                <w:szCs w:val="24"/>
                <w:lang w:eastAsia="en-US"/>
              </w:rPr>
            </w:pPr>
            <w:r>
              <w:rPr>
                <w:rFonts w:ascii="Calibri" w:hAnsi="Calibri" w:cs="Calibri"/>
                <w:b w:val="0"/>
                <w:sz w:val="24"/>
                <w:szCs w:val="24"/>
              </w:rPr>
              <w:t xml:space="preserve">    Alocação da Contraprestação da Transferência aos Direitos Decorrentes de Transferência</w:t>
            </w:r>
          </w:p>
        </w:tc>
        <w:tc>
          <w:tcPr>
            <w:tcW w:w="1841" w:type="dxa"/>
            <w:tcBorders>
              <w:top w:val="single" w:sz="4" w:space="0" w:color="auto"/>
              <w:left w:val="single" w:sz="4" w:space="0" w:color="auto"/>
              <w:bottom w:val="single" w:sz="4" w:space="0" w:color="auto"/>
              <w:right w:val="single" w:sz="4" w:space="0" w:color="auto"/>
            </w:tcBorders>
            <w:vAlign w:val="bottom"/>
            <w:hideMark/>
          </w:tcPr>
          <w:p w14:paraId="5578AB41" w14:textId="77777777" w:rsidR="00F5446D" w:rsidRPr="0094745F" w:rsidRDefault="00F5446D" w:rsidP="00876CB7">
            <w:pPr>
              <w:pStyle w:val="IASBTableBoldArial"/>
              <w:spacing w:before="60" w:after="60"/>
              <w:jc w:val="center"/>
              <w:rPr>
                <w:rFonts w:ascii="Calibri" w:hAnsi="Calibri" w:cs="Calibri"/>
                <w:sz w:val="24"/>
                <w:szCs w:val="24"/>
                <w:lang w:eastAsia="en-US"/>
              </w:rPr>
            </w:pPr>
            <w:r>
              <w:rPr>
                <w:rFonts w:ascii="Calibri" w:hAnsi="Calibri" w:cs="Calibri"/>
                <w:b w:val="0"/>
                <w:sz w:val="24"/>
                <w:szCs w:val="24"/>
              </w:rPr>
              <w:t>38 – 39</w:t>
            </w:r>
          </w:p>
        </w:tc>
      </w:tr>
      <w:tr w:rsidR="00F5446D" w:rsidRPr="00A52CD3" w14:paraId="1255EEE9" w14:textId="77777777" w:rsidTr="00057616">
        <w:trPr>
          <w:cantSplit/>
          <w:trHeight w:val="58"/>
        </w:trPr>
        <w:tc>
          <w:tcPr>
            <w:tcW w:w="236" w:type="dxa"/>
            <w:tcBorders>
              <w:top w:val="nil"/>
              <w:left w:val="nil"/>
              <w:bottom w:val="nil"/>
              <w:right w:val="single" w:sz="4" w:space="0" w:color="auto"/>
            </w:tcBorders>
            <w:vAlign w:val="bottom"/>
          </w:tcPr>
          <w:p w14:paraId="1250221C" w14:textId="77777777" w:rsidR="00F5446D" w:rsidRPr="00A52CD3" w:rsidRDefault="00F5446D" w:rsidP="00876CB7">
            <w:pPr>
              <w:pStyle w:val="IASBTableBoldArial"/>
              <w:spacing w:before="0"/>
              <w:jc w:val="both"/>
              <w:rPr>
                <w:rFonts w:ascii="Calibri" w:hAnsi="Calibri" w:cs="Calibri"/>
                <w:sz w:val="24"/>
                <w:szCs w:val="24"/>
                <w:lang w:eastAsia="en-US"/>
              </w:rPr>
            </w:pPr>
          </w:p>
        </w:tc>
        <w:tc>
          <w:tcPr>
            <w:tcW w:w="8123" w:type="dxa"/>
            <w:tcBorders>
              <w:top w:val="single" w:sz="4" w:space="0" w:color="auto"/>
              <w:left w:val="single" w:sz="4" w:space="0" w:color="auto"/>
              <w:bottom w:val="single" w:sz="4" w:space="0" w:color="auto"/>
              <w:right w:val="single" w:sz="4" w:space="0" w:color="auto"/>
            </w:tcBorders>
            <w:vAlign w:val="bottom"/>
            <w:hideMark/>
          </w:tcPr>
          <w:p w14:paraId="273953BB" w14:textId="77777777" w:rsidR="00F5446D" w:rsidRPr="0094745F" w:rsidRDefault="0094745F" w:rsidP="00876CB7">
            <w:pPr>
              <w:pStyle w:val="IASBTableBoldArial"/>
              <w:spacing w:before="60" w:after="60"/>
              <w:rPr>
                <w:rFonts w:ascii="Calibri" w:hAnsi="Calibri" w:cs="Calibri"/>
                <w:sz w:val="24"/>
                <w:szCs w:val="24"/>
                <w:lang w:eastAsia="en-US"/>
              </w:rPr>
            </w:pPr>
            <w:r>
              <w:rPr>
                <w:rFonts w:ascii="Calibri" w:hAnsi="Calibri" w:cs="Calibri"/>
                <w:b w:val="0"/>
                <w:sz w:val="24"/>
                <w:szCs w:val="24"/>
              </w:rPr>
              <w:t xml:space="preserve">    Alterações na Contraprestação da Transferência</w:t>
            </w:r>
          </w:p>
        </w:tc>
        <w:tc>
          <w:tcPr>
            <w:tcW w:w="1841" w:type="dxa"/>
            <w:tcBorders>
              <w:top w:val="single" w:sz="4" w:space="0" w:color="auto"/>
              <w:left w:val="single" w:sz="4" w:space="0" w:color="auto"/>
              <w:bottom w:val="single" w:sz="4" w:space="0" w:color="auto"/>
              <w:right w:val="single" w:sz="4" w:space="0" w:color="auto"/>
            </w:tcBorders>
            <w:vAlign w:val="bottom"/>
            <w:hideMark/>
          </w:tcPr>
          <w:p w14:paraId="5D4DF251" w14:textId="77777777" w:rsidR="00F5446D" w:rsidRPr="0094745F" w:rsidRDefault="00F5446D" w:rsidP="00876CB7">
            <w:pPr>
              <w:pStyle w:val="IASBTableBoldArial"/>
              <w:spacing w:before="60" w:after="60"/>
              <w:jc w:val="center"/>
              <w:rPr>
                <w:rFonts w:ascii="Calibri" w:hAnsi="Calibri" w:cs="Calibri"/>
                <w:sz w:val="24"/>
                <w:szCs w:val="24"/>
                <w:lang w:eastAsia="en-US"/>
              </w:rPr>
            </w:pPr>
            <w:r>
              <w:rPr>
                <w:rFonts w:ascii="Calibri" w:hAnsi="Calibri" w:cs="Calibri"/>
                <w:b w:val="0"/>
                <w:sz w:val="24"/>
                <w:szCs w:val="24"/>
              </w:rPr>
              <w:t>40 – 42</w:t>
            </w:r>
          </w:p>
        </w:tc>
      </w:tr>
      <w:tr w:rsidR="00F5446D" w:rsidRPr="00A52CD3" w14:paraId="37184900" w14:textId="77777777" w:rsidTr="00057616">
        <w:trPr>
          <w:cantSplit/>
          <w:trHeight w:val="58"/>
        </w:trPr>
        <w:tc>
          <w:tcPr>
            <w:tcW w:w="236" w:type="dxa"/>
            <w:tcBorders>
              <w:top w:val="nil"/>
              <w:left w:val="nil"/>
              <w:bottom w:val="nil"/>
              <w:right w:val="single" w:sz="4" w:space="0" w:color="auto"/>
            </w:tcBorders>
            <w:vAlign w:val="bottom"/>
          </w:tcPr>
          <w:p w14:paraId="05BB2030" w14:textId="77777777" w:rsidR="00F5446D" w:rsidRPr="00A52CD3" w:rsidRDefault="00F5446D" w:rsidP="00876CB7">
            <w:pPr>
              <w:pStyle w:val="IASBTableBoldArial"/>
              <w:spacing w:before="0"/>
              <w:jc w:val="both"/>
              <w:rPr>
                <w:rFonts w:ascii="Calibri" w:hAnsi="Calibri" w:cs="Calibri"/>
                <w:sz w:val="24"/>
                <w:szCs w:val="24"/>
                <w:lang w:eastAsia="en-US"/>
              </w:rPr>
            </w:pPr>
          </w:p>
        </w:tc>
        <w:tc>
          <w:tcPr>
            <w:tcW w:w="8123" w:type="dxa"/>
            <w:tcBorders>
              <w:top w:val="single" w:sz="4" w:space="0" w:color="auto"/>
              <w:left w:val="single" w:sz="4" w:space="0" w:color="auto"/>
              <w:bottom w:val="single" w:sz="4" w:space="0" w:color="auto"/>
              <w:right w:val="single" w:sz="4" w:space="0" w:color="auto"/>
            </w:tcBorders>
            <w:vAlign w:val="bottom"/>
            <w:hideMark/>
          </w:tcPr>
          <w:p w14:paraId="76CE861C" w14:textId="77777777" w:rsidR="00F5446D" w:rsidRPr="0094745F" w:rsidRDefault="0094745F" w:rsidP="00876CB7">
            <w:pPr>
              <w:pStyle w:val="IASBTableBoldArial"/>
              <w:spacing w:before="60" w:after="60"/>
              <w:rPr>
                <w:rFonts w:ascii="Calibri" w:hAnsi="Calibri" w:cs="Calibri"/>
                <w:sz w:val="24"/>
                <w:szCs w:val="24"/>
                <w:lang w:eastAsia="en-US"/>
              </w:rPr>
            </w:pPr>
            <w:r>
              <w:rPr>
                <w:rFonts w:ascii="Calibri" w:hAnsi="Calibri" w:cs="Calibri"/>
                <w:b w:val="0"/>
                <w:sz w:val="24"/>
                <w:szCs w:val="24"/>
              </w:rPr>
              <w:t xml:space="preserve">    Redução ao Valor Recuperável do Ativo de Direito Decorrente de Transferência</w:t>
            </w:r>
          </w:p>
        </w:tc>
        <w:tc>
          <w:tcPr>
            <w:tcW w:w="1841" w:type="dxa"/>
            <w:tcBorders>
              <w:top w:val="single" w:sz="4" w:space="0" w:color="auto"/>
              <w:left w:val="single" w:sz="4" w:space="0" w:color="auto"/>
              <w:bottom w:val="single" w:sz="4" w:space="0" w:color="auto"/>
              <w:right w:val="single" w:sz="4" w:space="0" w:color="auto"/>
            </w:tcBorders>
            <w:vAlign w:val="bottom"/>
            <w:hideMark/>
          </w:tcPr>
          <w:p w14:paraId="6BFBD49C" w14:textId="77777777" w:rsidR="00F5446D" w:rsidRPr="0094745F" w:rsidRDefault="00F5446D" w:rsidP="00876CB7">
            <w:pPr>
              <w:pStyle w:val="IASBTableBoldArial"/>
              <w:spacing w:before="60" w:after="60"/>
              <w:jc w:val="center"/>
              <w:rPr>
                <w:rFonts w:ascii="Calibri" w:hAnsi="Calibri" w:cs="Calibri"/>
                <w:sz w:val="24"/>
                <w:szCs w:val="24"/>
                <w:lang w:eastAsia="en-US"/>
              </w:rPr>
            </w:pPr>
            <w:r>
              <w:rPr>
                <w:rFonts w:ascii="Calibri" w:hAnsi="Calibri" w:cs="Calibri"/>
                <w:b w:val="0"/>
                <w:sz w:val="24"/>
                <w:szCs w:val="24"/>
              </w:rPr>
              <w:t>43</w:t>
            </w:r>
          </w:p>
        </w:tc>
      </w:tr>
      <w:tr w:rsidR="00F5446D" w:rsidRPr="00A52CD3" w14:paraId="59682495" w14:textId="77777777" w:rsidTr="00057616">
        <w:trPr>
          <w:cantSplit/>
          <w:trHeight w:val="58"/>
        </w:trPr>
        <w:tc>
          <w:tcPr>
            <w:tcW w:w="236" w:type="dxa"/>
            <w:tcBorders>
              <w:top w:val="nil"/>
              <w:left w:val="nil"/>
              <w:bottom w:val="nil"/>
              <w:right w:val="single" w:sz="4" w:space="0" w:color="auto"/>
            </w:tcBorders>
            <w:vAlign w:val="bottom"/>
          </w:tcPr>
          <w:p w14:paraId="39B5673B" w14:textId="77777777" w:rsidR="00F5446D" w:rsidRPr="00A52CD3" w:rsidRDefault="00F5446D" w:rsidP="00876CB7">
            <w:pPr>
              <w:pStyle w:val="IASBTableBoldArial"/>
              <w:spacing w:before="0"/>
              <w:jc w:val="both"/>
              <w:rPr>
                <w:rFonts w:ascii="Calibri" w:hAnsi="Calibri" w:cs="Calibri"/>
                <w:sz w:val="24"/>
                <w:szCs w:val="24"/>
                <w:lang w:eastAsia="en-US"/>
              </w:rPr>
            </w:pPr>
          </w:p>
        </w:tc>
        <w:tc>
          <w:tcPr>
            <w:tcW w:w="8123" w:type="dxa"/>
            <w:tcBorders>
              <w:top w:val="single" w:sz="4" w:space="0" w:color="auto"/>
              <w:left w:val="single" w:sz="4" w:space="0" w:color="auto"/>
              <w:bottom w:val="single" w:sz="4" w:space="0" w:color="auto"/>
              <w:right w:val="single" w:sz="4" w:space="0" w:color="auto"/>
            </w:tcBorders>
            <w:vAlign w:val="bottom"/>
            <w:hideMark/>
          </w:tcPr>
          <w:p w14:paraId="7F46214A" w14:textId="77777777" w:rsidR="00F5446D" w:rsidRPr="0094745F" w:rsidRDefault="0094745F" w:rsidP="00876CB7">
            <w:pPr>
              <w:pStyle w:val="IASBTableBoldArial"/>
              <w:spacing w:before="60" w:after="60"/>
              <w:rPr>
                <w:rFonts w:ascii="Calibri" w:hAnsi="Calibri" w:cs="Calibri"/>
                <w:sz w:val="24"/>
                <w:szCs w:val="24"/>
                <w:lang w:eastAsia="en-US"/>
              </w:rPr>
            </w:pPr>
            <w:r>
              <w:rPr>
                <w:rFonts w:ascii="Calibri" w:hAnsi="Calibri" w:cs="Calibri"/>
                <w:b w:val="0"/>
                <w:sz w:val="24"/>
                <w:szCs w:val="24"/>
              </w:rPr>
              <w:t>Apresentação</w:t>
            </w:r>
          </w:p>
        </w:tc>
        <w:tc>
          <w:tcPr>
            <w:tcW w:w="1841" w:type="dxa"/>
            <w:tcBorders>
              <w:top w:val="single" w:sz="4" w:space="0" w:color="auto"/>
              <w:left w:val="single" w:sz="4" w:space="0" w:color="auto"/>
              <w:bottom w:val="single" w:sz="4" w:space="0" w:color="auto"/>
              <w:right w:val="single" w:sz="4" w:space="0" w:color="auto"/>
            </w:tcBorders>
            <w:vAlign w:val="bottom"/>
            <w:hideMark/>
          </w:tcPr>
          <w:p w14:paraId="40781270" w14:textId="77777777" w:rsidR="00F5446D" w:rsidRPr="0094745F" w:rsidRDefault="00F5446D" w:rsidP="00876CB7">
            <w:pPr>
              <w:pStyle w:val="IASBTableBoldArial"/>
              <w:spacing w:before="60" w:after="60"/>
              <w:jc w:val="center"/>
              <w:rPr>
                <w:rFonts w:ascii="Calibri" w:hAnsi="Calibri" w:cs="Calibri"/>
                <w:sz w:val="24"/>
                <w:szCs w:val="24"/>
                <w:lang w:eastAsia="en-US"/>
              </w:rPr>
            </w:pPr>
            <w:r>
              <w:rPr>
                <w:rFonts w:ascii="Calibri" w:hAnsi="Calibri" w:cs="Calibri"/>
                <w:b w:val="0"/>
                <w:sz w:val="24"/>
                <w:szCs w:val="24"/>
              </w:rPr>
              <w:t>44 – 61</w:t>
            </w:r>
          </w:p>
        </w:tc>
      </w:tr>
      <w:tr w:rsidR="00F5446D" w:rsidRPr="00A52CD3" w14:paraId="4611CCCD" w14:textId="77777777" w:rsidTr="00057616">
        <w:trPr>
          <w:cantSplit/>
          <w:trHeight w:val="58"/>
        </w:trPr>
        <w:tc>
          <w:tcPr>
            <w:tcW w:w="236" w:type="dxa"/>
            <w:tcBorders>
              <w:top w:val="nil"/>
              <w:left w:val="nil"/>
              <w:bottom w:val="nil"/>
              <w:right w:val="single" w:sz="4" w:space="0" w:color="auto"/>
            </w:tcBorders>
            <w:vAlign w:val="bottom"/>
          </w:tcPr>
          <w:p w14:paraId="0B50566D" w14:textId="77777777" w:rsidR="00F5446D" w:rsidRPr="00A52CD3" w:rsidRDefault="00F5446D" w:rsidP="00876CB7">
            <w:pPr>
              <w:pStyle w:val="IASBTableBoldArial"/>
              <w:spacing w:before="0"/>
              <w:jc w:val="both"/>
              <w:rPr>
                <w:rFonts w:ascii="Calibri" w:hAnsi="Calibri" w:cs="Calibri"/>
                <w:sz w:val="24"/>
                <w:szCs w:val="24"/>
                <w:lang w:eastAsia="en-US"/>
              </w:rPr>
            </w:pPr>
          </w:p>
        </w:tc>
        <w:tc>
          <w:tcPr>
            <w:tcW w:w="8123" w:type="dxa"/>
            <w:tcBorders>
              <w:top w:val="single" w:sz="4" w:space="0" w:color="auto"/>
              <w:left w:val="single" w:sz="4" w:space="0" w:color="auto"/>
              <w:bottom w:val="single" w:sz="4" w:space="0" w:color="auto"/>
              <w:right w:val="single" w:sz="4" w:space="0" w:color="auto"/>
            </w:tcBorders>
            <w:vAlign w:val="bottom"/>
            <w:hideMark/>
          </w:tcPr>
          <w:p w14:paraId="24105576" w14:textId="77777777" w:rsidR="00F5446D" w:rsidRPr="0094745F" w:rsidRDefault="0094745F" w:rsidP="00876CB7">
            <w:pPr>
              <w:pStyle w:val="IASBTableBoldArial"/>
              <w:spacing w:before="60" w:after="60"/>
              <w:rPr>
                <w:rFonts w:ascii="Calibri" w:hAnsi="Calibri" w:cs="Calibri"/>
                <w:sz w:val="24"/>
                <w:szCs w:val="24"/>
                <w:lang w:eastAsia="en-US"/>
              </w:rPr>
            </w:pPr>
            <w:r>
              <w:rPr>
                <w:rFonts w:ascii="Calibri" w:hAnsi="Calibri" w:cs="Calibri"/>
                <w:b w:val="0"/>
                <w:sz w:val="24"/>
                <w:szCs w:val="24"/>
              </w:rPr>
              <w:t xml:space="preserve">    Exposição nas Demonstrações Contábeis</w:t>
            </w:r>
          </w:p>
        </w:tc>
        <w:tc>
          <w:tcPr>
            <w:tcW w:w="1841" w:type="dxa"/>
            <w:tcBorders>
              <w:top w:val="single" w:sz="4" w:space="0" w:color="auto"/>
              <w:left w:val="single" w:sz="4" w:space="0" w:color="auto"/>
              <w:bottom w:val="single" w:sz="4" w:space="0" w:color="auto"/>
              <w:right w:val="single" w:sz="4" w:space="0" w:color="auto"/>
            </w:tcBorders>
            <w:vAlign w:val="bottom"/>
            <w:hideMark/>
          </w:tcPr>
          <w:p w14:paraId="21AB5CBF" w14:textId="77777777" w:rsidR="00F5446D" w:rsidRPr="0094745F" w:rsidRDefault="00F5446D" w:rsidP="00876CB7">
            <w:pPr>
              <w:pStyle w:val="IASBTableBoldArial"/>
              <w:spacing w:before="60" w:after="60"/>
              <w:jc w:val="center"/>
              <w:rPr>
                <w:rFonts w:ascii="Calibri" w:hAnsi="Calibri" w:cs="Calibri"/>
                <w:sz w:val="24"/>
                <w:szCs w:val="24"/>
                <w:lang w:eastAsia="en-US"/>
              </w:rPr>
            </w:pPr>
            <w:r>
              <w:rPr>
                <w:rFonts w:ascii="Calibri" w:hAnsi="Calibri" w:cs="Calibri"/>
                <w:b w:val="0"/>
                <w:sz w:val="24"/>
                <w:szCs w:val="24"/>
              </w:rPr>
              <w:t>44 – 49</w:t>
            </w:r>
          </w:p>
        </w:tc>
      </w:tr>
      <w:tr w:rsidR="00F5446D" w:rsidRPr="00A52CD3" w14:paraId="4B9886C2" w14:textId="77777777" w:rsidTr="00057616">
        <w:trPr>
          <w:cantSplit/>
          <w:trHeight w:val="58"/>
        </w:trPr>
        <w:tc>
          <w:tcPr>
            <w:tcW w:w="236" w:type="dxa"/>
            <w:tcBorders>
              <w:top w:val="nil"/>
              <w:left w:val="nil"/>
              <w:bottom w:val="nil"/>
              <w:right w:val="single" w:sz="4" w:space="0" w:color="auto"/>
            </w:tcBorders>
            <w:vAlign w:val="bottom"/>
          </w:tcPr>
          <w:p w14:paraId="33EA9DE7" w14:textId="77777777" w:rsidR="00F5446D" w:rsidRPr="00A52CD3" w:rsidRDefault="00F5446D" w:rsidP="00876CB7">
            <w:pPr>
              <w:pStyle w:val="IASBTableBoldArial"/>
              <w:spacing w:before="0"/>
              <w:jc w:val="both"/>
              <w:rPr>
                <w:rFonts w:ascii="Calibri" w:hAnsi="Calibri" w:cs="Calibri"/>
                <w:sz w:val="24"/>
                <w:szCs w:val="24"/>
                <w:lang w:eastAsia="en-US"/>
              </w:rPr>
            </w:pPr>
          </w:p>
        </w:tc>
        <w:tc>
          <w:tcPr>
            <w:tcW w:w="8123" w:type="dxa"/>
            <w:tcBorders>
              <w:top w:val="single" w:sz="4" w:space="0" w:color="auto"/>
              <w:left w:val="single" w:sz="4" w:space="0" w:color="auto"/>
              <w:bottom w:val="single" w:sz="4" w:space="0" w:color="auto"/>
              <w:right w:val="single" w:sz="4" w:space="0" w:color="auto"/>
            </w:tcBorders>
            <w:vAlign w:val="bottom"/>
            <w:hideMark/>
          </w:tcPr>
          <w:p w14:paraId="4AB8810E" w14:textId="77777777" w:rsidR="00F5446D" w:rsidRPr="0094745F" w:rsidRDefault="0094745F" w:rsidP="00876CB7">
            <w:pPr>
              <w:pStyle w:val="IASBTableBoldArial"/>
              <w:spacing w:before="60" w:after="60"/>
              <w:rPr>
                <w:rFonts w:ascii="Calibri" w:hAnsi="Calibri" w:cs="Calibri"/>
                <w:sz w:val="24"/>
                <w:szCs w:val="24"/>
                <w:lang w:eastAsia="en-US"/>
              </w:rPr>
            </w:pPr>
            <w:r>
              <w:rPr>
                <w:rFonts w:ascii="Calibri" w:hAnsi="Calibri" w:cs="Calibri"/>
                <w:b w:val="0"/>
                <w:sz w:val="24"/>
                <w:szCs w:val="24"/>
              </w:rPr>
              <w:t xml:space="preserve">    Divulgação</w:t>
            </w:r>
          </w:p>
        </w:tc>
        <w:tc>
          <w:tcPr>
            <w:tcW w:w="1841" w:type="dxa"/>
            <w:tcBorders>
              <w:top w:val="single" w:sz="4" w:space="0" w:color="auto"/>
              <w:left w:val="single" w:sz="4" w:space="0" w:color="auto"/>
              <w:bottom w:val="single" w:sz="4" w:space="0" w:color="auto"/>
              <w:right w:val="single" w:sz="4" w:space="0" w:color="auto"/>
            </w:tcBorders>
            <w:vAlign w:val="bottom"/>
            <w:hideMark/>
          </w:tcPr>
          <w:p w14:paraId="233BE3A2" w14:textId="77777777" w:rsidR="00F5446D" w:rsidRPr="0094745F" w:rsidRDefault="00F5446D" w:rsidP="00876CB7">
            <w:pPr>
              <w:pStyle w:val="IASBTableBoldArial"/>
              <w:spacing w:before="60" w:after="60"/>
              <w:jc w:val="center"/>
              <w:rPr>
                <w:rFonts w:ascii="Calibri" w:hAnsi="Calibri" w:cs="Calibri"/>
                <w:sz w:val="24"/>
                <w:szCs w:val="24"/>
                <w:lang w:eastAsia="en-US"/>
              </w:rPr>
            </w:pPr>
            <w:r>
              <w:rPr>
                <w:rFonts w:ascii="Calibri" w:hAnsi="Calibri" w:cs="Calibri"/>
                <w:b w:val="0"/>
                <w:sz w:val="24"/>
                <w:szCs w:val="24"/>
              </w:rPr>
              <w:t>50 – 61</w:t>
            </w:r>
          </w:p>
        </w:tc>
      </w:tr>
      <w:tr w:rsidR="00F5446D" w:rsidRPr="00A52CD3" w14:paraId="49923BCF" w14:textId="77777777" w:rsidTr="00057616">
        <w:trPr>
          <w:cantSplit/>
          <w:trHeight w:val="58"/>
        </w:trPr>
        <w:tc>
          <w:tcPr>
            <w:tcW w:w="236" w:type="dxa"/>
            <w:tcBorders>
              <w:top w:val="nil"/>
              <w:left w:val="nil"/>
              <w:bottom w:val="nil"/>
              <w:right w:val="single" w:sz="4" w:space="0" w:color="auto"/>
            </w:tcBorders>
            <w:vAlign w:val="bottom"/>
          </w:tcPr>
          <w:p w14:paraId="35769034" w14:textId="77777777" w:rsidR="00F5446D" w:rsidRPr="00A52CD3" w:rsidRDefault="00F5446D" w:rsidP="00876CB7">
            <w:pPr>
              <w:pStyle w:val="IASBTableBoldArial"/>
              <w:spacing w:before="0"/>
              <w:jc w:val="both"/>
              <w:rPr>
                <w:rFonts w:ascii="Calibri" w:hAnsi="Calibri" w:cs="Calibri"/>
                <w:sz w:val="24"/>
                <w:szCs w:val="24"/>
                <w:lang w:eastAsia="en-US"/>
              </w:rPr>
            </w:pPr>
          </w:p>
        </w:tc>
        <w:tc>
          <w:tcPr>
            <w:tcW w:w="8123" w:type="dxa"/>
            <w:tcBorders>
              <w:top w:val="single" w:sz="4" w:space="0" w:color="auto"/>
              <w:left w:val="single" w:sz="4" w:space="0" w:color="auto"/>
              <w:bottom w:val="single" w:sz="4" w:space="0" w:color="auto"/>
              <w:right w:val="single" w:sz="4" w:space="0" w:color="auto"/>
            </w:tcBorders>
            <w:vAlign w:val="bottom"/>
            <w:hideMark/>
          </w:tcPr>
          <w:p w14:paraId="2086D88F" w14:textId="77777777" w:rsidR="00F5446D" w:rsidRPr="0094745F" w:rsidRDefault="0094745F" w:rsidP="00876CB7">
            <w:pPr>
              <w:pStyle w:val="IASBTableBoldArial"/>
              <w:spacing w:before="60" w:after="60"/>
              <w:rPr>
                <w:rFonts w:ascii="Calibri" w:hAnsi="Calibri" w:cs="Calibri"/>
                <w:sz w:val="24"/>
                <w:szCs w:val="24"/>
                <w:lang w:eastAsia="en-US"/>
              </w:rPr>
            </w:pPr>
            <w:r>
              <w:rPr>
                <w:rFonts w:ascii="Calibri" w:hAnsi="Calibri" w:cs="Calibri"/>
                <w:b w:val="0"/>
                <w:sz w:val="24"/>
                <w:szCs w:val="24"/>
              </w:rPr>
              <w:t xml:space="preserve">        Despesas de Transferência e Saldos Relacionados</w:t>
            </w:r>
          </w:p>
        </w:tc>
        <w:tc>
          <w:tcPr>
            <w:tcW w:w="1841" w:type="dxa"/>
            <w:tcBorders>
              <w:top w:val="single" w:sz="4" w:space="0" w:color="auto"/>
              <w:left w:val="single" w:sz="4" w:space="0" w:color="auto"/>
              <w:bottom w:val="single" w:sz="4" w:space="0" w:color="auto"/>
              <w:right w:val="single" w:sz="4" w:space="0" w:color="auto"/>
            </w:tcBorders>
            <w:vAlign w:val="bottom"/>
            <w:hideMark/>
          </w:tcPr>
          <w:p w14:paraId="702EAC3B" w14:textId="77777777" w:rsidR="00F5446D" w:rsidRPr="0094745F" w:rsidRDefault="00F5446D" w:rsidP="00876CB7">
            <w:pPr>
              <w:pStyle w:val="IASBTableBoldArial"/>
              <w:spacing w:before="60" w:after="60"/>
              <w:jc w:val="center"/>
              <w:rPr>
                <w:rFonts w:ascii="Calibri" w:hAnsi="Calibri" w:cs="Calibri"/>
                <w:sz w:val="24"/>
                <w:szCs w:val="24"/>
                <w:lang w:eastAsia="en-US"/>
              </w:rPr>
            </w:pPr>
            <w:r>
              <w:rPr>
                <w:rFonts w:ascii="Calibri" w:hAnsi="Calibri" w:cs="Calibri"/>
                <w:b w:val="0"/>
                <w:sz w:val="24"/>
                <w:szCs w:val="24"/>
              </w:rPr>
              <w:t>53 – 58</w:t>
            </w:r>
          </w:p>
        </w:tc>
      </w:tr>
      <w:tr w:rsidR="00F5446D" w:rsidRPr="00A52CD3" w14:paraId="65D1F4A2" w14:textId="77777777" w:rsidTr="00057616">
        <w:trPr>
          <w:cantSplit/>
          <w:trHeight w:val="58"/>
        </w:trPr>
        <w:tc>
          <w:tcPr>
            <w:tcW w:w="236" w:type="dxa"/>
            <w:tcBorders>
              <w:top w:val="nil"/>
              <w:left w:val="nil"/>
              <w:bottom w:val="nil"/>
              <w:right w:val="single" w:sz="4" w:space="0" w:color="auto"/>
            </w:tcBorders>
            <w:vAlign w:val="bottom"/>
          </w:tcPr>
          <w:p w14:paraId="0A0D4F17" w14:textId="77777777" w:rsidR="00F5446D" w:rsidRPr="00A52CD3" w:rsidRDefault="00F5446D" w:rsidP="00876CB7">
            <w:pPr>
              <w:pStyle w:val="IASBTableBoldArial"/>
              <w:spacing w:before="0"/>
              <w:jc w:val="both"/>
              <w:rPr>
                <w:rFonts w:ascii="Calibri" w:hAnsi="Calibri" w:cs="Calibri"/>
                <w:sz w:val="24"/>
                <w:szCs w:val="24"/>
                <w:lang w:eastAsia="en-US"/>
              </w:rPr>
            </w:pPr>
          </w:p>
        </w:tc>
        <w:tc>
          <w:tcPr>
            <w:tcW w:w="8123" w:type="dxa"/>
            <w:tcBorders>
              <w:top w:val="single" w:sz="4" w:space="0" w:color="auto"/>
              <w:left w:val="single" w:sz="4" w:space="0" w:color="auto"/>
              <w:bottom w:val="single" w:sz="4" w:space="0" w:color="auto"/>
              <w:right w:val="single" w:sz="4" w:space="0" w:color="auto"/>
            </w:tcBorders>
            <w:vAlign w:val="bottom"/>
            <w:hideMark/>
          </w:tcPr>
          <w:p w14:paraId="3B9FE57F" w14:textId="77777777" w:rsidR="00F5446D" w:rsidRPr="0094745F" w:rsidRDefault="0094745F" w:rsidP="00876CB7">
            <w:pPr>
              <w:pStyle w:val="IASBTableBoldArial"/>
              <w:spacing w:before="60" w:after="60"/>
              <w:rPr>
                <w:rFonts w:ascii="Calibri" w:hAnsi="Calibri" w:cs="Calibri"/>
                <w:sz w:val="24"/>
                <w:szCs w:val="24"/>
                <w:lang w:eastAsia="en-US"/>
              </w:rPr>
            </w:pPr>
            <w:r>
              <w:rPr>
                <w:rFonts w:ascii="Calibri" w:hAnsi="Calibri" w:cs="Calibri"/>
                <w:b w:val="0"/>
                <w:sz w:val="24"/>
                <w:szCs w:val="24"/>
              </w:rPr>
              <w:t xml:space="preserve">        Acordos de Transferência</w:t>
            </w:r>
          </w:p>
        </w:tc>
        <w:tc>
          <w:tcPr>
            <w:tcW w:w="1841" w:type="dxa"/>
            <w:tcBorders>
              <w:top w:val="single" w:sz="4" w:space="0" w:color="auto"/>
              <w:left w:val="single" w:sz="4" w:space="0" w:color="auto"/>
              <w:bottom w:val="single" w:sz="4" w:space="0" w:color="auto"/>
              <w:right w:val="single" w:sz="4" w:space="0" w:color="auto"/>
            </w:tcBorders>
            <w:vAlign w:val="bottom"/>
            <w:hideMark/>
          </w:tcPr>
          <w:p w14:paraId="0033FF33" w14:textId="77777777" w:rsidR="00F5446D" w:rsidRPr="0094745F" w:rsidRDefault="00F5446D" w:rsidP="00876CB7">
            <w:pPr>
              <w:pStyle w:val="IASBTableBoldArial"/>
              <w:spacing w:before="60" w:after="60"/>
              <w:jc w:val="center"/>
              <w:rPr>
                <w:rFonts w:ascii="Calibri" w:hAnsi="Calibri" w:cs="Calibri"/>
                <w:sz w:val="24"/>
                <w:szCs w:val="24"/>
                <w:lang w:eastAsia="en-US"/>
              </w:rPr>
            </w:pPr>
            <w:r>
              <w:rPr>
                <w:rFonts w:ascii="Calibri" w:hAnsi="Calibri" w:cs="Calibri"/>
                <w:b w:val="0"/>
                <w:sz w:val="24"/>
                <w:szCs w:val="24"/>
              </w:rPr>
              <w:t>59 – 60</w:t>
            </w:r>
          </w:p>
        </w:tc>
      </w:tr>
      <w:tr w:rsidR="00F5446D" w:rsidRPr="00A52CD3" w14:paraId="36C78A3C" w14:textId="77777777" w:rsidTr="00057616">
        <w:trPr>
          <w:cantSplit/>
          <w:trHeight w:val="58"/>
        </w:trPr>
        <w:tc>
          <w:tcPr>
            <w:tcW w:w="236" w:type="dxa"/>
            <w:tcBorders>
              <w:top w:val="nil"/>
              <w:left w:val="nil"/>
              <w:bottom w:val="nil"/>
              <w:right w:val="single" w:sz="4" w:space="0" w:color="auto"/>
            </w:tcBorders>
            <w:vAlign w:val="bottom"/>
          </w:tcPr>
          <w:p w14:paraId="42A2D208" w14:textId="77777777" w:rsidR="00F5446D" w:rsidRPr="00A52CD3" w:rsidRDefault="00F5446D" w:rsidP="00876CB7">
            <w:pPr>
              <w:pStyle w:val="IASBTableBoldArial"/>
              <w:spacing w:before="0"/>
              <w:jc w:val="both"/>
              <w:rPr>
                <w:rFonts w:ascii="Calibri" w:hAnsi="Calibri" w:cs="Calibri"/>
                <w:sz w:val="24"/>
                <w:szCs w:val="24"/>
                <w:lang w:eastAsia="en-US"/>
              </w:rPr>
            </w:pPr>
          </w:p>
        </w:tc>
        <w:tc>
          <w:tcPr>
            <w:tcW w:w="8123" w:type="dxa"/>
            <w:tcBorders>
              <w:top w:val="single" w:sz="4" w:space="0" w:color="auto"/>
              <w:left w:val="single" w:sz="4" w:space="0" w:color="auto"/>
              <w:bottom w:val="single" w:sz="4" w:space="0" w:color="auto"/>
              <w:right w:val="single" w:sz="4" w:space="0" w:color="auto"/>
            </w:tcBorders>
            <w:vAlign w:val="bottom"/>
            <w:hideMark/>
          </w:tcPr>
          <w:p w14:paraId="7B604356" w14:textId="77777777" w:rsidR="00F5446D" w:rsidRPr="0094745F" w:rsidRDefault="0094745F" w:rsidP="00876CB7">
            <w:pPr>
              <w:pStyle w:val="IASBTableBoldArial"/>
              <w:spacing w:before="60" w:after="60"/>
              <w:rPr>
                <w:rFonts w:ascii="Calibri" w:hAnsi="Calibri" w:cs="Calibri"/>
                <w:sz w:val="24"/>
                <w:szCs w:val="24"/>
                <w:lang w:eastAsia="en-US"/>
              </w:rPr>
            </w:pPr>
            <w:r>
              <w:rPr>
                <w:rFonts w:ascii="Calibri" w:hAnsi="Calibri" w:cs="Calibri"/>
                <w:b w:val="0"/>
                <w:sz w:val="24"/>
                <w:szCs w:val="24"/>
              </w:rPr>
              <w:t xml:space="preserve">        Julgamentos Significativos e Alterações nos Julgamentos Relativos ao Reconhecimento de Ativos de Direito de Transferência Decorrentes de Transações de Despesa de Transferência</w:t>
            </w:r>
          </w:p>
        </w:tc>
        <w:tc>
          <w:tcPr>
            <w:tcW w:w="1841" w:type="dxa"/>
            <w:tcBorders>
              <w:top w:val="single" w:sz="4" w:space="0" w:color="auto"/>
              <w:left w:val="single" w:sz="4" w:space="0" w:color="auto"/>
              <w:bottom w:val="single" w:sz="4" w:space="0" w:color="auto"/>
              <w:right w:val="single" w:sz="4" w:space="0" w:color="auto"/>
            </w:tcBorders>
            <w:vAlign w:val="bottom"/>
            <w:hideMark/>
          </w:tcPr>
          <w:p w14:paraId="3704308E" w14:textId="77777777" w:rsidR="00F5446D" w:rsidRPr="0094745F" w:rsidRDefault="00F5446D" w:rsidP="00876CB7">
            <w:pPr>
              <w:pStyle w:val="IASBTableBoldArial"/>
              <w:spacing w:before="60" w:after="60"/>
              <w:jc w:val="center"/>
              <w:rPr>
                <w:rFonts w:ascii="Calibri" w:hAnsi="Calibri" w:cs="Calibri"/>
                <w:sz w:val="24"/>
                <w:szCs w:val="24"/>
                <w:lang w:eastAsia="en-US"/>
              </w:rPr>
            </w:pPr>
            <w:r>
              <w:rPr>
                <w:rFonts w:ascii="Calibri" w:hAnsi="Calibri" w:cs="Calibri"/>
                <w:b w:val="0"/>
                <w:sz w:val="24"/>
                <w:szCs w:val="24"/>
              </w:rPr>
              <w:t>61</w:t>
            </w:r>
          </w:p>
        </w:tc>
      </w:tr>
      <w:tr w:rsidR="00F5446D" w:rsidRPr="00A52CD3" w14:paraId="44942043" w14:textId="77777777" w:rsidTr="00057616">
        <w:trPr>
          <w:cantSplit/>
          <w:trHeight w:val="58"/>
        </w:trPr>
        <w:tc>
          <w:tcPr>
            <w:tcW w:w="236" w:type="dxa"/>
            <w:tcBorders>
              <w:top w:val="nil"/>
              <w:left w:val="nil"/>
              <w:bottom w:val="nil"/>
              <w:right w:val="single" w:sz="4" w:space="0" w:color="auto"/>
            </w:tcBorders>
            <w:vAlign w:val="bottom"/>
          </w:tcPr>
          <w:p w14:paraId="200EE0B0" w14:textId="77777777" w:rsidR="00F5446D" w:rsidRPr="00A52CD3" w:rsidRDefault="00F5446D" w:rsidP="00876CB7">
            <w:pPr>
              <w:pStyle w:val="IASBTableBoldArial"/>
              <w:spacing w:before="0"/>
              <w:jc w:val="both"/>
              <w:rPr>
                <w:rFonts w:ascii="Calibri" w:hAnsi="Calibri" w:cs="Calibri"/>
                <w:sz w:val="24"/>
                <w:szCs w:val="24"/>
                <w:lang w:eastAsia="en-US"/>
              </w:rPr>
            </w:pPr>
          </w:p>
        </w:tc>
        <w:tc>
          <w:tcPr>
            <w:tcW w:w="8123" w:type="dxa"/>
            <w:tcBorders>
              <w:top w:val="single" w:sz="4" w:space="0" w:color="auto"/>
              <w:left w:val="single" w:sz="4" w:space="0" w:color="auto"/>
              <w:bottom w:val="single" w:sz="4" w:space="0" w:color="auto"/>
              <w:right w:val="single" w:sz="4" w:space="0" w:color="auto"/>
            </w:tcBorders>
            <w:vAlign w:val="bottom"/>
            <w:hideMark/>
          </w:tcPr>
          <w:p w14:paraId="75CE7EF3" w14:textId="77777777" w:rsidR="00F5446D" w:rsidRPr="0094745F" w:rsidRDefault="0094745F" w:rsidP="00876CB7">
            <w:pPr>
              <w:pStyle w:val="IASBTableBoldArial"/>
              <w:spacing w:before="60" w:after="60"/>
              <w:rPr>
                <w:rFonts w:ascii="Calibri" w:hAnsi="Calibri" w:cs="Calibri"/>
                <w:sz w:val="24"/>
                <w:szCs w:val="24"/>
                <w:lang w:eastAsia="en-US"/>
              </w:rPr>
            </w:pPr>
            <w:r>
              <w:rPr>
                <w:rFonts w:ascii="Calibri" w:hAnsi="Calibri" w:cs="Calibri"/>
                <w:b w:val="0"/>
                <w:sz w:val="24"/>
                <w:szCs w:val="24"/>
              </w:rPr>
              <w:t>Data de Vigência e Transição</w:t>
            </w:r>
          </w:p>
        </w:tc>
        <w:tc>
          <w:tcPr>
            <w:tcW w:w="1841" w:type="dxa"/>
            <w:tcBorders>
              <w:top w:val="single" w:sz="4" w:space="0" w:color="auto"/>
              <w:left w:val="single" w:sz="4" w:space="0" w:color="auto"/>
              <w:bottom w:val="single" w:sz="4" w:space="0" w:color="auto"/>
              <w:right w:val="single" w:sz="4" w:space="0" w:color="auto"/>
            </w:tcBorders>
            <w:vAlign w:val="bottom"/>
            <w:hideMark/>
          </w:tcPr>
          <w:p w14:paraId="0DE92744" w14:textId="77777777" w:rsidR="00F5446D" w:rsidRPr="0094745F" w:rsidRDefault="00F5446D" w:rsidP="00876CB7">
            <w:pPr>
              <w:pStyle w:val="IASBTableBoldArial"/>
              <w:spacing w:before="60" w:after="60"/>
              <w:jc w:val="center"/>
              <w:rPr>
                <w:rFonts w:ascii="Calibri" w:hAnsi="Calibri" w:cs="Calibri"/>
                <w:sz w:val="24"/>
                <w:szCs w:val="24"/>
                <w:lang w:eastAsia="en-US"/>
              </w:rPr>
            </w:pPr>
            <w:r>
              <w:rPr>
                <w:rFonts w:ascii="Calibri" w:hAnsi="Calibri" w:cs="Calibri"/>
                <w:b w:val="0"/>
                <w:sz w:val="24"/>
                <w:szCs w:val="24"/>
              </w:rPr>
              <w:t>62 – 64</w:t>
            </w:r>
          </w:p>
        </w:tc>
      </w:tr>
      <w:tr w:rsidR="00F5446D" w:rsidRPr="00A52CD3" w14:paraId="635010EC" w14:textId="77777777" w:rsidTr="00057616">
        <w:trPr>
          <w:cantSplit/>
          <w:trHeight w:val="58"/>
        </w:trPr>
        <w:tc>
          <w:tcPr>
            <w:tcW w:w="236" w:type="dxa"/>
            <w:tcBorders>
              <w:top w:val="nil"/>
              <w:left w:val="nil"/>
              <w:bottom w:val="nil"/>
              <w:right w:val="single" w:sz="4" w:space="0" w:color="auto"/>
            </w:tcBorders>
            <w:vAlign w:val="bottom"/>
          </w:tcPr>
          <w:p w14:paraId="01A68BE7" w14:textId="77777777" w:rsidR="00F5446D" w:rsidRPr="00A52CD3" w:rsidRDefault="00F5446D" w:rsidP="00876CB7">
            <w:pPr>
              <w:pStyle w:val="IASBTableBoldArial"/>
              <w:spacing w:before="0"/>
              <w:jc w:val="both"/>
              <w:rPr>
                <w:rFonts w:ascii="Calibri" w:hAnsi="Calibri" w:cs="Calibri"/>
                <w:sz w:val="24"/>
                <w:szCs w:val="24"/>
                <w:lang w:eastAsia="en-US"/>
              </w:rPr>
            </w:pPr>
          </w:p>
        </w:tc>
        <w:tc>
          <w:tcPr>
            <w:tcW w:w="8123" w:type="dxa"/>
            <w:tcBorders>
              <w:top w:val="single" w:sz="4" w:space="0" w:color="auto"/>
              <w:left w:val="single" w:sz="4" w:space="0" w:color="auto"/>
              <w:bottom w:val="single" w:sz="4" w:space="0" w:color="auto"/>
              <w:right w:val="single" w:sz="4" w:space="0" w:color="auto"/>
            </w:tcBorders>
            <w:vAlign w:val="bottom"/>
            <w:hideMark/>
          </w:tcPr>
          <w:p w14:paraId="6D51BD0F" w14:textId="77777777" w:rsidR="00F5446D" w:rsidRPr="0094745F" w:rsidRDefault="0094745F" w:rsidP="00876CB7">
            <w:pPr>
              <w:pStyle w:val="IASBTableBoldArial"/>
              <w:spacing w:before="60" w:after="60"/>
              <w:rPr>
                <w:rFonts w:ascii="Calibri" w:hAnsi="Calibri" w:cs="Calibri"/>
                <w:sz w:val="24"/>
                <w:szCs w:val="24"/>
                <w:lang w:eastAsia="en-US"/>
              </w:rPr>
            </w:pPr>
            <w:r>
              <w:rPr>
                <w:rFonts w:ascii="Calibri" w:hAnsi="Calibri" w:cs="Calibri"/>
                <w:b w:val="0"/>
                <w:sz w:val="24"/>
                <w:szCs w:val="24"/>
              </w:rPr>
              <w:t xml:space="preserve">    Data de Vigência</w:t>
            </w:r>
          </w:p>
        </w:tc>
        <w:tc>
          <w:tcPr>
            <w:tcW w:w="1841" w:type="dxa"/>
            <w:tcBorders>
              <w:top w:val="single" w:sz="4" w:space="0" w:color="auto"/>
              <w:left w:val="single" w:sz="4" w:space="0" w:color="auto"/>
              <w:bottom w:val="single" w:sz="4" w:space="0" w:color="auto"/>
              <w:right w:val="single" w:sz="4" w:space="0" w:color="auto"/>
            </w:tcBorders>
            <w:vAlign w:val="bottom"/>
            <w:hideMark/>
          </w:tcPr>
          <w:p w14:paraId="73CEE5BA" w14:textId="77777777" w:rsidR="00F5446D" w:rsidRPr="0094745F" w:rsidRDefault="00F5446D" w:rsidP="00876CB7">
            <w:pPr>
              <w:pStyle w:val="IASBTableBoldArial"/>
              <w:spacing w:before="60" w:after="60"/>
              <w:jc w:val="center"/>
              <w:rPr>
                <w:rFonts w:ascii="Calibri" w:hAnsi="Calibri" w:cs="Calibri"/>
                <w:sz w:val="24"/>
                <w:szCs w:val="24"/>
                <w:lang w:eastAsia="en-US"/>
              </w:rPr>
            </w:pPr>
            <w:r>
              <w:rPr>
                <w:rFonts w:ascii="Calibri" w:hAnsi="Calibri" w:cs="Calibri"/>
                <w:b w:val="0"/>
                <w:sz w:val="24"/>
                <w:szCs w:val="24"/>
              </w:rPr>
              <w:t>62 – 63</w:t>
            </w:r>
          </w:p>
        </w:tc>
      </w:tr>
      <w:tr w:rsidR="00F5446D" w:rsidRPr="00A52CD3" w14:paraId="07BFA94A" w14:textId="77777777" w:rsidTr="00057616">
        <w:trPr>
          <w:cantSplit/>
          <w:trHeight w:val="58"/>
        </w:trPr>
        <w:tc>
          <w:tcPr>
            <w:tcW w:w="236" w:type="dxa"/>
            <w:tcBorders>
              <w:top w:val="nil"/>
              <w:left w:val="nil"/>
              <w:bottom w:val="nil"/>
              <w:right w:val="single" w:sz="4" w:space="0" w:color="auto"/>
            </w:tcBorders>
            <w:vAlign w:val="bottom"/>
          </w:tcPr>
          <w:p w14:paraId="11A60D6C" w14:textId="77777777" w:rsidR="00F5446D" w:rsidRPr="00A52CD3" w:rsidRDefault="00F5446D" w:rsidP="00876CB7">
            <w:pPr>
              <w:pStyle w:val="IASBTableBoldArial"/>
              <w:spacing w:before="0"/>
              <w:jc w:val="both"/>
              <w:rPr>
                <w:rFonts w:ascii="Calibri" w:hAnsi="Calibri" w:cs="Calibri"/>
                <w:sz w:val="24"/>
                <w:szCs w:val="24"/>
                <w:lang w:eastAsia="en-US"/>
              </w:rPr>
            </w:pPr>
          </w:p>
        </w:tc>
        <w:tc>
          <w:tcPr>
            <w:tcW w:w="8123" w:type="dxa"/>
            <w:tcBorders>
              <w:top w:val="single" w:sz="4" w:space="0" w:color="auto"/>
              <w:left w:val="single" w:sz="4" w:space="0" w:color="auto"/>
              <w:bottom w:val="single" w:sz="4" w:space="0" w:color="auto"/>
              <w:right w:val="single" w:sz="4" w:space="0" w:color="auto"/>
            </w:tcBorders>
            <w:vAlign w:val="bottom"/>
            <w:hideMark/>
          </w:tcPr>
          <w:p w14:paraId="2A5D99FD" w14:textId="77777777" w:rsidR="00F5446D" w:rsidRPr="0094745F" w:rsidRDefault="0094745F" w:rsidP="00876CB7">
            <w:pPr>
              <w:pStyle w:val="IASBTableBoldArial"/>
              <w:spacing w:before="60" w:after="60"/>
              <w:rPr>
                <w:rFonts w:ascii="Calibri" w:hAnsi="Calibri" w:cs="Calibri"/>
                <w:sz w:val="24"/>
                <w:szCs w:val="24"/>
                <w:lang w:eastAsia="en-US"/>
              </w:rPr>
            </w:pPr>
            <w:r>
              <w:rPr>
                <w:rFonts w:ascii="Calibri" w:hAnsi="Calibri" w:cs="Calibri"/>
                <w:b w:val="0"/>
                <w:sz w:val="24"/>
                <w:szCs w:val="24"/>
              </w:rPr>
              <w:t xml:space="preserve">    Transição</w:t>
            </w:r>
          </w:p>
        </w:tc>
        <w:tc>
          <w:tcPr>
            <w:tcW w:w="1841" w:type="dxa"/>
            <w:tcBorders>
              <w:top w:val="single" w:sz="4" w:space="0" w:color="auto"/>
              <w:left w:val="single" w:sz="4" w:space="0" w:color="auto"/>
              <w:bottom w:val="single" w:sz="4" w:space="0" w:color="auto"/>
              <w:right w:val="single" w:sz="4" w:space="0" w:color="auto"/>
            </w:tcBorders>
            <w:vAlign w:val="bottom"/>
            <w:hideMark/>
          </w:tcPr>
          <w:p w14:paraId="63E949C3" w14:textId="77777777" w:rsidR="00F5446D" w:rsidRPr="0094745F" w:rsidRDefault="00F5446D" w:rsidP="00876CB7">
            <w:pPr>
              <w:pStyle w:val="IASBTableBoldArial"/>
              <w:spacing w:before="60" w:after="60"/>
              <w:jc w:val="center"/>
              <w:rPr>
                <w:rFonts w:ascii="Calibri" w:hAnsi="Calibri" w:cs="Calibri"/>
                <w:sz w:val="24"/>
                <w:szCs w:val="24"/>
                <w:lang w:eastAsia="en-US"/>
              </w:rPr>
            </w:pPr>
            <w:r>
              <w:rPr>
                <w:rFonts w:ascii="Calibri" w:hAnsi="Calibri" w:cs="Calibri"/>
                <w:b w:val="0"/>
                <w:sz w:val="24"/>
                <w:szCs w:val="24"/>
              </w:rPr>
              <w:t>64</w:t>
            </w:r>
          </w:p>
        </w:tc>
      </w:tr>
      <w:tr w:rsidR="00F5446D" w:rsidRPr="00A52CD3" w14:paraId="3C2BD978" w14:textId="77777777" w:rsidTr="00057616">
        <w:trPr>
          <w:cantSplit/>
          <w:trHeight w:val="58"/>
        </w:trPr>
        <w:tc>
          <w:tcPr>
            <w:tcW w:w="236" w:type="dxa"/>
            <w:tcBorders>
              <w:top w:val="nil"/>
              <w:left w:val="nil"/>
              <w:bottom w:val="nil"/>
              <w:right w:val="single" w:sz="4" w:space="0" w:color="auto"/>
            </w:tcBorders>
            <w:vAlign w:val="bottom"/>
          </w:tcPr>
          <w:p w14:paraId="5ECE417D" w14:textId="77777777" w:rsidR="00F5446D" w:rsidRPr="00A52CD3" w:rsidRDefault="00F5446D" w:rsidP="00876CB7">
            <w:pPr>
              <w:pStyle w:val="IASBTableBoldArial"/>
              <w:spacing w:before="0"/>
              <w:jc w:val="both"/>
              <w:rPr>
                <w:rFonts w:ascii="Calibri" w:hAnsi="Calibri" w:cs="Calibri"/>
                <w:sz w:val="24"/>
                <w:szCs w:val="24"/>
                <w:lang w:eastAsia="en-US"/>
              </w:rPr>
            </w:pPr>
          </w:p>
        </w:tc>
        <w:tc>
          <w:tcPr>
            <w:tcW w:w="8123" w:type="dxa"/>
            <w:tcBorders>
              <w:top w:val="single" w:sz="4" w:space="0" w:color="auto"/>
              <w:left w:val="single" w:sz="4" w:space="0" w:color="auto"/>
              <w:bottom w:val="single" w:sz="4" w:space="0" w:color="auto"/>
              <w:right w:val="single" w:sz="4" w:space="0" w:color="auto"/>
            </w:tcBorders>
            <w:vAlign w:val="bottom"/>
            <w:hideMark/>
          </w:tcPr>
          <w:p w14:paraId="29B34ECC" w14:textId="77777777" w:rsidR="00F5446D" w:rsidRPr="0094745F" w:rsidRDefault="0094745F" w:rsidP="00876CB7">
            <w:pPr>
              <w:pStyle w:val="IASBTableBoldArial"/>
              <w:spacing w:before="60" w:after="60"/>
              <w:rPr>
                <w:rFonts w:ascii="Calibri" w:hAnsi="Calibri" w:cs="Calibri"/>
                <w:sz w:val="24"/>
                <w:szCs w:val="24"/>
                <w:lang w:eastAsia="en-US"/>
              </w:rPr>
            </w:pPr>
            <w:r>
              <w:rPr>
                <w:rFonts w:ascii="Calibri" w:hAnsi="Calibri" w:cs="Calibri"/>
                <w:b w:val="0"/>
                <w:sz w:val="24"/>
                <w:szCs w:val="24"/>
              </w:rPr>
              <w:t>Apêndice A – Guia de Aplicação</w:t>
            </w:r>
          </w:p>
        </w:tc>
        <w:tc>
          <w:tcPr>
            <w:tcW w:w="1841" w:type="dxa"/>
            <w:tcBorders>
              <w:top w:val="single" w:sz="4" w:space="0" w:color="auto"/>
              <w:left w:val="single" w:sz="4" w:space="0" w:color="auto"/>
              <w:bottom w:val="single" w:sz="4" w:space="0" w:color="auto"/>
              <w:right w:val="single" w:sz="4" w:space="0" w:color="auto"/>
            </w:tcBorders>
            <w:vAlign w:val="bottom"/>
            <w:hideMark/>
          </w:tcPr>
          <w:p w14:paraId="5EE2C1A6" w14:textId="77777777" w:rsidR="00F5446D" w:rsidRPr="0094745F" w:rsidRDefault="00F5446D" w:rsidP="00876CB7">
            <w:pPr>
              <w:pStyle w:val="IASBTableBoldArial"/>
              <w:spacing w:before="60" w:after="60"/>
              <w:jc w:val="center"/>
              <w:rPr>
                <w:rFonts w:ascii="Calibri" w:hAnsi="Calibri" w:cs="Calibri"/>
                <w:sz w:val="24"/>
                <w:szCs w:val="24"/>
                <w:lang w:eastAsia="en-US"/>
              </w:rPr>
            </w:pPr>
          </w:p>
        </w:tc>
      </w:tr>
    </w:tbl>
    <w:p w14:paraId="7942941A" w14:textId="77777777" w:rsidR="000B1EC4" w:rsidRDefault="000B1EC4">
      <w:pPr>
        <w:pStyle w:val="IASBNormalnpara"/>
        <w:spacing w:before="0"/>
        <w:ind w:left="0" w:firstLine="0"/>
        <w:rPr>
          <w:rFonts w:ascii="Calibri" w:hAnsi="Calibri" w:cs="Calibri"/>
          <w:sz w:val="24"/>
          <w:szCs w:val="24"/>
        </w:rPr>
      </w:pPr>
    </w:p>
    <w:p w14:paraId="0A389C8A"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Objetivo</w:t>
      </w:r>
    </w:p>
    <w:p w14:paraId="38DA0D9C"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1.</w:t>
      </w:r>
      <w:r>
        <w:rPr>
          <w:rFonts w:ascii="Calibri" w:hAnsi="Calibri" w:cs="Calibri"/>
          <w:sz w:val="24"/>
          <w:szCs w:val="24"/>
        </w:rPr>
        <w:tab/>
        <w:t>O objetivo desta norma é estabelecer os princípios que o transferidor (a entidade) deve aplicar para divulgar informações úteis aos usuários das demonstrações contábeis sobre a natureza, o montante, o momento e a incerteza das despesas e dos fluxos de caixa decorrentes de transações de despesa de transferência.</w:t>
      </w:r>
    </w:p>
    <w:p w14:paraId="2048EB59"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2.</w:t>
      </w:r>
      <w:r>
        <w:rPr>
          <w:rFonts w:ascii="Calibri" w:hAnsi="Calibri" w:cs="Calibri"/>
          <w:sz w:val="24"/>
          <w:szCs w:val="24"/>
        </w:rPr>
        <w:tab/>
        <w:t>Para atingir o objetivo do item 1, esta norma:</w:t>
      </w:r>
    </w:p>
    <w:p w14:paraId="2879685C" w14:textId="77777777" w:rsidR="000B1EC4" w:rsidRDefault="00057616">
      <w:pPr>
        <w:pStyle w:val="IASBNormalnpara"/>
        <w:spacing w:before="0" w:after="240"/>
        <w:ind w:left="1134" w:hanging="567"/>
        <w:rPr>
          <w:rFonts w:ascii="Calibri" w:hAnsi="Calibri" w:cs="Calibri"/>
          <w:sz w:val="24"/>
          <w:szCs w:val="24"/>
        </w:rPr>
      </w:pPr>
      <w:r>
        <w:rPr>
          <w:rFonts w:ascii="Calibri" w:hAnsi="Calibri" w:cs="Calibri"/>
          <w:sz w:val="24"/>
          <w:szCs w:val="24"/>
        </w:rPr>
        <w:t>(a)</w:t>
      </w:r>
      <w:r>
        <w:rPr>
          <w:rFonts w:ascii="Calibri" w:hAnsi="Calibri" w:cs="Calibri"/>
          <w:sz w:val="24"/>
          <w:szCs w:val="24"/>
        </w:rPr>
        <w:tab/>
        <w:t>exige que a entidade considere os termos da transação e todos os fatos e circunstâncias relevantes para determinar o tipo de transação de despesa de transferência; e</w:t>
      </w:r>
    </w:p>
    <w:p w14:paraId="54A55FA5" w14:textId="77777777" w:rsidR="000B1EC4" w:rsidRDefault="00057616">
      <w:pPr>
        <w:pStyle w:val="IASBNormalnpara"/>
        <w:spacing w:before="0" w:after="240"/>
        <w:ind w:left="1134" w:hanging="567"/>
        <w:rPr>
          <w:rFonts w:ascii="Calibri" w:hAnsi="Calibri" w:cs="Calibri"/>
          <w:sz w:val="24"/>
          <w:szCs w:val="24"/>
        </w:rPr>
      </w:pPr>
      <w:r>
        <w:rPr>
          <w:rFonts w:ascii="Calibri" w:hAnsi="Calibri" w:cs="Calibri"/>
          <w:sz w:val="24"/>
          <w:szCs w:val="24"/>
        </w:rPr>
        <w:lastRenderedPageBreak/>
        <w:t>(b)</w:t>
      </w:r>
      <w:r>
        <w:rPr>
          <w:rFonts w:ascii="Calibri" w:hAnsi="Calibri" w:cs="Calibri"/>
          <w:sz w:val="24"/>
          <w:szCs w:val="24"/>
        </w:rPr>
        <w:tab/>
        <w:t>estabelece as exigências contábeis para a transação de despesa de transferência.</w:t>
      </w:r>
    </w:p>
    <w:p w14:paraId="67532F0E"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Alcance</w:t>
      </w:r>
    </w:p>
    <w:p w14:paraId="7D411E6C" w14:textId="77777777" w:rsidR="000B1EC4" w:rsidRDefault="00057616">
      <w:pPr>
        <w:pStyle w:val="IASBNormalnpara"/>
        <w:spacing w:before="0" w:after="240"/>
        <w:ind w:left="567" w:hanging="567"/>
        <w:rPr>
          <w:rFonts w:ascii="Calibri" w:hAnsi="Calibri" w:cs="Calibri"/>
          <w:b/>
          <w:bCs/>
          <w:sz w:val="24"/>
          <w:szCs w:val="24"/>
        </w:rPr>
      </w:pPr>
      <w:r>
        <w:rPr>
          <w:rFonts w:ascii="Calibri" w:hAnsi="Calibri" w:cs="Calibri"/>
          <w:b/>
          <w:bCs/>
          <w:sz w:val="24"/>
          <w:szCs w:val="24"/>
        </w:rPr>
        <w:t>3.</w:t>
      </w:r>
      <w:r>
        <w:rPr>
          <w:rFonts w:ascii="Calibri" w:hAnsi="Calibri" w:cs="Calibri"/>
          <w:b/>
          <w:bCs/>
          <w:sz w:val="24"/>
          <w:szCs w:val="24"/>
        </w:rPr>
        <w:tab/>
        <w:t>A entidade que elabora e apresenta demonstrações contábeis, de acordo com o regime de competência, deve aplicar esta norma na contabilização das despesas de transferência conforme definido nesta Norma, inclusive para as despesas de transferência incorridas para transferências de capital.</w:t>
      </w:r>
    </w:p>
    <w:p w14:paraId="46391C7B" w14:textId="77777777" w:rsidR="000B1EC4" w:rsidRDefault="00057616">
      <w:pPr>
        <w:pStyle w:val="IASBNormalnpara"/>
        <w:spacing w:before="0" w:after="240"/>
        <w:ind w:left="567" w:hanging="567"/>
        <w:rPr>
          <w:rFonts w:ascii="Calibri" w:hAnsi="Calibri" w:cs="Calibri"/>
          <w:b/>
          <w:bCs/>
          <w:sz w:val="24"/>
          <w:szCs w:val="24"/>
        </w:rPr>
      </w:pPr>
      <w:r>
        <w:rPr>
          <w:rFonts w:ascii="Calibri" w:hAnsi="Calibri" w:cs="Calibri"/>
          <w:b/>
          <w:bCs/>
          <w:sz w:val="24"/>
          <w:szCs w:val="24"/>
        </w:rPr>
        <w:t>4.</w:t>
      </w:r>
      <w:r>
        <w:rPr>
          <w:rFonts w:ascii="Calibri" w:hAnsi="Calibri" w:cs="Calibri"/>
          <w:b/>
          <w:bCs/>
          <w:sz w:val="24"/>
          <w:szCs w:val="24"/>
        </w:rPr>
        <w:tab/>
        <w:t>Esta norma não se aplica a:</w:t>
      </w:r>
    </w:p>
    <w:p w14:paraId="18066F48" w14:textId="77777777" w:rsidR="000B1EC4" w:rsidRDefault="00057616">
      <w:pPr>
        <w:pStyle w:val="IASBNormalnpara"/>
        <w:spacing w:before="0" w:after="240"/>
        <w:ind w:left="1134" w:hanging="567"/>
        <w:rPr>
          <w:rFonts w:ascii="Calibri" w:hAnsi="Calibri" w:cs="Calibri"/>
          <w:b/>
          <w:bCs/>
          <w:sz w:val="24"/>
          <w:szCs w:val="24"/>
        </w:rPr>
      </w:pPr>
      <w:r>
        <w:rPr>
          <w:rFonts w:ascii="Calibri" w:hAnsi="Calibri" w:cs="Calibri"/>
          <w:b/>
          <w:bCs/>
          <w:sz w:val="24"/>
          <w:szCs w:val="24"/>
        </w:rPr>
        <w:t>(a)</w:t>
      </w:r>
      <w:r>
        <w:rPr>
          <w:rFonts w:ascii="Calibri" w:hAnsi="Calibri" w:cs="Calibri"/>
          <w:b/>
          <w:bCs/>
          <w:sz w:val="24"/>
          <w:szCs w:val="24"/>
        </w:rPr>
        <w:tab/>
        <w:t xml:space="preserve">arrendamentos, conforme definido na NBC TSP 35 – </w:t>
      </w:r>
      <w:r>
        <w:rPr>
          <w:rFonts w:ascii="Calibri" w:hAnsi="Calibri" w:cs="Calibri"/>
          <w:b/>
          <w:bCs/>
          <w:i/>
          <w:iCs/>
          <w:sz w:val="24"/>
          <w:szCs w:val="24"/>
        </w:rPr>
        <w:t>Arrendamentos</w:t>
      </w:r>
      <w:r>
        <w:rPr>
          <w:rFonts w:ascii="Calibri" w:hAnsi="Calibri" w:cs="Calibri"/>
          <w:b/>
          <w:bCs/>
          <w:sz w:val="24"/>
          <w:szCs w:val="24"/>
        </w:rPr>
        <w:t>;</w:t>
      </w:r>
    </w:p>
    <w:p w14:paraId="49E7D367" w14:textId="77777777" w:rsidR="000B1EC4" w:rsidRDefault="00057616">
      <w:pPr>
        <w:pStyle w:val="IASBNormalnpara"/>
        <w:spacing w:before="0" w:after="240"/>
        <w:ind w:left="1134" w:hanging="567"/>
        <w:rPr>
          <w:rFonts w:ascii="Calibri" w:hAnsi="Calibri" w:cs="Calibri"/>
          <w:b/>
          <w:bCs/>
          <w:sz w:val="24"/>
          <w:szCs w:val="24"/>
        </w:rPr>
      </w:pPr>
      <w:r>
        <w:rPr>
          <w:rFonts w:ascii="Calibri" w:hAnsi="Calibri" w:cs="Calibri"/>
          <w:b/>
          <w:bCs/>
          <w:sz w:val="24"/>
          <w:szCs w:val="24"/>
        </w:rPr>
        <w:t>(b)</w:t>
      </w:r>
      <w:r>
        <w:rPr>
          <w:rFonts w:ascii="Calibri" w:hAnsi="Calibri" w:cs="Calibri"/>
          <w:b/>
          <w:bCs/>
          <w:sz w:val="24"/>
          <w:szCs w:val="24"/>
        </w:rPr>
        <w:tab/>
        <w:t>contribuições dos proprietários e distribuições aos proprietários;</w:t>
      </w:r>
    </w:p>
    <w:p w14:paraId="5DA603BD" w14:textId="77777777" w:rsidR="000B1EC4" w:rsidRDefault="00057616">
      <w:pPr>
        <w:pStyle w:val="IASBNormalnpara"/>
        <w:spacing w:before="0" w:after="240"/>
        <w:ind w:left="1134" w:hanging="567"/>
        <w:rPr>
          <w:rFonts w:ascii="Calibri" w:hAnsi="Calibri" w:cs="Calibri"/>
          <w:b/>
          <w:bCs/>
          <w:sz w:val="24"/>
          <w:szCs w:val="24"/>
        </w:rPr>
      </w:pPr>
      <w:r>
        <w:rPr>
          <w:rFonts w:ascii="Calibri" w:hAnsi="Calibri" w:cs="Calibri"/>
          <w:b/>
          <w:bCs/>
          <w:sz w:val="24"/>
          <w:szCs w:val="24"/>
        </w:rPr>
        <w:t>(c)</w:t>
      </w:r>
      <w:r>
        <w:rPr>
          <w:rFonts w:ascii="Calibri" w:hAnsi="Calibri" w:cs="Calibri"/>
          <w:b/>
          <w:bCs/>
          <w:sz w:val="24"/>
          <w:szCs w:val="24"/>
        </w:rPr>
        <w:tab/>
        <w:t>contratos de concessão de serviços públicos, conforme definido na NBC TSP 05 – Contratos</w:t>
      </w:r>
      <w:r>
        <w:rPr>
          <w:rFonts w:ascii="Calibri" w:hAnsi="Calibri" w:cs="Calibri"/>
          <w:b/>
          <w:bCs/>
          <w:i/>
          <w:iCs/>
          <w:sz w:val="24"/>
          <w:szCs w:val="24"/>
        </w:rPr>
        <w:t xml:space="preserve"> de Concessão de Serviços Públicos: Concedente</w:t>
      </w:r>
      <w:r>
        <w:rPr>
          <w:rFonts w:ascii="Calibri" w:hAnsi="Calibri" w:cs="Calibri"/>
          <w:b/>
          <w:bCs/>
          <w:sz w:val="24"/>
          <w:szCs w:val="24"/>
        </w:rPr>
        <w:t>;</w:t>
      </w:r>
    </w:p>
    <w:p w14:paraId="44EA4406" w14:textId="77777777" w:rsidR="000B1EC4" w:rsidRDefault="00057616">
      <w:pPr>
        <w:pStyle w:val="IASBNormalnpara"/>
        <w:spacing w:before="0" w:after="240"/>
        <w:ind w:left="1134" w:hanging="567"/>
        <w:rPr>
          <w:rFonts w:ascii="Calibri" w:hAnsi="Calibri" w:cs="Calibri"/>
          <w:b/>
          <w:bCs/>
          <w:sz w:val="24"/>
          <w:szCs w:val="24"/>
        </w:rPr>
      </w:pPr>
      <w:r>
        <w:rPr>
          <w:rFonts w:ascii="Calibri" w:hAnsi="Calibri" w:cs="Calibri"/>
          <w:b/>
          <w:bCs/>
          <w:sz w:val="24"/>
          <w:szCs w:val="24"/>
        </w:rPr>
        <w:t>(d)</w:t>
      </w:r>
      <w:r>
        <w:rPr>
          <w:rFonts w:ascii="Calibri" w:hAnsi="Calibri" w:cs="Calibri"/>
          <w:b/>
          <w:bCs/>
          <w:sz w:val="24"/>
          <w:szCs w:val="24"/>
        </w:rPr>
        <w:tab/>
        <w:t xml:space="preserve">benefícios a empregados, conforme definido na NBC TSP 15 – </w:t>
      </w:r>
      <w:r>
        <w:rPr>
          <w:rFonts w:ascii="Calibri" w:hAnsi="Calibri" w:cs="Calibri"/>
          <w:b/>
          <w:bCs/>
          <w:i/>
          <w:iCs/>
          <w:sz w:val="24"/>
          <w:szCs w:val="24"/>
        </w:rPr>
        <w:t>Benefícios a Empregados</w:t>
      </w:r>
      <w:r>
        <w:rPr>
          <w:rFonts w:ascii="Calibri" w:hAnsi="Calibri" w:cs="Calibri"/>
          <w:b/>
          <w:bCs/>
          <w:sz w:val="24"/>
          <w:szCs w:val="24"/>
        </w:rPr>
        <w:t>;</w:t>
      </w:r>
    </w:p>
    <w:p w14:paraId="6A407644" w14:textId="77777777" w:rsidR="000B1EC4" w:rsidRDefault="00057616">
      <w:pPr>
        <w:pStyle w:val="IASBNormalnpara"/>
        <w:spacing w:before="0" w:after="240"/>
        <w:ind w:left="1134" w:hanging="567"/>
        <w:rPr>
          <w:rFonts w:ascii="Calibri" w:hAnsi="Calibri" w:cs="Calibri"/>
          <w:b/>
          <w:bCs/>
          <w:sz w:val="24"/>
          <w:szCs w:val="24"/>
        </w:rPr>
      </w:pPr>
      <w:r>
        <w:rPr>
          <w:rFonts w:ascii="Calibri" w:hAnsi="Calibri" w:cs="Calibri"/>
          <w:b/>
          <w:bCs/>
          <w:sz w:val="24"/>
          <w:szCs w:val="24"/>
        </w:rPr>
        <w:t>(e)</w:t>
      </w:r>
      <w:r>
        <w:rPr>
          <w:rFonts w:ascii="Calibri" w:hAnsi="Calibri" w:cs="Calibri"/>
          <w:b/>
          <w:bCs/>
          <w:sz w:val="24"/>
          <w:szCs w:val="24"/>
        </w:rPr>
        <w:tab/>
        <w:t xml:space="preserve">instrumentos financeiros, inclusive empréstimos subsidiados, conforme definido na NBC TSP 31 – </w:t>
      </w:r>
      <w:r>
        <w:rPr>
          <w:rFonts w:ascii="Calibri" w:hAnsi="Calibri" w:cs="Calibri"/>
          <w:b/>
          <w:bCs/>
          <w:i/>
          <w:iCs/>
          <w:sz w:val="24"/>
          <w:szCs w:val="24"/>
        </w:rPr>
        <w:t>Instrumentos Financeiros</w:t>
      </w:r>
      <w:r>
        <w:rPr>
          <w:rFonts w:ascii="Calibri" w:hAnsi="Calibri" w:cs="Calibri"/>
          <w:b/>
          <w:bCs/>
          <w:sz w:val="24"/>
          <w:szCs w:val="24"/>
        </w:rPr>
        <w:t>: Reconhecimento e Mensuração;</w:t>
      </w:r>
    </w:p>
    <w:p w14:paraId="4605F19C" w14:textId="77777777" w:rsidR="000B1EC4" w:rsidRDefault="00057616">
      <w:pPr>
        <w:pStyle w:val="IASBNormalnpara"/>
        <w:spacing w:before="0" w:after="240"/>
        <w:ind w:left="1134" w:hanging="567"/>
        <w:rPr>
          <w:rFonts w:ascii="Calibri" w:hAnsi="Calibri" w:cs="Calibri"/>
          <w:b/>
          <w:bCs/>
          <w:sz w:val="24"/>
          <w:szCs w:val="24"/>
        </w:rPr>
      </w:pPr>
      <w:r>
        <w:rPr>
          <w:rFonts w:ascii="Calibri" w:hAnsi="Calibri" w:cs="Calibri"/>
          <w:b/>
          <w:bCs/>
          <w:sz w:val="24"/>
          <w:szCs w:val="24"/>
        </w:rPr>
        <w:t>(f)</w:t>
      </w:r>
      <w:r>
        <w:rPr>
          <w:rFonts w:ascii="Calibri" w:hAnsi="Calibri" w:cs="Calibri"/>
          <w:b/>
          <w:bCs/>
          <w:sz w:val="24"/>
          <w:szCs w:val="24"/>
        </w:rPr>
        <w:tab/>
        <w:t xml:space="preserve">benefícios sociais conforme definido na NBC TSP 29 – </w:t>
      </w:r>
      <w:r>
        <w:rPr>
          <w:rFonts w:ascii="Calibri" w:hAnsi="Calibri" w:cs="Calibri"/>
          <w:b/>
          <w:bCs/>
          <w:i/>
          <w:iCs/>
          <w:sz w:val="24"/>
          <w:szCs w:val="24"/>
        </w:rPr>
        <w:t>Benefícios Sociais</w:t>
      </w:r>
      <w:r>
        <w:rPr>
          <w:rFonts w:ascii="Calibri" w:hAnsi="Calibri" w:cs="Calibri"/>
          <w:b/>
          <w:bCs/>
          <w:sz w:val="24"/>
          <w:szCs w:val="24"/>
        </w:rPr>
        <w:t>;</w:t>
      </w:r>
    </w:p>
    <w:p w14:paraId="6D12BE84" w14:textId="77777777" w:rsidR="000B1EC4" w:rsidRDefault="00057616">
      <w:pPr>
        <w:pStyle w:val="IASBNormalnpara"/>
        <w:spacing w:before="0" w:after="240"/>
        <w:ind w:left="1134" w:hanging="567"/>
        <w:rPr>
          <w:rFonts w:ascii="Calibri" w:hAnsi="Calibri" w:cs="Calibri"/>
          <w:b/>
          <w:bCs/>
          <w:sz w:val="24"/>
          <w:szCs w:val="24"/>
        </w:rPr>
      </w:pPr>
      <w:r>
        <w:rPr>
          <w:rFonts w:ascii="Calibri" w:hAnsi="Calibri" w:cs="Calibri"/>
          <w:b/>
          <w:bCs/>
          <w:sz w:val="24"/>
          <w:szCs w:val="24"/>
        </w:rPr>
        <w:t>(g)</w:t>
      </w:r>
      <w:r>
        <w:rPr>
          <w:rFonts w:ascii="Calibri" w:hAnsi="Calibri" w:cs="Calibri"/>
          <w:b/>
          <w:bCs/>
          <w:sz w:val="24"/>
          <w:szCs w:val="24"/>
        </w:rPr>
        <w:tab/>
        <w:t>contratos de seguro (ver norma contábil internacional ou nacional relevante que trate de contratos de seguro);</w:t>
      </w:r>
    </w:p>
    <w:p w14:paraId="0323CDC9" w14:textId="77777777" w:rsidR="000B1EC4" w:rsidRDefault="00057616">
      <w:pPr>
        <w:pStyle w:val="IASBNormalnpara"/>
        <w:spacing w:before="0" w:after="240"/>
        <w:ind w:left="1134" w:hanging="567"/>
        <w:rPr>
          <w:rFonts w:ascii="Calibri" w:hAnsi="Calibri" w:cs="Calibri"/>
          <w:b/>
          <w:bCs/>
          <w:sz w:val="24"/>
          <w:szCs w:val="24"/>
        </w:rPr>
      </w:pPr>
      <w:r>
        <w:rPr>
          <w:rFonts w:ascii="Calibri" w:hAnsi="Calibri" w:cs="Calibri"/>
          <w:b/>
          <w:bCs/>
          <w:sz w:val="24"/>
          <w:szCs w:val="24"/>
        </w:rPr>
        <w:t>(h)</w:t>
      </w:r>
      <w:r>
        <w:rPr>
          <w:rFonts w:ascii="Calibri" w:hAnsi="Calibri" w:cs="Calibri"/>
          <w:b/>
          <w:bCs/>
          <w:sz w:val="24"/>
          <w:szCs w:val="24"/>
        </w:rPr>
        <w:tab/>
        <w:t>pagamentos baseados em ações (ver norma contábil internacional ou nacional relevante que trate de pagamentos baseados em ações); e</w:t>
      </w:r>
    </w:p>
    <w:p w14:paraId="2CA2A092" w14:textId="776C07B5" w:rsidR="000B1EC4" w:rsidRPr="00811EAF" w:rsidRDefault="00057616" w:rsidP="00811EAF">
      <w:pPr>
        <w:pStyle w:val="IASBNormalnpara"/>
        <w:spacing w:before="0" w:after="240"/>
        <w:ind w:left="1134" w:hanging="567"/>
        <w:rPr>
          <w:rFonts w:ascii="Calibri" w:hAnsi="Calibri" w:cs="Calibri"/>
          <w:b/>
          <w:bCs/>
          <w:sz w:val="24"/>
          <w:szCs w:val="24"/>
        </w:rPr>
      </w:pPr>
      <w:r>
        <w:rPr>
          <w:rFonts w:ascii="Calibri" w:hAnsi="Calibri" w:cs="Calibri"/>
          <w:b/>
          <w:bCs/>
          <w:sz w:val="24"/>
          <w:szCs w:val="24"/>
        </w:rPr>
        <w:t>(i)</w:t>
      </w:r>
      <w:r>
        <w:rPr>
          <w:rFonts w:ascii="Calibri" w:hAnsi="Calibri" w:cs="Calibri"/>
          <w:b/>
          <w:bCs/>
          <w:sz w:val="24"/>
          <w:szCs w:val="24"/>
        </w:rPr>
        <w:tab/>
        <w:t>tributos sobre o lucro no alcance (ver norma contábil internacional ou nacional relevante que trate de tributos sobre o lucro)</w:t>
      </w:r>
      <w:r w:rsidR="00811EAF">
        <w:rPr>
          <w:rStyle w:val="Refdenotaderodap"/>
          <w:rFonts w:ascii="Calibri" w:hAnsi="Calibri" w:cs="Calibri"/>
          <w:b/>
          <w:bCs/>
          <w:sz w:val="24"/>
          <w:szCs w:val="24"/>
        </w:rPr>
        <w:footnoteReference w:id="1"/>
      </w:r>
      <w:r>
        <w:rPr>
          <w:rFonts w:ascii="Calibri" w:hAnsi="Calibri" w:cs="Calibri"/>
          <w:b/>
          <w:bCs/>
          <w:sz w:val="24"/>
          <w:szCs w:val="24"/>
        </w:rPr>
        <w:t>.</w:t>
      </w:r>
    </w:p>
    <w:p w14:paraId="75F6DC26"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5.</w:t>
      </w:r>
      <w:r>
        <w:rPr>
          <w:rFonts w:ascii="Calibri" w:hAnsi="Calibri" w:cs="Calibri"/>
          <w:sz w:val="24"/>
          <w:szCs w:val="24"/>
        </w:rPr>
        <w:tab/>
        <w:t>O acordo vinculante pode estar parcialmente no alcance desta norma e parcialmente no alcance de outras normas:</w:t>
      </w:r>
    </w:p>
    <w:p w14:paraId="1A689937" w14:textId="77777777" w:rsidR="000B1EC4" w:rsidRDefault="00057616">
      <w:pPr>
        <w:pStyle w:val="IASBNormalnpara"/>
        <w:spacing w:before="0" w:after="240"/>
        <w:ind w:left="1134" w:hanging="567"/>
        <w:rPr>
          <w:rFonts w:ascii="Calibri" w:hAnsi="Calibri" w:cs="Calibri"/>
          <w:sz w:val="24"/>
          <w:szCs w:val="24"/>
        </w:rPr>
      </w:pPr>
      <w:r>
        <w:rPr>
          <w:rFonts w:ascii="Calibri" w:hAnsi="Calibri" w:cs="Calibri"/>
          <w:sz w:val="24"/>
          <w:szCs w:val="24"/>
        </w:rPr>
        <w:t>(a)</w:t>
      </w:r>
      <w:r>
        <w:rPr>
          <w:rFonts w:ascii="Calibri" w:hAnsi="Calibri" w:cs="Calibri"/>
          <w:sz w:val="24"/>
          <w:szCs w:val="24"/>
        </w:rPr>
        <w:tab/>
        <w:t xml:space="preserve">se as outras normas especificarem como reconhecer e/ou mensurar inicialmente uma ou mais partes do acordo vinculante, a entidade deve primeiro aplicar as exigências de separação e/ou de mensuração dessas normas. A entidade deve excluir da contraprestação da transferência, </w:t>
      </w:r>
      <w:r>
        <w:rPr>
          <w:rFonts w:ascii="Calibri" w:hAnsi="Calibri" w:cs="Calibri"/>
          <w:sz w:val="24"/>
          <w:szCs w:val="24"/>
        </w:rPr>
        <w:lastRenderedPageBreak/>
        <w:t>ou de outra transferência de recursos, o montante da parte (ou das partes) do acordo vinculante inicialmente mensurada de acordo com outras normas, e deve aplicar os itens 18–43 para contabilizar o montante remanescente da contraprestação da transferência ou de outra transferência de recursos, se houver; e</w:t>
      </w:r>
    </w:p>
    <w:p w14:paraId="39CA8CC0" w14:textId="77777777" w:rsidR="000B1EC4" w:rsidRDefault="00057616">
      <w:pPr>
        <w:pStyle w:val="IASBNormalnpara"/>
        <w:spacing w:before="0" w:after="240"/>
        <w:ind w:left="1134" w:hanging="567"/>
        <w:rPr>
          <w:rFonts w:ascii="Calibri" w:hAnsi="Calibri" w:cs="Calibri"/>
          <w:sz w:val="24"/>
          <w:szCs w:val="24"/>
        </w:rPr>
      </w:pPr>
      <w:r>
        <w:rPr>
          <w:rFonts w:ascii="Calibri" w:hAnsi="Calibri" w:cs="Calibri"/>
          <w:sz w:val="24"/>
          <w:szCs w:val="24"/>
        </w:rPr>
        <w:t>(b)</w:t>
      </w:r>
      <w:r>
        <w:rPr>
          <w:rFonts w:ascii="Calibri" w:hAnsi="Calibri" w:cs="Calibri"/>
          <w:sz w:val="24"/>
          <w:szCs w:val="24"/>
        </w:rPr>
        <w:tab/>
        <w:t>se as outras normas não especificarem como separar e/ou mensurar inicialmente uma ou mais partes do acordo vinculante, a entidade deve aplicar esta norma à integralidade do acordo vinculante.</w:t>
      </w:r>
    </w:p>
    <w:p w14:paraId="2A867D50" w14:textId="77777777" w:rsidR="000B1EC4" w:rsidRDefault="00057616">
      <w:pPr>
        <w:pStyle w:val="IASBNormalnpara"/>
        <w:spacing w:before="0" w:after="240"/>
        <w:ind w:left="567" w:firstLine="0"/>
        <w:rPr>
          <w:rFonts w:ascii="Calibri" w:hAnsi="Calibri" w:cs="Calibri"/>
          <w:sz w:val="24"/>
          <w:szCs w:val="24"/>
        </w:rPr>
      </w:pPr>
      <w:r>
        <w:rPr>
          <w:rFonts w:ascii="Calibri" w:hAnsi="Calibri" w:cs="Calibri"/>
          <w:sz w:val="24"/>
          <w:szCs w:val="24"/>
        </w:rPr>
        <w:t>Os itens A2–A3 fornecem orientações adicionais sobre o alcance desta norma.</w:t>
      </w:r>
    </w:p>
    <w:p w14:paraId="04823E8F"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Definições</w:t>
      </w:r>
    </w:p>
    <w:p w14:paraId="13A694EC" w14:textId="5E0D06D4" w:rsidR="000B1EC4" w:rsidRDefault="00057616">
      <w:pPr>
        <w:pStyle w:val="IASBNormalnpara"/>
        <w:spacing w:before="0" w:after="240"/>
        <w:ind w:left="567" w:hanging="567"/>
        <w:rPr>
          <w:rFonts w:ascii="Calibri" w:hAnsi="Calibri" w:cs="Calibri"/>
          <w:b/>
          <w:bCs/>
          <w:sz w:val="24"/>
          <w:szCs w:val="24"/>
        </w:rPr>
      </w:pPr>
      <w:r>
        <w:rPr>
          <w:rFonts w:ascii="Calibri" w:hAnsi="Calibri" w:cs="Calibri"/>
          <w:b/>
          <w:bCs/>
          <w:sz w:val="24"/>
          <w:szCs w:val="24"/>
        </w:rPr>
        <w:t>6.</w:t>
      </w:r>
      <w:r>
        <w:rPr>
          <w:rFonts w:ascii="Calibri" w:hAnsi="Calibri" w:cs="Calibri"/>
          <w:b/>
          <w:bCs/>
          <w:sz w:val="24"/>
          <w:szCs w:val="24"/>
        </w:rPr>
        <w:tab/>
        <w:t>Os seguintes termos são utilizados nesta Norma com os significados especificados:</w:t>
      </w:r>
    </w:p>
    <w:p w14:paraId="78ABD236" w14:textId="77777777" w:rsidR="000B1EC4" w:rsidRDefault="00057616">
      <w:pPr>
        <w:pStyle w:val="IASBNormalnpara"/>
        <w:spacing w:before="0" w:after="240"/>
        <w:ind w:left="567" w:firstLine="0"/>
        <w:rPr>
          <w:rFonts w:ascii="Calibri" w:hAnsi="Calibri" w:cs="Calibri"/>
          <w:b/>
          <w:bCs/>
          <w:sz w:val="24"/>
          <w:szCs w:val="24"/>
        </w:rPr>
      </w:pPr>
      <w:r>
        <w:rPr>
          <w:rFonts w:ascii="Calibri" w:hAnsi="Calibri" w:cs="Calibri"/>
          <w:b/>
          <w:bCs/>
          <w:sz w:val="24"/>
          <w:szCs w:val="24"/>
        </w:rPr>
        <w:t xml:space="preserve">Na perspectiva do transferidor, uma </w:t>
      </w:r>
      <w:r>
        <w:rPr>
          <w:rFonts w:ascii="Calibri" w:hAnsi="Calibri" w:cs="Calibri"/>
          <w:b/>
          <w:bCs/>
          <w:sz w:val="24"/>
          <w:szCs w:val="24"/>
          <w:u w:val="single"/>
        </w:rPr>
        <w:t>transferência de capital</w:t>
      </w:r>
      <w:r>
        <w:rPr>
          <w:rFonts w:ascii="Calibri" w:hAnsi="Calibri" w:cs="Calibri"/>
          <w:b/>
          <w:bCs/>
          <w:sz w:val="24"/>
          <w:szCs w:val="24"/>
        </w:rPr>
        <w:t xml:space="preserve"> é uma saída de caixa ou de outro ativo que decorre de um acordo vinculante com a especificação de que o destinatário da transferência adquira ou construa um ativo não financeiro que será por ele controlado. (O item A53 fornece orientações adicionais.)</w:t>
      </w:r>
    </w:p>
    <w:p w14:paraId="72AC4F76" w14:textId="77777777" w:rsidR="000B1EC4" w:rsidRDefault="00057616">
      <w:pPr>
        <w:pStyle w:val="IASBNormalnpara"/>
        <w:spacing w:before="0" w:after="240"/>
        <w:ind w:left="567" w:firstLine="0"/>
        <w:rPr>
          <w:rFonts w:ascii="Calibri" w:hAnsi="Calibri" w:cs="Calibri"/>
          <w:b/>
          <w:bCs/>
          <w:sz w:val="24"/>
          <w:szCs w:val="24"/>
        </w:rPr>
      </w:pPr>
      <w:r>
        <w:rPr>
          <w:rFonts w:ascii="Calibri" w:hAnsi="Calibri" w:cs="Calibri"/>
          <w:b/>
          <w:bCs/>
          <w:sz w:val="24"/>
          <w:szCs w:val="24"/>
        </w:rPr>
        <w:t xml:space="preserve">A </w:t>
      </w:r>
      <w:r>
        <w:rPr>
          <w:rFonts w:ascii="Calibri" w:hAnsi="Calibri" w:cs="Calibri"/>
          <w:b/>
          <w:bCs/>
          <w:sz w:val="24"/>
          <w:szCs w:val="24"/>
          <w:u w:val="single"/>
        </w:rPr>
        <w:t>contraprestação individual</w:t>
      </w:r>
      <w:r>
        <w:rPr>
          <w:rFonts w:ascii="Calibri" w:hAnsi="Calibri" w:cs="Calibri"/>
          <w:b/>
          <w:bCs/>
          <w:sz w:val="24"/>
          <w:szCs w:val="24"/>
        </w:rPr>
        <w:t xml:space="preserve"> é o montante com que a entidade pretende compensar o destinatário da transferência pela satisfação de cada uma de suas obrigações em um acordo vinculante.</w:t>
      </w:r>
    </w:p>
    <w:p w14:paraId="2FB5CD5D" w14:textId="6428A3BA" w:rsidR="000B1EC4" w:rsidRPr="00811EAF" w:rsidRDefault="00057616" w:rsidP="00811EAF">
      <w:pPr>
        <w:pStyle w:val="IASBNormalnpara"/>
        <w:spacing w:before="0" w:after="240"/>
        <w:ind w:left="567" w:firstLine="0"/>
        <w:rPr>
          <w:rFonts w:ascii="Calibri" w:hAnsi="Calibri" w:cs="Calibri"/>
          <w:b/>
          <w:bCs/>
          <w:sz w:val="24"/>
          <w:szCs w:val="24"/>
        </w:rPr>
      </w:pPr>
      <w:r>
        <w:rPr>
          <w:rFonts w:ascii="Calibri" w:hAnsi="Calibri" w:cs="Calibri"/>
          <w:b/>
          <w:bCs/>
          <w:sz w:val="24"/>
          <w:szCs w:val="24"/>
        </w:rPr>
        <w:t xml:space="preserve">Para os fins desta norma, a </w:t>
      </w:r>
      <w:r>
        <w:rPr>
          <w:rFonts w:ascii="Calibri" w:hAnsi="Calibri" w:cs="Calibri"/>
          <w:b/>
          <w:bCs/>
          <w:sz w:val="24"/>
          <w:szCs w:val="24"/>
          <w:u w:val="single"/>
        </w:rPr>
        <w:t>contraprestação da transferência</w:t>
      </w:r>
      <w:r>
        <w:rPr>
          <w:rFonts w:ascii="Calibri" w:hAnsi="Calibri" w:cs="Calibri"/>
          <w:b/>
          <w:bCs/>
          <w:sz w:val="24"/>
          <w:szCs w:val="24"/>
        </w:rPr>
        <w:t xml:space="preserve"> é o montante total dos recursos</w:t>
      </w:r>
      <w:r w:rsidR="00811EAF">
        <w:rPr>
          <w:rStyle w:val="Refdenotaderodap"/>
          <w:rFonts w:ascii="Calibri" w:hAnsi="Calibri" w:cs="Calibri"/>
          <w:b/>
          <w:bCs/>
          <w:sz w:val="24"/>
          <w:szCs w:val="24"/>
        </w:rPr>
        <w:footnoteReference w:id="2"/>
      </w:r>
      <w:r>
        <w:rPr>
          <w:rFonts w:ascii="Calibri" w:hAnsi="Calibri" w:cs="Calibri"/>
          <w:b/>
          <w:bCs/>
          <w:sz w:val="24"/>
          <w:szCs w:val="24"/>
        </w:rPr>
        <w:t xml:space="preserve"> que a entidade espera transferir.</w:t>
      </w:r>
    </w:p>
    <w:p w14:paraId="6C9426AC" w14:textId="77777777" w:rsidR="000B1EC4" w:rsidRDefault="00057616">
      <w:pPr>
        <w:pStyle w:val="IASBNormalnpara"/>
        <w:spacing w:before="0" w:after="240"/>
        <w:ind w:left="567" w:firstLine="0"/>
        <w:rPr>
          <w:rFonts w:ascii="Calibri" w:hAnsi="Calibri" w:cs="Calibri"/>
          <w:b/>
          <w:bCs/>
          <w:sz w:val="24"/>
          <w:szCs w:val="24"/>
        </w:rPr>
      </w:pPr>
      <w:r>
        <w:rPr>
          <w:rFonts w:ascii="Calibri" w:hAnsi="Calibri" w:cs="Calibri"/>
          <w:b/>
          <w:bCs/>
          <w:sz w:val="24"/>
          <w:szCs w:val="24"/>
        </w:rPr>
        <w:t xml:space="preserve">Uma </w:t>
      </w:r>
      <w:r>
        <w:rPr>
          <w:rFonts w:ascii="Calibri" w:hAnsi="Calibri" w:cs="Calibri"/>
          <w:b/>
          <w:bCs/>
          <w:sz w:val="24"/>
          <w:szCs w:val="24"/>
          <w:u w:val="single"/>
        </w:rPr>
        <w:t>despesa de transferência</w:t>
      </w:r>
      <w:r>
        <w:rPr>
          <w:rFonts w:ascii="Calibri" w:hAnsi="Calibri" w:cs="Calibri"/>
          <w:b/>
          <w:bCs/>
          <w:sz w:val="24"/>
          <w:szCs w:val="24"/>
        </w:rPr>
        <w:t xml:space="preserve"> é a despesa decorrente de uma transação, distinta dos tributos, na qual a entidade fornece um bem, serviço ou outro ativo a outra entidade (que pode ser um indivíduo) sem receber diretamente, em troca, qualquer bem, serviço ou outro ativo. (Os itens A8–A9 fornecem orientações adicionais.)</w:t>
      </w:r>
    </w:p>
    <w:p w14:paraId="0A9C960A" w14:textId="77777777" w:rsidR="000B1EC4" w:rsidRDefault="00057616">
      <w:pPr>
        <w:pStyle w:val="IASBNormalnpara"/>
        <w:spacing w:before="0" w:after="240"/>
        <w:ind w:left="567" w:firstLine="0"/>
        <w:rPr>
          <w:rFonts w:ascii="Calibri" w:hAnsi="Calibri" w:cs="Calibri"/>
          <w:b/>
          <w:bCs/>
          <w:sz w:val="24"/>
          <w:szCs w:val="24"/>
        </w:rPr>
      </w:pPr>
      <w:r>
        <w:rPr>
          <w:rFonts w:ascii="Calibri" w:hAnsi="Calibri" w:cs="Calibri"/>
          <w:b/>
          <w:bCs/>
          <w:sz w:val="24"/>
          <w:szCs w:val="24"/>
        </w:rPr>
        <w:t xml:space="preserve">Uma </w:t>
      </w:r>
      <w:r>
        <w:rPr>
          <w:rFonts w:ascii="Calibri" w:hAnsi="Calibri" w:cs="Calibri"/>
          <w:b/>
          <w:bCs/>
          <w:sz w:val="24"/>
          <w:szCs w:val="24"/>
          <w:u w:val="single"/>
        </w:rPr>
        <w:t>obrigação de transferência</w:t>
      </w:r>
      <w:r>
        <w:rPr>
          <w:rFonts w:ascii="Calibri" w:hAnsi="Calibri" w:cs="Calibri"/>
          <w:b/>
          <w:bCs/>
          <w:sz w:val="24"/>
          <w:szCs w:val="24"/>
        </w:rPr>
        <w:t xml:space="preserve"> é a obrigação da entidade, em um acordo vinculante, de transferir recursos da maneira especificada.</w:t>
      </w:r>
    </w:p>
    <w:p w14:paraId="3434B35C" w14:textId="77777777" w:rsidR="000B1EC4" w:rsidRDefault="00057616">
      <w:pPr>
        <w:pStyle w:val="IASBNormalnpara"/>
        <w:spacing w:before="0" w:after="240"/>
        <w:ind w:left="567" w:firstLine="0"/>
        <w:rPr>
          <w:rFonts w:ascii="Calibri" w:hAnsi="Calibri" w:cs="Calibri"/>
          <w:b/>
          <w:bCs/>
          <w:sz w:val="24"/>
          <w:szCs w:val="24"/>
        </w:rPr>
      </w:pPr>
      <w:r>
        <w:rPr>
          <w:rFonts w:ascii="Calibri" w:hAnsi="Calibri" w:cs="Calibri"/>
          <w:b/>
          <w:bCs/>
          <w:sz w:val="24"/>
          <w:szCs w:val="24"/>
        </w:rPr>
        <w:t xml:space="preserve">Um </w:t>
      </w:r>
      <w:r>
        <w:rPr>
          <w:rFonts w:ascii="Calibri" w:hAnsi="Calibri" w:cs="Calibri"/>
          <w:b/>
          <w:bCs/>
          <w:sz w:val="24"/>
          <w:szCs w:val="24"/>
          <w:u w:val="single"/>
        </w:rPr>
        <w:t>passivo de obrigação de transferência</w:t>
      </w:r>
      <w:r>
        <w:rPr>
          <w:rFonts w:ascii="Calibri" w:hAnsi="Calibri" w:cs="Calibri"/>
          <w:b/>
          <w:bCs/>
          <w:sz w:val="24"/>
          <w:szCs w:val="24"/>
        </w:rPr>
        <w:t xml:space="preserve"> é o passivo reconhecido pela existência de uma ou mais obrigações de transferência decorrentes de um acordo vinculante.</w:t>
      </w:r>
    </w:p>
    <w:p w14:paraId="64D18CF6" w14:textId="77777777" w:rsidR="000B1EC4" w:rsidRDefault="00057616">
      <w:pPr>
        <w:pStyle w:val="IASBNormalnpara"/>
        <w:spacing w:before="0" w:after="240"/>
        <w:ind w:left="567" w:firstLine="0"/>
        <w:rPr>
          <w:rFonts w:ascii="Calibri" w:hAnsi="Calibri" w:cs="Calibri"/>
          <w:b/>
          <w:bCs/>
          <w:sz w:val="24"/>
          <w:szCs w:val="24"/>
        </w:rPr>
      </w:pPr>
      <w:r>
        <w:rPr>
          <w:rFonts w:ascii="Calibri" w:hAnsi="Calibri" w:cs="Calibri"/>
          <w:b/>
          <w:bCs/>
          <w:sz w:val="24"/>
          <w:szCs w:val="24"/>
        </w:rPr>
        <w:t xml:space="preserve">Um </w:t>
      </w:r>
      <w:r>
        <w:rPr>
          <w:rFonts w:ascii="Calibri" w:hAnsi="Calibri" w:cs="Calibri"/>
          <w:b/>
          <w:bCs/>
          <w:sz w:val="24"/>
          <w:szCs w:val="24"/>
          <w:u w:val="single"/>
        </w:rPr>
        <w:t xml:space="preserve">transferidor </w:t>
      </w:r>
      <w:r>
        <w:rPr>
          <w:rFonts w:ascii="Calibri" w:hAnsi="Calibri" w:cs="Calibri"/>
          <w:b/>
          <w:bCs/>
          <w:sz w:val="24"/>
          <w:szCs w:val="24"/>
        </w:rPr>
        <w:t>é a entidade que fornece um bem, serviço ou outro ativo a outra entidade sem receber diretamente, em troca, qualquer bem, serviço ou outro ativo.</w:t>
      </w:r>
    </w:p>
    <w:p w14:paraId="5619B094" w14:textId="77777777" w:rsidR="000B1EC4" w:rsidRDefault="00057616">
      <w:pPr>
        <w:pStyle w:val="IASBNormalnpara"/>
        <w:spacing w:before="0" w:after="240"/>
        <w:ind w:left="567" w:firstLine="0"/>
        <w:rPr>
          <w:rFonts w:ascii="Calibri" w:hAnsi="Calibri" w:cs="Calibri"/>
          <w:b/>
          <w:bCs/>
          <w:sz w:val="24"/>
          <w:szCs w:val="24"/>
        </w:rPr>
      </w:pPr>
      <w:r>
        <w:rPr>
          <w:rFonts w:ascii="Calibri" w:hAnsi="Calibri" w:cs="Calibri"/>
          <w:b/>
          <w:bCs/>
          <w:sz w:val="24"/>
          <w:szCs w:val="24"/>
        </w:rPr>
        <w:lastRenderedPageBreak/>
        <w:t xml:space="preserve">Um </w:t>
      </w:r>
      <w:r>
        <w:rPr>
          <w:rFonts w:ascii="Calibri" w:hAnsi="Calibri" w:cs="Calibri"/>
          <w:b/>
          <w:bCs/>
          <w:sz w:val="24"/>
          <w:szCs w:val="24"/>
          <w:u w:val="single"/>
        </w:rPr>
        <w:t>destinatário da transferência</w:t>
      </w:r>
      <w:r>
        <w:rPr>
          <w:rFonts w:ascii="Calibri" w:hAnsi="Calibri" w:cs="Calibri"/>
          <w:b/>
          <w:bCs/>
          <w:sz w:val="24"/>
          <w:szCs w:val="24"/>
        </w:rPr>
        <w:t xml:space="preserve"> é a entidade que recebe um bem, serviço ou outro ativo de outra entidade sem fornecer diretamente qualquer bem, serviço ou outro ativo a essa entidade.</w:t>
      </w:r>
    </w:p>
    <w:p w14:paraId="3297F73B" w14:textId="77777777" w:rsidR="000B1EC4" w:rsidRDefault="00057616">
      <w:pPr>
        <w:pStyle w:val="IASBNormalnpara"/>
        <w:spacing w:before="0" w:after="240"/>
        <w:ind w:left="567" w:firstLine="0"/>
        <w:rPr>
          <w:rFonts w:ascii="Calibri" w:hAnsi="Calibri" w:cs="Calibri"/>
          <w:b/>
          <w:bCs/>
          <w:sz w:val="24"/>
          <w:szCs w:val="24"/>
        </w:rPr>
      </w:pPr>
      <w:r>
        <w:rPr>
          <w:rFonts w:ascii="Calibri" w:hAnsi="Calibri" w:cs="Calibri"/>
          <w:b/>
          <w:bCs/>
          <w:sz w:val="24"/>
          <w:szCs w:val="24"/>
        </w:rPr>
        <w:t xml:space="preserve">Um </w:t>
      </w:r>
      <w:r>
        <w:rPr>
          <w:rFonts w:ascii="Calibri" w:hAnsi="Calibri" w:cs="Calibri"/>
          <w:b/>
          <w:bCs/>
          <w:sz w:val="24"/>
          <w:szCs w:val="24"/>
          <w:u w:val="single"/>
        </w:rPr>
        <w:t>direito decorrente de transferência</w:t>
      </w:r>
      <w:r>
        <w:rPr>
          <w:rFonts w:ascii="Calibri" w:hAnsi="Calibri" w:cs="Calibri"/>
          <w:b/>
          <w:bCs/>
          <w:sz w:val="24"/>
          <w:szCs w:val="24"/>
        </w:rPr>
        <w:t xml:space="preserve"> é o direito exequível de que o destinatário da transferência satisfaça sua obrigação da maneira especificada em um acordo vinculante ou se sujeite às consequências nele especificadas.</w:t>
      </w:r>
    </w:p>
    <w:p w14:paraId="0AF467A1" w14:textId="77777777" w:rsidR="000B1EC4" w:rsidRDefault="00057616">
      <w:pPr>
        <w:pStyle w:val="IASBNormalnpara"/>
        <w:spacing w:before="0" w:after="240"/>
        <w:ind w:left="567" w:firstLine="0"/>
        <w:rPr>
          <w:rFonts w:ascii="Calibri" w:hAnsi="Calibri" w:cs="Calibri"/>
          <w:b/>
          <w:bCs/>
          <w:sz w:val="24"/>
          <w:szCs w:val="24"/>
        </w:rPr>
      </w:pPr>
      <w:r>
        <w:rPr>
          <w:rFonts w:ascii="Calibri" w:hAnsi="Calibri" w:cs="Calibri"/>
          <w:b/>
          <w:bCs/>
          <w:sz w:val="24"/>
          <w:szCs w:val="24"/>
        </w:rPr>
        <w:t xml:space="preserve">Um </w:t>
      </w:r>
      <w:r>
        <w:rPr>
          <w:rFonts w:ascii="Calibri" w:hAnsi="Calibri" w:cs="Calibri"/>
          <w:b/>
          <w:bCs/>
          <w:sz w:val="24"/>
          <w:szCs w:val="24"/>
          <w:u w:val="single"/>
        </w:rPr>
        <w:t xml:space="preserve">ativo de direito decorrente de transferência </w:t>
      </w:r>
      <w:r>
        <w:rPr>
          <w:rFonts w:ascii="Calibri" w:hAnsi="Calibri" w:cs="Calibri"/>
          <w:b/>
          <w:bCs/>
          <w:sz w:val="24"/>
          <w:szCs w:val="24"/>
        </w:rPr>
        <w:t>é o ativo reconhecido pela existência de um ou mais direitos decorrentes de transferência oriundos de um acordo vinculante.</w:t>
      </w:r>
    </w:p>
    <w:p w14:paraId="5D38531E"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7.</w:t>
      </w:r>
      <w:r>
        <w:rPr>
          <w:rFonts w:ascii="Calibri" w:hAnsi="Calibri" w:cs="Calibri"/>
          <w:sz w:val="24"/>
          <w:szCs w:val="24"/>
        </w:rPr>
        <w:tab/>
        <w:t xml:space="preserve">Os termos seguintes estão definidos na NBC TSP 39 – </w:t>
      </w:r>
      <w:r>
        <w:rPr>
          <w:rFonts w:ascii="Calibri" w:hAnsi="Calibri" w:cs="Calibri"/>
          <w:i/>
          <w:iCs/>
          <w:sz w:val="24"/>
          <w:szCs w:val="24"/>
        </w:rPr>
        <w:t>Receita</w:t>
      </w:r>
      <w:r>
        <w:rPr>
          <w:rFonts w:ascii="Calibri" w:hAnsi="Calibri" w:cs="Calibri"/>
          <w:sz w:val="24"/>
          <w:szCs w:val="24"/>
        </w:rPr>
        <w:t>:</w:t>
      </w:r>
    </w:p>
    <w:p w14:paraId="54D9989D" w14:textId="77777777" w:rsidR="000B1EC4" w:rsidRDefault="00057616">
      <w:pPr>
        <w:pStyle w:val="IASBNormalnpara"/>
        <w:spacing w:before="0" w:after="240"/>
        <w:ind w:left="1134" w:hanging="567"/>
        <w:rPr>
          <w:rFonts w:ascii="Calibri" w:hAnsi="Calibri" w:cs="Calibri"/>
          <w:sz w:val="24"/>
          <w:szCs w:val="24"/>
        </w:rPr>
      </w:pPr>
      <w:r>
        <w:rPr>
          <w:rFonts w:ascii="Calibri" w:hAnsi="Calibri" w:cs="Calibri"/>
          <w:sz w:val="24"/>
          <w:szCs w:val="24"/>
        </w:rPr>
        <w:t>(a)</w:t>
      </w:r>
      <w:r>
        <w:rPr>
          <w:rFonts w:ascii="Calibri" w:hAnsi="Calibri" w:cs="Calibri"/>
          <w:sz w:val="24"/>
          <w:szCs w:val="24"/>
        </w:rPr>
        <w:tab/>
        <w:t>Acordo vinculante;</w:t>
      </w:r>
    </w:p>
    <w:p w14:paraId="3AC09C65" w14:textId="77777777" w:rsidR="000B1EC4" w:rsidRDefault="00057616">
      <w:pPr>
        <w:pStyle w:val="IASBNormalnpara"/>
        <w:spacing w:before="0" w:after="240"/>
        <w:ind w:left="1134" w:hanging="567"/>
        <w:rPr>
          <w:rFonts w:ascii="Calibri" w:hAnsi="Calibri" w:cs="Calibri"/>
          <w:sz w:val="24"/>
          <w:szCs w:val="24"/>
        </w:rPr>
      </w:pPr>
      <w:r>
        <w:rPr>
          <w:rFonts w:ascii="Calibri" w:hAnsi="Calibri" w:cs="Calibri"/>
          <w:sz w:val="24"/>
          <w:szCs w:val="24"/>
        </w:rPr>
        <w:t>(b)</w:t>
      </w:r>
      <w:r>
        <w:rPr>
          <w:rFonts w:ascii="Calibri" w:hAnsi="Calibri" w:cs="Calibri"/>
          <w:sz w:val="24"/>
          <w:szCs w:val="24"/>
        </w:rPr>
        <w:tab/>
        <w:t>Obrigação de cumprimento;</w:t>
      </w:r>
    </w:p>
    <w:p w14:paraId="0A3CB4F9" w14:textId="77777777" w:rsidR="000B1EC4" w:rsidRDefault="00057616">
      <w:pPr>
        <w:pStyle w:val="IASBNormalnpara"/>
        <w:spacing w:before="0" w:after="240"/>
        <w:ind w:left="1134" w:hanging="567"/>
        <w:rPr>
          <w:rFonts w:ascii="Calibri" w:hAnsi="Calibri" w:cs="Calibri"/>
          <w:sz w:val="24"/>
          <w:szCs w:val="24"/>
        </w:rPr>
      </w:pPr>
      <w:r>
        <w:rPr>
          <w:rFonts w:ascii="Calibri" w:hAnsi="Calibri" w:cs="Calibri"/>
          <w:sz w:val="24"/>
          <w:szCs w:val="24"/>
        </w:rPr>
        <w:t>(c)</w:t>
      </w:r>
      <w:r>
        <w:rPr>
          <w:rFonts w:ascii="Calibri" w:hAnsi="Calibri" w:cs="Calibri"/>
          <w:sz w:val="24"/>
          <w:szCs w:val="24"/>
        </w:rPr>
        <w:tab/>
        <w:t>Tributos; e</w:t>
      </w:r>
    </w:p>
    <w:p w14:paraId="55F7659C" w14:textId="77777777" w:rsidR="000B1EC4" w:rsidRDefault="00057616">
      <w:pPr>
        <w:pStyle w:val="IASBNormalnpara"/>
        <w:spacing w:before="0" w:after="240"/>
        <w:ind w:left="1134" w:hanging="567"/>
        <w:rPr>
          <w:rFonts w:ascii="Calibri" w:hAnsi="Calibri" w:cs="Calibri"/>
          <w:sz w:val="24"/>
          <w:szCs w:val="24"/>
        </w:rPr>
      </w:pPr>
      <w:r>
        <w:rPr>
          <w:rFonts w:ascii="Calibri" w:hAnsi="Calibri" w:cs="Calibri"/>
          <w:sz w:val="24"/>
          <w:szCs w:val="24"/>
        </w:rPr>
        <w:t>(d)</w:t>
      </w:r>
      <w:r>
        <w:rPr>
          <w:rFonts w:ascii="Calibri" w:hAnsi="Calibri" w:cs="Calibri"/>
          <w:sz w:val="24"/>
          <w:szCs w:val="24"/>
        </w:rPr>
        <w:tab/>
        <w:t>Terceiro beneficiário.</w:t>
      </w:r>
    </w:p>
    <w:p w14:paraId="0F01F182" w14:textId="77777777" w:rsidR="000B1EC4" w:rsidRDefault="00057616">
      <w:pPr>
        <w:pStyle w:val="IASBNormalnpara"/>
        <w:spacing w:before="0" w:after="240"/>
        <w:ind w:left="567" w:firstLine="0"/>
        <w:rPr>
          <w:rFonts w:ascii="Calibri" w:hAnsi="Calibri" w:cs="Calibri"/>
          <w:b/>
          <w:bCs/>
          <w:sz w:val="24"/>
          <w:szCs w:val="24"/>
        </w:rPr>
      </w:pPr>
      <w:r>
        <w:rPr>
          <w:rFonts w:ascii="Calibri" w:hAnsi="Calibri" w:cs="Calibri"/>
          <w:b/>
          <w:bCs/>
          <w:sz w:val="24"/>
          <w:szCs w:val="24"/>
        </w:rPr>
        <w:t xml:space="preserve">A </w:t>
      </w:r>
      <w:r>
        <w:rPr>
          <w:rFonts w:ascii="Calibri" w:hAnsi="Calibri" w:cs="Calibri"/>
          <w:b/>
          <w:bCs/>
          <w:sz w:val="24"/>
          <w:szCs w:val="24"/>
          <w:u w:val="single"/>
        </w:rPr>
        <w:t>obrigação não legalmente vinculada</w:t>
      </w:r>
      <w:r>
        <w:rPr>
          <w:rFonts w:ascii="Calibri" w:hAnsi="Calibri" w:cs="Calibri"/>
          <w:b/>
          <w:bCs/>
          <w:sz w:val="24"/>
          <w:szCs w:val="24"/>
        </w:rPr>
        <w:t xml:space="preserve"> está definida na NBC TSP 03 – Provisões, Passivos Contingentes e Ativos Contingentes.</w:t>
      </w:r>
    </w:p>
    <w:p w14:paraId="589AC7EA" w14:textId="77777777" w:rsidR="000B1EC4" w:rsidRDefault="00057616">
      <w:pPr>
        <w:pStyle w:val="IASBNormalnpara"/>
        <w:spacing w:before="0" w:after="240"/>
        <w:ind w:left="567" w:firstLine="0"/>
        <w:rPr>
          <w:rFonts w:ascii="Calibri" w:hAnsi="Calibri" w:cs="Calibri"/>
          <w:b/>
          <w:bCs/>
          <w:sz w:val="24"/>
          <w:szCs w:val="24"/>
        </w:rPr>
      </w:pPr>
      <w:r>
        <w:rPr>
          <w:rFonts w:ascii="Calibri" w:hAnsi="Calibri" w:cs="Calibri"/>
          <w:b/>
          <w:bCs/>
          <w:sz w:val="24"/>
          <w:szCs w:val="24"/>
          <w:u w:val="single"/>
        </w:rPr>
        <w:t xml:space="preserve">As despesas </w:t>
      </w:r>
      <w:r>
        <w:rPr>
          <w:rFonts w:ascii="Calibri" w:hAnsi="Calibri" w:cs="Calibri"/>
          <w:b/>
          <w:bCs/>
          <w:sz w:val="24"/>
          <w:szCs w:val="24"/>
        </w:rPr>
        <w:t>estão definidas na NBC TSP 11 – Apresentação das Demonstrações Contábeis.</w:t>
      </w:r>
    </w:p>
    <w:p w14:paraId="44F444FB" w14:textId="77777777" w:rsidR="000B1EC4" w:rsidRDefault="00057616">
      <w:pPr>
        <w:pStyle w:val="IASBNormalnpara"/>
        <w:spacing w:before="0" w:after="240"/>
        <w:ind w:left="567" w:firstLine="0"/>
        <w:rPr>
          <w:rFonts w:ascii="Calibri" w:hAnsi="Calibri" w:cs="Calibri"/>
          <w:b/>
          <w:bCs/>
          <w:sz w:val="24"/>
          <w:szCs w:val="24"/>
        </w:rPr>
      </w:pPr>
      <w:r>
        <w:rPr>
          <w:rFonts w:ascii="Calibri" w:hAnsi="Calibri" w:cs="Calibri"/>
          <w:b/>
          <w:bCs/>
          <w:sz w:val="24"/>
          <w:szCs w:val="24"/>
        </w:rPr>
        <w:t>Os itens A4–A9 fornecem orientações adicionais sobre as definições desta norma.</w:t>
      </w:r>
    </w:p>
    <w:p w14:paraId="6A073D61" w14:textId="77777777" w:rsidR="000B1EC4" w:rsidRDefault="00057616">
      <w:pPr>
        <w:pStyle w:val="IASBNormalnpara"/>
        <w:spacing w:before="0" w:after="240"/>
        <w:ind w:left="567" w:firstLine="0"/>
        <w:rPr>
          <w:rFonts w:ascii="Calibri" w:hAnsi="Calibri" w:cs="Calibri"/>
          <w:b/>
          <w:bCs/>
          <w:sz w:val="24"/>
          <w:szCs w:val="24"/>
        </w:rPr>
      </w:pPr>
      <w:r>
        <w:rPr>
          <w:rFonts w:ascii="Calibri" w:hAnsi="Calibri" w:cs="Calibri"/>
          <w:b/>
          <w:bCs/>
          <w:sz w:val="24"/>
          <w:szCs w:val="24"/>
        </w:rPr>
        <w:t>Os termos definidos em outras NBC TSP são utilizados nesta norma com o mesmo significado.</w:t>
      </w:r>
    </w:p>
    <w:p w14:paraId="32CA972B"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Identificação da Transação de Despesa de Transferência</w:t>
      </w:r>
    </w:p>
    <w:p w14:paraId="211619CD" w14:textId="0C546861" w:rsidR="000B1EC4" w:rsidRDefault="00057616">
      <w:pPr>
        <w:pStyle w:val="IASBNormalnpara"/>
        <w:spacing w:before="0" w:after="240"/>
        <w:ind w:left="567" w:hanging="567"/>
        <w:rPr>
          <w:rFonts w:ascii="Calibri" w:hAnsi="Calibri" w:cs="Calibri"/>
          <w:b/>
          <w:bCs/>
          <w:sz w:val="24"/>
          <w:szCs w:val="24"/>
        </w:rPr>
      </w:pPr>
      <w:r>
        <w:rPr>
          <w:rFonts w:ascii="Calibri" w:hAnsi="Calibri" w:cs="Calibri"/>
          <w:b/>
          <w:bCs/>
          <w:sz w:val="24"/>
          <w:szCs w:val="24"/>
        </w:rPr>
        <w:t>8.</w:t>
      </w:r>
      <w:r>
        <w:rPr>
          <w:rFonts w:ascii="Calibri" w:hAnsi="Calibri" w:cs="Calibri"/>
          <w:b/>
          <w:bCs/>
          <w:sz w:val="24"/>
          <w:szCs w:val="24"/>
        </w:rPr>
        <w:tab/>
        <w:t>A entidade contabiliza a transferência com base no fato de a transação resultar ou não no reconhecimento de ativo. Quando a transferência resulta no reconhecimento de ativo, o ativo é baixado quando (ou à medida que) os direitos da entidade decorrentes do acordo de transferência são extintos</w:t>
      </w:r>
      <w:r w:rsidR="00811EAF">
        <w:rPr>
          <w:rStyle w:val="Refdenotaderodap"/>
          <w:rFonts w:ascii="Calibri" w:hAnsi="Calibri" w:cs="Calibri"/>
          <w:b/>
          <w:bCs/>
          <w:sz w:val="24"/>
          <w:szCs w:val="24"/>
        </w:rPr>
        <w:footnoteReference w:id="3"/>
      </w:r>
      <w:r w:rsidR="00811EAF">
        <w:rPr>
          <w:rFonts w:ascii="Calibri" w:hAnsi="Calibri" w:cs="Calibri"/>
          <w:b/>
          <w:bCs/>
          <w:sz w:val="24"/>
          <w:szCs w:val="24"/>
        </w:rPr>
        <w:t>.</w:t>
      </w:r>
      <w:r>
        <w:rPr>
          <w:rFonts w:ascii="Calibri" w:hAnsi="Calibri" w:cs="Calibri"/>
          <w:b/>
          <w:bCs/>
          <w:sz w:val="24"/>
          <w:szCs w:val="24"/>
          <w:vertAlign w:val="superscript"/>
        </w:rPr>
        <w:t xml:space="preserve"> </w:t>
      </w:r>
      <w:r>
        <w:rPr>
          <w:rFonts w:ascii="Calibri" w:hAnsi="Calibri" w:cs="Calibri"/>
          <w:b/>
          <w:bCs/>
          <w:sz w:val="24"/>
          <w:szCs w:val="24"/>
        </w:rPr>
        <w:t>Nas transferências que não resultam no reconhecimento de ativo, a despesa de transferência é reconhecida:</w:t>
      </w:r>
    </w:p>
    <w:p w14:paraId="67E88465" w14:textId="77777777" w:rsidR="000B1EC4" w:rsidRDefault="00057616">
      <w:pPr>
        <w:pStyle w:val="IASBNormalnpara"/>
        <w:spacing w:before="0" w:after="240"/>
        <w:ind w:left="1134" w:hanging="567"/>
        <w:rPr>
          <w:rFonts w:ascii="Calibri" w:hAnsi="Calibri" w:cs="Calibri"/>
          <w:b/>
          <w:bCs/>
          <w:sz w:val="24"/>
          <w:szCs w:val="24"/>
        </w:rPr>
      </w:pPr>
      <w:r>
        <w:rPr>
          <w:rFonts w:ascii="Calibri" w:hAnsi="Calibri" w:cs="Calibri"/>
          <w:b/>
          <w:bCs/>
          <w:sz w:val="24"/>
          <w:szCs w:val="24"/>
        </w:rPr>
        <w:t>(a)</w:t>
      </w:r>
      <w:r>
        <w:rPr>
          <w:rFonts w:ascii="Calibri" w:hAnsi="Calibri" w:cs="Calibri"/>
          <w:b/>
          <w:bCs/>
          <w:sz w:val="24"/>
          <w:szCs w:val="24"/>
        </w:rPr>
        <w:tab/>
        <w:t>Quando a entidade perde o controle dos recursos transferidos; ou</w:t>
      </w:r>
    </w:p>
    <w:p w14:paraId="5E2BF600" w14:textId="77777777" w:rsidR="000B1EC4" w:rsidRDefault="00057616">
      <w:pPr>
        <w:pStyle w:val="IASBNormalnpara"/>
        <w:spacing w:before="0" w:after="240"/>
        <w:ind w:left="1134" w:hanging="567"/>
        <w:rPr>
          <w:rFonts w:ascii="Calibri" w:hAnsi="Calibri" w:cs="Calibri"/>
          <w:b/>
          <w:bCs/>
          <w:sz w:val="24"/>
          <w:szCs w:val="24"/>
        </w:rPr>
      </w:pPr>
      <w:r>
        <w:rPr>
          <w:rFonts w:ascii="Calibri" w:hAnsi="Calibri" w:cs="Calibri"/>
          <w:b/>
          <w:bCs/>
          <w:sz w:val="24"/>
          <w:szCs w:val="24"/>
        </w:rPr>
        <w:lastRenderedPageBreak/>
        <w:t>(b)</w:t>
      </w:r>
      <w:r>
        <w:rPr>
          <w:rFonts w:ascii="Calibri" w:hAnsi="Calibri" w:cs="Calibri"/>
          <w:b/>
          <w:bCs/>
          <w:sz w:val="24"/>
          <w:szCs w:val="24"/>
        </w:rPr>
        <w:tab/>
        <w:t>Quando a entidade incorreu em obrigação de transferir recursos e reconhece um passivo por essa obrigação.</w:t>
      </w:r>
    </w:p>
    <w:p w14:paraId="467501AC" w14:textId="6947E5A3" w:rsidR="000B1EC4" w:rsidRPr="00811EAF" w:rsidRDefault="00057616" w:rsidP="00811EAF">
      <w:pPr>
        <w:pStyle w:val="IASBNormalnpara"/>
        <w:spacing w:before="0" w:after="240"/>
        <w:ind w:left="567" w:firstLine="0"/>
        <w:rPr>
          <w:rFonts w:ascii="Calibri" w:hAnsi="Calibri" w:cs="Calibri"/>
          <w:b/>
          <w:bCs/>
          <w:sz w:val="24"/>
          <w:szCs w:val="24"/>
        </w:rPr>
      </w:pPr>
      <w:r>
        <w:rPr>
          <w:rFonts w:ascii="Calibri" w:hAnsi="Calibri" w:cs="Calibri"/>
          <w:b/>
          <w:bCs/>
          <w:sz w:val="24"/>
          <w:szCs w:val="24"/>
        </w:rPr>
        <w:t>A identificação de que a transação decorre de um acordo vinculante impacta essa determinação, pois os direitos e as obrigações do acordo vinculante fornecem insumos (inputs) para a avaliação dos critérios de reconhecimento de ativos e a verificação da existência de obrigação de transferir recursos.</w:t>
      </w:r>
    </w:p>
    <w:p w14:paraId="11CE0D10"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9.</w:t>
      </w:r>
      <w:r>
        <w:rPr>
          <w:rFonts w:ascii="Calibri" w:hAnsi="Calibri" w:cs="Calibri"/>
          <w:sz w:val="24"/>
          <w:szCs w:val="24"/>
        </w:rPr>
        <w:tab/>
        <w:t>A entidade aplica as orientações sobre reconhecimento e mensuração desta Norma da seguinte forma:</w:t>
      </w:r>
    </w:p>
    <w:p w14:paraId="28D7CFAB" w14:textId="77777777" w:rsidR="000B1EC4" w:rsidRDefault="00057616">
      <w:pPr>
        <w:pStyle w:val="IASBNormalnpara"/>
        <w:spacing w:before="0" w:after="240"/>
        <w:ind w:left="1134" w:hanging="567"/>
        <w:rPr>
          <w:rFonts w:ascii="Calibri" w:hAnsi="Calibri" w:cs="Calibri"/>
          <w:sz w:val="24"/>
          <w:szCs w:val="24"/>
        </w:rPr>
      </w:pPr>
      <w:r>
        <w:rPr>
          <w:rFonts w:ascii="Calibri" w:hAnsi="Calibri" w:cs="Calibri"/>
          <w:sz w:val="24"/>
          <w:szCs w:val="24"/>
        </w:rPr>
        <w:t>(a)</w:t>
      </w:r>
      <w:r>
        <w:rPr>
          <w:rFonts w:ascii="Calibri" w:hAnsi="Calibri" w:cs="Calibri"/>
          <w:sz w:val="24"/>
          <w:szCs w:val="24"/>
        </w:rPr>
        <w:tab/>
        <w:t>Despesas de transferência decorrentes de transações sem acordos vinculantes (doravante denominadas despesas de transferência sem acordos vinculantes) são contabilizadas de acordo com os itens 18–20; e</w:t>
      </w:r>
    </w:p>
    <w:p w14:paraId="7A469714" w14:textId="77777777" w:rsidR="000B1EC4" w:rsidRDefault="00057616">
      <w:pPr>
        <w:pStyle w:val="IASBNormalnpara"/>
        <w:spacing w:before="0" w:after="240"/>
        <w:ind w:left="1134" w:hanging="567"/>
        <w:rPr>
          <w:rFonts w:ascii="Calibri" w:hAnsi="Calibri" w:cs="Calibri"/>
          <w:sz w:val="24"/>
          <w:szCs w:val="24"/>
        </w:rPr>
      </w:pPr>
      <w:r>
        <w:rPr>
          <w:rFonts w:ascii="Calibri" w:hAnsi="Calibri" w:cs="Calibri"/>
          <w:sz w:val="24"/>
          <w:szCs w:val="24"/>
        </w:rPr>
        <w:t>(b)</w:t>
      </w:r>
      <w:r>
        <w:rPr>
          <w:rFonts w:ascii="Calibri" w:hAnsi="Calibri" w:cs="Calibri"/>
          <w:sz w:val="24"/>
          <w:szCs w:val="24"/>
        </w:rPr>
        <w:tab/>
        <w:t>Despesas de transferência decorrentes de transações com acordos vinculantes (doravante denominadas despesas de transferência com acordos vinculantes) são contabilizadas de acordo com os itens 21–43.</w:t>
      </w:r>
    </w:p>
    <w:p w14:paraId="011ED0CE" w14:textId="77777777" w:rsidR="000B1EC4" w:rsidRDefault="00057616">
      <w:pPr>
        <w:pStyle w:val="IASBNormalnpara"/>
        <w:spacing w:before="0" w:after="240"/>
        <w:ind w:left="567" w:firstLine="0"/>
        <w:rPr>
          <w:rFonts w:ascii="Calibri" w:hAnsi="Calibri" w:cs="Calibri"/>
          <w:sz w:val="24"/>
          <w:szCs w:val="24"/>
        </w:rPr>
      </w:pPr>
      <w:r>
        <w:rPr>
          <w:rFonts w:ascii="Calibri" w:hAnsi="Calibri" w:cs="Calibri"/>
          <w:sz w:val="24"/>
          <w:szCs w:val="24"/>
        </w:rPr>
        <w:t>O item A10 fornece orientações adicionais sobre a identificação da transação de despesa de transferência.</w:t>
      </w:r>
    </w:p>
    <w:p w14:paraId="163D301A"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Acordos Vinculantes e Exequibilidade</w:t>
      </w:r>
    </w:p>
    <w:p w14:paraId="446B10F1" w14:textId="77777777" w:rsidR="000B1EC4" w:rsidRDefault="00057616">
      <w:pPr>
        <w:pStyle w:val="IASBNormalnpara"/>
        <w:spacing w:before="0" w:after="240"/>
        <w:ind w:left="567" w:hanging="567"/>
        <w:rPr>
          <w:rFonts w:ascii="Calibri" w:hAnsi="Calibri" w:cs="Calibri"/>
          <w:b/>
          <w:bCs/>
          <w:sz w:val="24"/>
          <w:szCs w:val="24"/>
        </w:rPr>
      </w:pPr>
      <w:r>
        <w:rPr>
          <w:rFonts w:ascii="Calibri" w:hAnsi="Calibri" w:cs="Calibri"/>
          <w:b/>
          <w:bCs/>
          <w:sz w:val="24"/>
          <w:szCs w:val="24"/>
        </w:rPr>
        <w:t>10.</w:t>
      </w:r>
      <w:r>
        <w:rPr>
          <w:rFonts w:ascii="Calibri" w:hAnsi="Calibri" w:cs="Calibri"/>
          <w:b/>
          <w:bCs/>
          <w:sz w:val="24"/>
          <w:szCs w:val="24"/>
        </w:rPr>
        <w:tab/>
        <w:t>Para que um acordo seja vinculante, ele deve ser exequível por meios legais ou equivalentes. A exequibilidade pode decorrer de diversos mecanismos, desde que este(s) mecanismo(s) confira(m) à entidade a capacidade de exigir o cumprimento dos termos do acordo vinculante e de responsabilizar as partes pela satisfação das obrigações declaradas.</w:t>
      </w:r>
    </w:p>
    <w:p w14:paraId="5A75B512"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11.</w:t>
      </w:r>
      <w:r>
        <w:rPr>
          <w:rFonts w:ascii="Calibri" w:hAnsi="Calibri" w:cs="Calibri"/>
          <w:sz w:val="24"/>
          <w:szCs w:val="24"/>
        </w:rPr>
        <w:tab/>
        <w:t>Ao determinar se um acordo é exequível, a entidade considera a essência, e não a forma jurídica, do acordo. A avaliação de se um acordo é exequível baseia-se na capacidade de a entidade exigir o cumprimento dos termos e das condições nele especificados e a satisfação das obrigações estabelecidas para as outras partes.</w:t>
      </w:r>
    </w:p>
    <w:p w14:paraId="70B048A8"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12.</w:t>
      </w:r>
      <w:r>
        <w:rPr>
          <w:rFonts w:ascii="Calibri" w:hAnsi="Calibri" w:cs="Calibri"/>
          <w:sz w:val="24"/>
          <w:szCs w:val="24"/>
        </w:rPr>
        <w:tab/>
        <w:t>O acordo vinculante inclui tanto direitos quanto obrigações exequíveis para duas ou mais das partes envolvidas. O direito e a obrigação exequíveis de cada parte, no acordo vinculante, são interdependentes e inseparáveis.</w:t>
      </w:r>
    </w:p>
    <w:p w14:paraId="35E03C0F"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13.</w:t>
      </w:r>
      <w:r>
        <w:rPr>
          <w:rFonts w:ascii="Calibri" w:hAnsi="Calibri" w:cs="Calibri"/>
          <w:sz w:val="24"/>
          <w:szCs w:val="24"/>
        </w:rPr>
        <w:tab/>
        <w:t xml:space="preserve">Os acordos vinculantes podem ser evidenciados de diversas maneiras. O acordo vinculante pode ser escrito, verbal ou implícito pelas práticas habituais da entidade ou do setor. As práticas e os processos para estabelecer acordos vinculantes com destinatários da transferência variam entre jurisdições, setores e entidades. Além disso, podem variar dentro de uma mesma entidade (por exemplo, podem depender da classe do destinatário da transferência ou do terceiro beneficiário ou </w:t>
      </w:r>
      <w:r>
        <w:rPr>
          <w:rFonts w:ascii="Calibri" w:hAnsi="Calibri" w:cs="Calibri"/>
          <w:sz w:val="24"/>
          <w:szCs w:val="24"/>
        </w:rPr>
        <w:lastRenderedPageBreak/>
        <w:t>da natureza dos bens ou serviços prometidos). A entidade deve considerar essas práticas e processos ao determinar se e quando um acordo com o destinatário da transferência cria direitos e obrigações exequíveis.</w:t>
      </w:r>
    </w:p>
    <w:p w14:paraId="766CDBFE"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14.</w:t>
      </w:r>
      <w:r>
        <w:rPr>
          <w:rFonts w:ascii="Calibri" w:hAnsi="Calibri" w:cs="Calibri"/>
          <w:sz w:val="24"/>
          <w:szCs w:val="24"/>
        </w:rPr>
        <w:tab/>
        <w:t>O acordo vinculante tem ao menos uma obrigação, porque sua exequibilidade responsabiliza a entidade pela satisfação das obrigações nele estabelecidas e essa responsabilização impõe alternativa pouco ou não realista de que a entidade evite a transferência de recursos.</w:t>
      </w:r>
    </w:p>
    <w:p w14:paraId="4940A997"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15.</w:t>
      </w:r>
      <w:r>
        <w:rPr>
          <w:rFonts w:ascii="Calibri" w:hAnsi="Calibri" w:cs="Calibri"/>
          <w:sz w:val="24"/>
          <w:szCs w:val="24"/>
        </w:rPr>
        <w:tab/>
        <w:t>Enquanto o acordo vinculante estiver integralmente não satisfeito, a entidade não deve reconhecer nenhum ativo, passivo ou despesa a ele associados. O reconhecimento de ativos, passivos e despesas tem início quando uma das partes do acordo vinculante começa a satisfazer suas obrigações nos termos do acordo.</w:t>
      </w:r>
    </w:p>
    <w:p w14:paraId="50B6EBAF"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16.</w:t>
      </w:r>
      <w:r>
        <w:rPr>
          <w:rFonts w:ascii="Calibri" w:hAnsi="Calibri" w:cs="Calibri"/>
          <w:sz w:val="24"/>
          <w:szCs w:val="24"/>
        </w:rPr>
        <w:tab/>
        <w:t>O acordo vinculante está integralmente não satisfeito se ambos os critérios a seguir forem atendidos:</w:t>
      </w:r>
    </w:p>
    <w:p w14:paraId="147C6CA6" w14:textId="77777777" w:rsidR="000B1EC4" w:rsidRDefault="00057616">
      <w:pPr>
        <w:pStyle w:val="IASBNormalnpara"/>
        <w:spacing w:before="0" w:after="240"/>
        <w:ind w:left="1134" w:hanging="567"/>
        <w:rPr>
          <w:rFonts w:ascii="Calibri" w:hAnsi="Calibri" w:cs="Calibri"/>
          <w:sz w:val="24"/>
          <w:szCs w:val="24"/>
        </w:rPr>
      </w:pPr>
      <w:r>
        <w:rPr>
          <w:rFonts w:ascii="Calibri" w:hAnsi="Calibri" w:cs="Calibri"/>
          <w:sz w:val="24"/>
          <w:szCs w:val="24"/>
        </w:rPr>
        <w:t>(a)</w:t>
      </w:r>
      <w:r>
        <w:rPr>
          <w:rFonts w:ascii="Calibri" w:hAnsi="Calibri" w:cs="Calibri"/>
          <w:sz w:val="24"/>
          <w:szCs w:val="24"/>
        </w:rPr>
        <w:tab/>
        <w:t>A entidade ainda não pagou, e ainda não está obrigada a pagar, qualquer contraprestação ao destinatário da transferência pela satisfação, por este, de qualquer de suas obrigações de cumprimento no acordo vinculante; e</w:t>
      </w:r>
    </w:p>
    <w:p w14:paraId="0460C824" w14:textId="77777777" w:rsidR="000B1EC4" w:rsidRDefault="00057616">
      <w:pPr>
        <w:pStyle w:val="IASBNormalnpara"/>
        <w:spacing w:before="0" w:after="240"/>
        <w:ind w:left="1134" w:hanging="567"/>
        <w:rPr>
          <w:rFonts w:ascii="Calibri" w:hAnsi="Calibri" w:cs="Calibri"/>
          <w:sz w:val="24"/>
          <w:szCs w:val="24"/>
        </w:rPr>
      </w:pPr>
      <w:r>
        <w:rPr>
          <w:rFonts w:ascii="Calibri" w:hAnsi="Calibri" w:cs="Calibri"/>
          <w:sz w:val="24"/>
          <w:szCs w:val="24"/>
        </w:rPr>
        <w:t>(b)</w:t>
      </w:r>
      <w:r>
        <w:rPr>
          <w:rFonts w:ascii="Calibri" w:hAnsi="Calibri" w:cs="Calibri"/>
          <w:sz w:val="24"/>
          <w:szCs w:val="24"/>
        </w:rPr>
        <w:tab/>
        <w:t>O destinatário da transferência ainda não começou a satisfazer nenhuma de suas obrigações de cumprimento no acordo vinculante.</w:t>
      </w:r>
    </w:p>
    <w:p w14:paraId="0FEACA86" w14:textId="77777777" w:rsidR="000B1EC4" w:rsidRDefault="00057616">
      <w:pPr>
        <w:pStyle w:val="IASBNormalnpara"/>
        <w:spacing w:before="0" w:after="240"/>
        <w:ind w:left="567" w:firstLine="0"/>
        <w:rPr>
          <w:rFonts w:ascii="Calibri" w:hAnsi="Calibri" w:cs="Calibri"/>
          <w:sz w:val="24"/>
          <w:szCs w:val="24"/>
        </w:rPr>
      </w:pPr>
      <w:r>
        <w:rPr>
          <w:rFonts w:ascii="Calibri" w:hAnsi="Calibri" w:cs="Calibri"/>
          <w:sz w:val="24"/>
          <w:szCs w:val="24"/>
        </w:rPr>
        <w:t>Os itens A11–A29 fornecem orientações adicionais sobre exequibilidade e acordos vinculantes.</w:t>
      </w:r>
    </w:p>
    <w:p w14:paraId="3D68280F"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Combinação de Acordos Vinculantes</w:t>
      </w:r>
    </w:p>
    <w:p w14:paraId="5FD595D3"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17.</w:t>
      </w:r>
      <w:r>
        <w:rPr>
          <w:rFonts w:ascii="Calibri" w:hAnsi="Calibri" w:cs="Calibri"/>
          <w:sz w:val="24"/>
          <w:szCs w:val="24"/>
        </w:rPr>
        <w:tab/>
        <w:t>A entidade deve combinar dois ou mais acordos vinculantes celebrados ao mesmo tempo, ou em momento próximo, com o mesmo destinatário da transferência (ou com partes relacionadas do destinatário da transferência) e contabilizá-los como um único acordo vinculante se um ou mais dos critérios a seguir forem atendidos:</w:t>
      </w:r>
    </w:p>
    <w:p w14:paraId="1FE19958" w14:textId="77777777" w:rsidR="000B1EC4" w:rsidRDefault="00057616">
      <w:pPr>
        <w:pStyle w:val="IASBNormalnpara"/>
        <w:spacing w:before="0" w:after="240"/>
        <w:ind w:left="1134" w:hanging="567"/>
        <w:rPr>
          <w:rFonts w:ascii="Calibri" w:hAnsi="Calibri" w:cs="Calibri"/>
          <w:sz w:val="24"/>
          <w:szCs w:val="24"/>
        </w:rPr>
      </w:pPr>
      <w:r>
        <w:rPr>
          <w:rFonts w:ascii="Calibri" w:hAnsi="Calibri" w:cs="Calibri"/>
          <w:sz w:val="24"/>
          <w:szCs w:val="24"/>
        </w:rPr>
        <w:t>(a)</w:t>
      </w:r>
      <w:r>
        <w:rPr>
          <w:rFonts w:ascii="Calibri" w:hAnsi="Calibri" w:cs="Calibri"/>
          <w:sz w:val="24"/>
          <w:szCs w:val="24"/>
        </w:rPr>
        <w:tab/>
        <w:t>Os acordos vinculantes são negociados como um pacote com um único objetivo;</w:t>
      </w:r>
    </w:p>
    <w:p w14:paraId="2CC488B5" w14:textId="77777777" w:rsidR="000B1EC4" w:rsidRDefault="00057616">
      <w:pPr>
        <w:pStyle w:val="IASBNormalnpara"/>
        <w:spacing w:before="0" w:after="240"/>
        <w:ind w:left="1134" w:hanging="567"/>
        <w:rPr>
          <w:rFonts w:ascii="Calibri" w:hAnsi="Calibri" w:cs="Calibri"/>
          <w:sz w:val="24"/>
          <w:szCs w:val="24"/>
        </w:rPr>
      </w:pPr>
      <w:r>
        <w:rPr>
          <w:rFonts w:ascii="Calibri" w:hAnsi="Calibri" w:cs="Calibri"/>
          <w:sz w:val="24"/>
          <w:szCs w:val="24"/>
        </w:rPr>
        <w:t>(b)</w:t>
      </w:r>
      <w:r>
        <w:rPr>
          <w:rFonts w:ascii="Calibri" w:hAnsi="Calibri" w:cs="Calibri"/>
          <w:sz w:val="24"/>
          <w:szCs w:val="24"/>
        </w:rPr>
        <w:tab/>
        <w:t>O montante de recursos a ser transferido em um acordo vinculante depende da contraprestação ou do desempenho do outro acordo vinculante; ou</w:t>
      </w:r>
    </w:p>
    <w:p w14:paraId="0ABD4307" w14:textId="77777777" w:rsidR="000B1EC4" w:rsidRDefault="00057616">
      <w:pPr>
        <w:pStyle w:val="IASBNormalnpara"/>
        <w:spacing w:before="0" w:after="240"/>
        <w:ind w:left="1134" w:hanging="567"/>
        <w:rPr>
          <w:rFonts w:ascii="Calibri" w:hAnsi="Calibri" w:cs="Calibri"/>
          <w:sz w:val="24"/>
          <w:szCs w:val="24"/>
        </w:rPr>
      </w:pPr>
      <w:r>
        <w:rPr>
          <w:rFonts w:ascii="Calibri" w:hAnsi="Calibri" w:cs="Calibri"/>
          <w:sz w:val="24"/>
          <w:szCs w:val="24"/>
        </w:rPr>
        <w:t>(c)</w:t>
      </w:r>
      <w:r>
        <w:rPr>
          <w:rFonts w:ascii="Calibri" w:hAnsi="Calibri" w:cs="Calibri"/>
          <w:sz w:val="24"/>
          <w:szCs w:val="24"/>
        </w:rPr>
        <w:tab/>
        <w:t>As obrigações do destinatário da transferência nos acordos vinculantes (ou algumas de suas obrigações em cada um dos acordos vinculantes) constituem um único direito decorrente de transferência, de acordo com o item 21.</w:t>
      </w:r>
    </w:p>
    <w:p w14:paraId="19C10AA8"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lastRenderedPageBreak/>
        <w:t>Despesas de Transferência Decorrentes de Transações sem Acordos Vinculantes</w:t>
      </w:r>
    </w:p>
    <w:p w14:paraId="1DC2A1D4"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Reconhecimento</w:t>
      </w:r>
    </w:p>
    <w:p w14:paraId="4EC710D7" w14:textId="77777777" w:rsidR="000B1EC4" w:rsidRDefault="00057616">
      <w:pPr>
        <w:pStyle w:val="IASBNormalnpara"/>
        <w:spacing w:before="0" w:after="240"/>
        <w:ind w:left="567" w:hanging="567"/>
        <w:rPr>
          <w:rFonts w:ascii="Calibri" w:hAnsi="Calibri" w:cs="Calibri"/>
          <w:b/>
          <w:bCs/>
          <w:sz w:val="24"/>
          <w:szCs w:val="24"/>
        </w:rPr>
      </w:pPr>
      <w:r>
        <w:rPr>
          <w:rFonts w:ascii="Calibri" w:hAnsi="Calibri" w:cs="Calibri"/>
          <w:b/>
          <w:bCs/>
          <w:sz w:val="24"/>
          <w:szCs w:val="24"/>
        </w:rPr>
        <w:t>18.</w:t>
      </w:r>
      <w:r>
        <w:rPr>
          <w:rFonts w:ascii="Calibri" w:hAnsi="Calibri" w:cs="Calibri"/>
          <w:b/>
          <w:bCs/>
          <w:sz w:val="24"/>
          <w:szCs w:val="24"/>
        </w:rPr>
        <w:tab/>
        <w:t>Nas despesas de transferência sem acordos vinculantes, a entidade deve reconhecer as despesas da seguinte forma:</w:t>
      </w:r>
    </w:p>
    <w:p w14:paraId="45DDE53E" w14:textId="77777777" w:rsidR="000B1EC4" w:rsidRDefault="00057616">
      <w:pPr>
        <w:pStyle w:val="IASBNormalnpara"/>
        <w:spacing w:before="0" w:after="240"/>
        <w:ind w:left="1134" w:hanging="567"/>
        <w:rPr>
          <w:rFonts w:ascii="Calibri" w:hAnsi="Calibri" w:cs="Calibri"/>
          <w:b/>
          <w:bCs/>
          <w:sz w:val="24"/>
          <w:szCs w:val="24"/>
        </w:rPr>
      </w:pPr>
      <w:r>
        <w:rPr>
          <w:rFonts w:ascii="Calibri" w:hAnsi="Calibri" w:cs="Calibri"/>
          <w:b/>
          <w:bCs/>
          <w:sz w:val="24"/>
          <w:szCs w:val="24"/>
        </w:rPr>
        <w:t>(a)</w:t>
      </w:r>
      <w:r>
        <w:rPr>
          <w:rFonts w:ascii="Calibri" w:hAnsi="Calibri" w:cs="Calibri"/>
          <w:b/>
          <w:bCs/>
          <w:sz w:val="24"/>
          <w:szCs w:val="24"/>
        </w:rPr>
        <w:tab/>
      </w:r>
      <w:proofErr w:type="gramStart"/>
      <w:r>
        <w:rPr>
          <w:rFonts w:ascii="Calibri" w:hAnsi="Calibri" w:cs="Calibri"/>
          <w:b/>
          <w:bCs/>
          <w:sz w:val="24"/>
          <w:szCs w:val="24"/>
        </w:rPr>
        <w:t>no momento em que</w:t>
      </w:r>
      <w:proofErr w:type="gramEnd"/>
      <w:r>
        <w:rPr>
          <w:rFonts w:ascii="Calibri" w:hAnsi="Calibri" w:cs="Calibri"/>
          <w:b/>
          <w:bCs/>
          <w:sz w:val="24"/>
          <w:szCs w:val="24"/>
        </w:rPr>
        <w:t xml:space="preserve"> surge obrigação legal ou obrigação não legalmente vinculada de transferir recursos que resulte no reconhecimento de provisão de acordo com o item 22 da NBC TSP 03. Nesses casos, o reconhecimento da provisão resulta no reconhecimento de uma despesa e a transferência subsequente de recursos liquida a provisão reconhecida; ou</w:t>
      </w:r>
    </w:p>
    <w:p w14:paraId="6CB04CE5" w14:textId="77777777" w:rsidR="000B1EC4" w:rsidRDefault="00057616">
      <w:pPr>
        <w:pStyle w:val="IASBNormalnpara"/>
        <w:spacing w:before="0" w:after="240"/>
        <w:ind w:left="1134" w:hanging="567"/>
        <w:rPr>
          <w:rFonts w:ascii="Calibri" w:hAnsi="Calibri" w:cs="Calibri"/>
          <w:b/>
          <w:bCs/>
          <w:sz w:val="24"/>
          <w:szCs w:val="24"/>
        </w:rPr>
      </w:pPr>
      <w:r>
        <w:rPr>
          <w:rFonts w:ascii="Calibri" w:hAnsi="Calibri" w:cs="Calibri"/>
          <w:b/>
          <w:bCs/>
          <w:sz w:val="24"/>
          <w:szCs w:val="24"/>
        </w:rPr>
        <w:t>(b)</w:t>
      </w:r>
      <w:r>
        <w:rPr>
          <w:rFonts w:ascii="Calibri" w:hAnsi="Calibri" w:cs="Calibri"/>
          <w:b/>
          <w:bCs/>
          <w:sz w:val="24"/>
          <w:szCs w:val="24"/>
        </w:rPr>
        <w:tab/>
        <w:t xml:space="preserve">se não existir obrigação legal nem obrigação não legalmente vinculada de transferir recursos, quando a entidade deixar de controlar os recursos, o que normalmente ocorrerá na data em que os recursos são transferidos para o destinatário da transferência. Nesses casos, a entidade </w:t>
      </w:r>
      <w:proofErr w:type="spellStart"/>
      <w:r>
        <w:rPr>
          <w:rFonts w:ascii="Calibri" w:hAnsi="Calibri" w:cs="Calibri"/>
          <w:b/>
          <w:bCs/>
          <w:sz w:val="24"/>
          <w:szCs w:val="24"/>
        </w:rPr>
        <w:t>desreconhece</w:t>
      </w:r>
      <w:proofErr w:type="spellEnd"/>
      <w:r>
        <w:rPr>
          <w:rFonts w:ascii="Calibri" w:hAnsi="Calibri" w:cs="Calibri"/>
          <w:b/>
          <w:bCs/>
          <w:sz w:val="24"/>
          <w:szCs w:val="24"/>
        </w:rPr>
        <w:t xml:space="preserve"> os recursos que deixa de controlar de acordo com outras normas.</w:t>
      </w:r>
    </w:p>
    <w:p w14:paraId="4282D112" w14:textId="77777777" w:rsidR="000B1EC4" w:rsidRDefault="00057616">
      <w:pPr>
        <w:pStyle w:val="IASBNormalnpara"/>
        <w:spacing w:before="0" w:after="240"/>
        <w:ind w:left="567" w:firstLine="0"/>
        <w:rPr>
          <w:rFonts w:ascii="Calibri" w:hAnsi="Calibri" w:cs="Calibri"/>
          <w:b/>
          <w:bCs/>
          <w:sz w:val="24"/>
          <w:szCs w:val="24"/>
        </w:rPr>
      </w:pPr>
      <w:r>
        <w:rPr>
          <w:rFonts w:ascii="Calibri" w:hAnsi="Calibri" w:cs="Calibri"/>
          <w:b/>
          <w:bCs/>
          <w:sz w:val="24"/>
          <w:szCs w:val="24"/>
        </w:rPr>
        <w:t xml:space="preserve">O item A30 fornece orientações adicionais sobre o </w:t>
      </w:r>
      <w:proofErr w:type="spellStart"/>
      <w:r>
        <w:rPr>
          <w:rFonts w:ascii="Calibri" w:hAnsi="Calibri" w:cs="Calibri"/>
          <w:b/>
          <w:bCs/>
          <w:sz w:val="24"/>
          <w:szCs w:val="24"/>
        </w:rPr>
        <w:t>desreconhecimento</w:t>
      </w:r>
      <w:proofErr w:type="spellEnd"/>
      <w:r>
        <w:rPr>
          <w:rFonts w:ascii="Calibri" w:hAnsi="Calibri" w:cs="Calibri"/>
          <w:b/>
          <w:bCs/>
          <w:sz w:val="24"/>
          <w:szCs w:val="24"/>
        </w:rPr>
        <w:t xml:space="preserve"> dos recursos transferidos.</w:t>
      </w:r>
    </w:p>
    <w:p w14:paraId="2F9B7E53"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Mensuração</w:t>
      </w:r>
    </w:p>
    <w:p w14:paraId="7B4A075F" w14:textId="77777777" w:rsidR="000B1EC4" w:rsidRDefault="00057616">
      <w:pPr>
        <w:pStyle w:val="IASBNormalnpara"/>
        <w:spacing w:before="0" w:after="240"/>
        <w:ind w:left="567" w:hanging="567"/>
        <w:rPr>
          <w:rFonts w:ascii="Calibri" w:hAnsi="Calibri" w:cs="Calibri"/>
          <w:b/>
          <w:bCs/>
          <w:sz w:val="24"/>
          <w:szCs w:val="24"/>
        </w:rPr>
      </w:pPr>
      <w:r>
        <w:rPr>
          <w:rFonts w:ascii="Calibri" w:hAnsi="Calibri" w:cs="Calibri"/>
          <w:b/>
          <w:bCs/>
          <w:sz w:val="24"/>
          <w:szCs w:val="24"/>
        </w:rPr>
        <w:t>19.</w:t>
      </w:r>
      <w:r>
        <w:rPr>
          <w:rFonts w:ascii="Calibri" w:hAnsi="Calibri" w:cs="Calibri"/>
          <w:b/>
          <w:bCs/>
          <w:sz w:val="24"/>
          <w:szCs w:val="24"/>
        </w:rPr>
        <w:tab/>
        <w:t>Quando a provisão é reconhecida na situação descrita no item 18(a), ela é mensurada inicial e subsequentemente de acordo com os itens 44–72 da NBC TSP 03.</w:t>
      </w:r>
    </w:p>
    <w:p w14:paraId="6209C3D1" w14:textId="77777777" w:rsidR="000B1EC4" w:rsidRDefault="00057616">
      <w:pPr>
        <w:pStyle w:val="IASBNormalnpara"/>
        <w:spacing w:before="0" w:after="240"/>
        <w:ind w:left="567" w:hanging="567"/>
        <w:rPr>
          <w:rFonts w:ascii="Calibri" w:hAnsi="Calibri" w:cs="Calibri"/>
          <w:b/>
          <w:bCs/>
          <w:sz w:val="24"/>
          <w:szCs w:val="24"/>
        </w:rPr>
      </w:pPr>
      <w:r>
        <w:rPr>
          <w:rFonts w:ascii="Calibri" w:hAnsi="Calibri" w:cs="Calibri"/>
          <w:b/>
          <w:bCs/>
          <w:sz w:val="24"/>
          <w:szCs w:val="24"/>
        </w:rPr>
        <w:t>20.</w:t>
      </w:r>
      <w:r>
        <w:rPr>
          <w:rFonts w:ascii="Calibri" w:hAnsi="Calibri" w:cs="Calibri"/>
          <w:b/>
          <w:bCs/>
          <w:sz w:val="24"/>
          <w:szCs w:val="24"/>
        </w:rPr>
        <w:tab/>
        <w:t xml:space="preserve">Quando a entidade reconhece despesa </w:t>
      </w:r>
      <w:proofErr w:type="gramStart"/>
      <w:r>
        <w:rPr>
          <w:rFonts w:ascii="Calibri" w:hAnsi="Calibri" w:cs="Calibri"/>
          <w:b/>
          <w:bCs/>
          <w:sz w:val="24"/>
          <w:szCs w:val="24"/>
        </w:rPr>
        <w:t>no momento em que</w:t>
      </w:r>
      <w:proofErr w:type="gramEnd"/>
      <w:r>
        <w:rPr>
          <w:rFonts w:ascii="Calibri" w:hAnsi="Calibri" w:cs="Calibri"/>
          <w:b/>
          <w:bCs/>
          <w:sz w:val="24"/>
          <w:szCs w:val="24"/>
        </w:rPr>
        <w:t xml:space="preserve"> deixa de controlar os recursos, ela deve mensurar essa despesa pelo valor contábil dos recursos transferidos.</w:t>
      </w:r>
    </w:p>
    <w:p w14:paraId="2BAA0FF4"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Despesas de Transferência Decorrentes de Transações com Acordos Vinculantes</w:t>
      </w:r>
    </w:p>
    <w:p w14:paraId="3632D41D"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Identificação dos Direitos Decorrentes de Transferência</w:t>
      </w:r>
    </w:p>
    <w:p w14:paraId="57003985" w14:textId="77777777" w:rsidR="000B1EC4" w:rsidRDefault="00057616">
      <w:pPr>
        <w:pStyle w:val="IASBNormalnpara"/>
        <w:spacing w:before="0" w:after="240"/>
        <w:ind w:left="567" w:hanging="567"/>
        <w:rPr>
          <w:rFonts w:ascii="Calibri" w:hAnsi="Calibri" w:cs="Calibri"/>
          <w:b/>
          <w:bCs/>
          <w:sz w:val="24"/>
          <w:szCs w:val="24"/>
        </w:rPr>
      </w:pPr>
      <w:r>
        <w:rPr>
          <w:rFonts w:ascii="Calibri" w:hAnsi="Calibri" w:cs="Calibri"/>
          <w:b/>
          <w:bCs/>
          <w:sz w:val="24"/>
          <w:szCs w:val="24"/>
        </w:rPr>
        <w:t>21.</w:t>
      </w:r>
      <w:r>
        <w:rPr>
          <w:rFonts w:ascii="Calibri" w:hAnsi="Calibri" w:cs="Calibri"/>
          <w:b/>
          <w:bCs/>
          <w:sz w:val="24"/>
          <w:szCs w:val="24"/>
        </w:rPr>
        <w:tab/>
        <w:t>No início do acordo vinculante para transferência de recursos, a entidade deve considerar seus direitos no acordo vinculante e identificar cada direito decorrente de transferência distinto como:</w:t>
      </w:r>
    </w:p>
    <w:p w14:paraId="3EAB8D1E" w14:textId="77777777" w:rsidR="000B1EC4" w:rsidRDefault="00057616">
      <w:pPr>
        <w:pStyle w:val="IASBNormalnpara"/>
        <w:spacing w:before="0" w:after="240"/>
        <w:ind w:left="1134" w:hanging="567"/>
        <w:rPr>
          <w:rFonts w:ascii="Calibri" w:hAnsi="Calibri" w:cs="Calibri"/>
          <w:b/>
          <w:bCs/>
          <w:sz w:val="24"/>
          <w:szCs w:val="24"/>
        </w:rPr>
      </w:pPr>
      <w:r>
        <w:rPr>
          <w:rFonts w:ascii="Calibri" w:hAnsi="Calibri" w:cs="Calibri"/>
          <w:b/>
          <w:bCs/>
          <w:sz w:val="24"/>
          <w:szCs w:val="24"/>
        </w:rPr>
        <w:t>(a)</w:t>
      </w:r>
      <w:r>
        <w:rPr>
          <w:rFonts w:ascii="Calibri" w:hAnsi="Calibri" w:cs="Calibri"/>
          <w:b/>
          <w:bCs/>
          <w:sz w:val="24"/>
          <w:szCs w:val="24"/>
        </w:rPr>
        <w:tab/>
        <w:t>o direito de que o destinatário da transferência satisfaça uma obrigação de forma independente da satisfação das demais obrigações do acordo vinculante; ou</w:t>
      </w:r>
    </w:p>
    <w:p w14:paraId="56517DA8" w14:textId="77777777" w:rsidR="000B1EC4" w:rsidRDefault="00057616">
      <w:pPr>
        <w:pStyle w:val="IASBNormalnpara"/>
        <w:spacing w:before="0" w:after="240"/>
        <w:ind w:left="1134" w:hanging="567"/>
        <w:rPr>
          <w:rFonts w:ascii="Calibri" w:hAnsi="Calibri" w:cs="Calibri"/>
          <w:b/>
          <w:bCs/>
          <w:sz w:val="24"/>
          <w:szCs w:val="24"/>
        </w:rPr>
      </w:pPr>
      <w:r>
        <w:rPr>
          <w:rFonts w:ascii="Calibri" w:hAnsi="Calibri" w:cs="Calibri"/>
          <w:b/>
          <w:bCs/>
          <w:sz w:val="24"/>
          <w:szCs w:val="24"/>
        </w:rPr>
        <w:t>(b)</w:t>
      </w:r>
      <w:r>
        <w:rPr>
          <w:rFonts w:ascii="Calibri" w:hAnsi="Calibri" w:cs="Calibri"/>
          <w:b/>
          <w:bCs/>
          <w:sz w:val="24"/>
          <w:szCs w:val="24"/>
        </w:rPr>
        <w:tab/>
        <w:t>uma série de direitos de que o destinatário da transferência satisfaça sua obrigação, que tenham características e riscos substancialmente iguais e que possuem o mesmo padrão de satisfação.</w:t>
      </w:r>
    </w:p>
    <w:p w14:paraId="0F4E73FF" w14:textId="77777777" w:rsidR="000B1EC4" w:rsidRDefault="00057616">
      <w:pPr>
        <w:pStyle w:val="IASBNormalnpara"/>
        <w:spacing w:before="0" w:after="240"/>
        <w:ind w:left="567" w:firstLine="0"/>
        <w:rPr>
          <w:rFonts w:ascii="Calibri" w:hAnsi="Calibri" w:cs="Calibri"/>
          <w:b/>
          <w:bCs/>
          <w:sz w:val="24"/>
          <w:szCs w:val="24"/>
        </w:rPr>
      </w:pPr>
      <w:r>
        <w:rPr>
          <w:rFonts w:ascii="Calibri" w:hAnsi="Calibri" w:cs="Calibri"/>
          <w:b/>
          <w:bCs/>
          <w:sz w:val="24"/>
          <w:szCs w:val="24"/>
        </w:rPr>
        <w:t>A31–A34 fornecem orientações adicionais sobre a identificação dos direitos decorrentes de transferência.</w:t>
      </w:r>
    </w:p>
    <w:p w14:paraId="4FC4A892"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lastRenderedPageBreak/>
        <w:t>Reconhecimento das Despesas de Transferência</w:t>
      </w:r>
    </w:p>
    <w:p w14:paraId="4683C5F3"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22.</w:t>
      </w:r>
      <w:r>
        <w:rPr>
          <w:rFonts w:ascii="Calibri" w:hAnsi="Calibri" w:cs="Calibri"/>
          <w:sz w:val="24"/>
          <w:szCs w:val="24"/>
        </w:rPr>
        <w:tab/>
        <w:t xml:space="preserve">Quando (ou à medida que) a entidade transfere recursos conforme o acordo vinculante antes de o destinatário da transferência cumprir suas obrigações, os recursos transferidos são </w:t>
      </w:r>
      <w:proofErr w:type="spellStart"/>
      <w:r>
        <w:rPr>
          <w:rFonts w:ascii="Calibri" w:hAnsi="Calibri" w:cs="Calibri"/>
          <w:sz w:val="24"/>
          <w:szCs w:val="24"/>
        </w:rPr>
        <w:t>desreconhecidos</w:t>
      </w:r>
      <w:proofErr w:type="spellEnd"/>
      <w:r>
        <w:rPr>
          <w:rFonts w:ascii="Calibri" w:hAnsi="Calibri" w:cs="Calibri"/>
          <w:sz w:val="24"/>
          <w:szCs w:val="24"/>
        </w:rPr>
        <w:t xml:space="preserve"> e um ativo de direito decorrente de transferência é reconhecido pelos direitos de oriundos do acordo vinculante.</w:t>
      </w:r>
    </w:p>
    <w:p w14:paraId="484DDE1C" w14:textId="77777777" w:rsidR="000B1EC4" w:rsidRDefault="00057616">
      <w:pPr>
        <w:pStyle w:val="IASBNormalnpara"/>
        <w:spacing w:before="0" w:after="240"/>
        <w:ind w:left="567" w:firstLine="0"/>
        <w:rPr>
          <w:rFonts w:ascii="Calibri" w:hAnsi="Calibri" w:cs="Calibri"/>
          <w:sz w:val="24"/>
          <w:szCs w:val="24"/>
        </w:rPr>
      </w:pPr>
      <w:r>
        <w:rPr>
          <w:rFonts w:ascii="Calibri" w:hAnsi="Calibri" w:cs="Calibri"/>
          <w:sz w:val="24"/>
          <w:szCs w:val="24"/>
        </w:rPr>
        <w:t xml:space="preserve">O item A30 fornece orientações adicionais sobre o </w:t>
      </w:r>
      <w:proofErr w:type="spellStart"/>
      <w:r>
        <w:rPr>
          <w:rFonts w:ascii="Calibri" w:hAnsi="Calibri" w:cs="Calibri"/>
          <w:sz w:val="24"/>
          <w:szCs w:val="24"/>
        </w:rPr>
        <w:t>desreconhecimento</w:t>
      </w:r>
      <w:proofErr w:type="spellEnd"/>
      <w:r>
        <w:rPr>
          <w:rFonts w:ascii="Calibri" w:hAnsi="Calibri" w:cs="Calibri"/>
          <w:sz w:val="24"/>
          <w:szCs w:val="24"/>
        </w:rPr>
        <w:t xml:space="preserve"> dos recursos transferidos.</w:t>
      </w:r>
    </w:p>
    <w:p w14:paraId="6E4EA20C"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23.</w:t>
      </w:r>
      <w:r>
        <w:rPr>
          <w:rFonts w:ascii="Calibri" w:hAnsi="Calibri" w:cs="Calibri"/>
          <w:sz w:val="24"/>
          <w:szCs w:val="24"/>
        </w:rPr>
        <w:tab/>
        <w:t>Por outro lado, quando (ou à medida que) o destinatário da transferência satisfaz suas obrigações no acordo vinculante antes de a entidade transferir recursos, o acordo dá origem a uma obrigação de transferência para a entidade. A existência da obrigação de transferência resulta no reconhecimento de um passivo de obrigação de transferência. O passivo de obrigação de transferência também é reconhecido quando for provável que exista obrigação presente de transferir contraprestação variável (ver itens 35–37).</w:t>
      </w:r>
    </w:p>
    <w:p w14:paraId="59ABAA4F" w14:textId="77777777" w:rsidR="000B1EC4" w:rsidRDefault="00057616">
      <w:pPr>
        <w:pStyle w:val="IASBNormalnpara"/>
        <w:spacing w:before="0" w:after="240"/>
        <w:ind w:left="567" w:hanging="567"/>
        <w:rPr>
          <w:rFonts w:ascii="Calibri" w:hAnsi="Calibri" w:cs="Calibri"/>
          <w:b/>
          <w:bCs/>
          <w:sz w:val="24"/>
          <w:szCs w:val="24"/>
        </w:rPr>
      </w:pPr>
      <w:r>
        <w:rPr>
          <w:rFonts w:ascii="Calibri" w:hAnsi="Calibri" w:cs="Calibri"/>
          <w:b/>
          <w:bCs/>
          <w:sz w:val="24"/>
          <w:szCs w:val="24"/>
        </w:rPr>
        <w:t>24.</w:t>
      </w:r>
      <w:r>
        <w:rPr>
          <w:rFonts w:ascii="Calibri" w:hAnsi="Calibri" w:cs="Calibri"/>
          <w:b/>
          <w:bCs/>
          <w:sz w:val="24"/>
          <w:szCs w:val="24"/>
        </w:rPr>
        <w:tab/>
        <w:t>Nas despesas de transferência com acordos vinculantes, a entidade deve reconhecer as despesas:</w:t>
      </w:r>
    </w:p>
    <w:p w14:paraId="29B16D98" w14:textId="77777777" w:rsidR="000B1EC4" w:rsidRDefault="00057616">
      <w:pPr>
        <w:pStyle w:val="IASBNormalnpara"/>
        <w:spacing w:before="0" w:after="240"/>
        <w:ind w:left="1134" w:hanging="567"/>
        <w:rPr>
          <w:rFonts w:ascii="Calibri" w:hAnsi="Calibri" w:cs="Calibri"/>
          <w:b/>
          <w:bCs/>
          <w:sz w:val="24"/>
          <w:szCs w:val="24"/>
        </w:rPr>
      </w:pPr>
      <w:r>
        <w:rPr>
          <w:rFonts w:ascii="Calibri" w:hAnsi="Calibri" w:cs="Calibri"/>
          <w:b/>
          <w:bCs/>
          <w:sz w:val="24"/>
          <w:szCs w:val="24"/>
        </w:rPr>
        <w:t>(a)</w:t>
      </w:r>
      <w:r>
        <w:rPr>
          <w:rFonts w:ascii="Calibri" w:hAnsi="Calibri" w:cs="Calibri"/>
          <w:b/>
          <w:bCs/>
          <w:sz w:val="24"/>
          <w:szCs w:val="24"/>
        </w:rPr>
        <w:tab/>
        <w:t xml:space="preserve">Quando (ou à medida que) um ativo de direito decorrente de transferência é </w:t>
      </w:r>
      <w:proofErr w:type="spellStart"/>
      <w:r>
        <w:rPr>
          <w:rFonts w:ascii="Calibri" w:hAnsi="Calibri" w:cs="Calibri"/>
          <w:b/>
          <w:bCs/>
          <w:sz w:val="24"/>
          <w:szCs w:val="24"/>
        </w:rPr>
        <w:t>desreconhecido</w:t>
      </w:r>
      <w:proofErr w:type="spellEnd"/>
      <w:r>
        <w:rPr>
          <w:rFonts w:ascii="Calibri" w:hAnsi="Calibri" w:cs="Calibri"/>
          <w:b/>
          <w:bCs/>
          <w:sz w:val="24"/>
          <w:szCs w:val="24"/>
        </w:rPr>
        <w:t>; ou</w:t>
      </w:r>
    </w:p>
    <w:p w14:paraId="16C63258" w14:textId="77777777" w:rsidR="000B1EC4" w:rsidRDefault="00057616">
      <w:pPr>
        <w:pStyle w:val="IASBNormalnpara"/>
        <w:spacing w:before="0" w:after="240"/>
        <w:ind w:left="1134" w:hanging="567"/>
        <w:rPr>
          <w:rFonts w:ascii="Calibri" w:hAnsi="Calibri" w:cs="Calibri"/>
          <w:b/>
          <w:bCs/>
          <w:sz w:val="24"/>
          <w:szCs w:val="24"/>
        </w:rPr>
      </w:pPr>
      <w:r>
        <w:rPr>
          <w:rFonts w:ascii="Calibri" w:hAnsi="Calibri" w:cs="Calibri"/>
          <w:b/>
          <w:bCs/>
          <w:sz w:val="24"/>
          <w:szCs w:val="24"/>
        </w:rPr>
        <w:t>(b)</w:t>
      </w:r>
      <w:r>
        <w:rPr>
          <w:rFonts w:ascii="Calibri" w:hAnsi="Calibri" w:cs="Calibri"/>
          <w:b/>
          <w:bCs/>
          <w:sz w:val="24"/>
          <w:szCs w:val="24"/>
        </w:rPr>
        <w:tab/>
        <w:t>Quando um passivo de obrigação de transferência é reconhecido.</w:t>
      </w:r>
    </w:p>
    <w:p w14:paraId="4C861071"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25.</w:t>
      </w:r>
      <w:r>
        <w:rPr>
          <w:rFonts w:ascii="Calibri" w:hAnsi="Calibri" w:cs="Calibri"/>
          <w:sz w:val="24"/>
          <w:szCs w:val="24"/>
        </w:rPr>
        <w:tab/>
        <w:t xml:space="preserve">O </w:t>
      </w:r>
      <w:proofErr w:type="spellStart"/>
      <w:r>
        <w:rPr>
          <w:rFonts w:ascii="Calibri" w:hAnsi="Calibri" w:cs="Calibri"/>
          <w:sz w:val="24"/>
          <w:szCs w:val="24"/>
        </w:rPr>
        <w:t>desreconhecimento</w:t>
      </w:r>
      <w:proofErr w:type="spellEnd"/>
      <w:r>
        <w:rPr>
          <w:rFonts w:ascii="Calibri" w:hAnsi="Calibri" w:cs="Calibri"/>
          <w:sz w:val="24"/>
          <w:szCs w:val="24"/>
        </w:rPr>
        <w:t xml:space="preserve"> do ativo de direito decorrente de transferência decorre da extinção dos direitos decorrentes de transferência nos termos do acordo vinculante. Para cada direito decorrente de transferência identificado no item 21, o direito decorrente de transferência é extinto quando (ou à medida que) a entidade deixa de ter direitos exequíveis nos termos do acordo vinculante.</w:t>
      </w:r>
    </w:p>
    <w:p w14:paraId="4E319AEA" w14:textId="77777777" w:rsidR="000B1EC4" w:rsidRDefault="00057616">
      <w:pPr>
        <w:pStyle w:val="IASBNormalnpara"/>
        <w:spacing w:before="0" w:after="240"/>
        <w:ind w:left="567" w:firstLine="0"/>
        <w:rPr>
          <w:rFonts w:ascii="Calibri" w:hAnsi="Calibri" w:cs="Calibri"/>
          <w:sz w:val="24"/>
          <w:szCs w:val="24"/>
        </w:rPr>
      </w:pPr>
      <w:r>
        <w:rPr>
          <w:rFonts w:ascii="Calibri" w:hAnsi="Calibri" w:cs="Calibri"/>
          <w:sz w:val="24"/>
          <w:szCs w:val="24"/>
        </w:rPr>
        <w:t>Os itens A35–A49 fornecem orientações adicionais sobre o reconhecimento das despesas de transferência.</w:t>
      </w:r>
    </w:p>
    <w:p w14:paraId="6010D102" w14:textId="77777777" w:rsidR="000B1EC4" w:rsidRDefault="00057616">
      <w:pPr>
        <w:pStyle w:val="IASBNormalnpara"/>
        <w:keepNext/>
        <w:spacing w:before="0" w:after="240"/>
        <w:ind w:left="0" w:firstLine="0"/>
        <w:rPr>
          <w:rFonts w:ascii="Calibri" w:hAnsi="Calibri" w:cs="Calibri"/>
          <w:b/>
          <w:bCs/>
          <w:sz w:val="24"/>
          <w:szCs w:val="24"/>
        </w:rPr>
      </w:pPr>
      <w:proofErr w:type="spellStart"/>
      <w:r>
        <w:rPr>
          <w:rFonts w:ascii="Calibri" w:hAnsi="Calibri" w:cs="Calibri"/>
          <w:b/>
          <w:bCs/>
          <w:sz w:val="24"/>
          <w:szCs w:val="24"/>
        </w:rPr>
        <w:t>Desreconhecimento</w:t>
      </w:r>
      <w:proofErr w:type="spellEnd"/>
      <w:r>
        <w:rPr>
          <w:rFonts w:ascii="Calibri" w:hAnsi="Calibri" w:cs="Calibri"/>
          <w:b/>
          <w:bCs/>
          <w:sz w:val="24"/>
          <w:szCs w:val="24"/>
        </w:rPr>
        <w:t xml:space="preserve"> do Ativo de Direito Decorrente de Transferência por Descumprimento do Acordo pelo Destinatário da Transferência</w:t>
      </w:r>
    </w:p>
    <w:p w14:paraId="002F16F1"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26.</w:t>
      </w:r>
      <w:r>
        <w:rPr>
          <w:rFonts w:ascii="Calibri" w:hAnsi="Calibri" w:cs="Calibri"/>
          <w:sz w:val="24"/>
          <w:szCs w:val="24"/>
        </w:rPr>
        <w:tab/>
        <w:t>Após o reconhecimento do ativo de direito decorrente de transferência pela entidade, o destinatário da transferência pode tornar-se incapaz de satisfazer suas obrigações decorrentes do acordo vinculante, ou deixar de estar disposto a fazê-lo. Quando a entidade tiver direito exequível e incondicional de receber caixa ou outros ativos financeiros, decorrente dos termos do acordo vinculante, do sistema jurídico e/ou de outras circunstâncias, ela deve baixar o ativo de direito decorrente de transferência e reconhecer um ativo financeiro. Após o reconhecimento, a entidade deve mensurar o ativo financeiro de acordo com a NBC TSP 31. (Ver o item 43 para as situações em que o ativo de direito decorrente de transferência ainda existe, mas está sujeito a redução ao valor recuperável.)</w:t>
      </w:r>
    </w:p>
    <w:p w14:paraId="298FCD88"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lastRenderedPageBreak/>
        <w:t>Modificações no Acordo Vinculante</w:t>
      </w:r>
    </w:p>
    <w:p w14:paraId="0CCC93CE"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27.</w:t>
      </w:r>
      <w:r>
        <w:rPr>
          <w:rFonts w:ascii="Calibri" w:hAnsi="Calibri" w:cs="Calibri"/>
          <w:sz w:val="24"/>
          <w:szCs w:val="24"/>
        </w:rPr>
        <w:tab/>
        <w:t>A modificação em acordo vinculante é a alteração dos direitos e das obrigações desse acordo aprovada pelas partes. Existe modificação quando as partes aprovam alterações que criam direitos e obrigações exequíveis ou que modificam os direitos e as obrigações exequíveis existentes. A modificação pode ser aprovada por escrito, por acordo verbal ou estar implícita nas práticas habituais da entidade. Caso as partes não tenham aprovado a modificação, a entidade deve continuar aplicando esta Norma ao acordo vinculante original até que a modificação seja aprovada.</w:t>
      </w:r>
    </w:p>
    <w:p w14:paraId="1F4F0CF2"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28.</w:t>
      </w:r>
      <w:r>
        <w:rPr>
          <w:rFonts w:ascii="Calibri" w:hAnsi="Calibri" w:cs="Calibri"/>
          <w:sz w:val="24"/>
          <w:szCs w:val="24"/>
        </w:rPr>
        <w:tab/>
        <w:t>A entidade deve contabilizar a modificação de acordo vinculante como acordo vinculante separado se ambas as condições a seguir estiverem presentes:</w:t>
      </w:r>
    </w:p>
    <w:p w14:paraId="36B061DA" w14:textId="77777777" w:rsidR="000B1EC4" w:rsidRDefault="00057616">
      <w:pPr>
        <w:pStyle w:val="IASBNormalnpara"/>
        <w:spacing w:before="0" w:after="240"/>
        <w:ind w:left="1134" w:hanging="567"/>
        <w:rPr>
          <w:rFonts w:ascii="Calibri" w:hAnsi="Calibri" w:cs="Calibri"/>
          <w:sz w:val="24"/>
          <w:szCs w:val="24"/>
        </w:rPr>
      </w:pPr>
      <w:r>
        <w:rPr>
          <w:rFonts w:ascii="Calibri" w:hAnsi="Calibri" w:cs="Calibri"/>
          <w:sz w:val="24"/>
          <w:szCs w:val="24"/>
        </w:rPr>
        <w:t>(a)</w:t>
      </w:r>
      <w:r>
        <w:rPr>
          <w:rFonts w:ascii="Calibri" w:hAnsi="Calibri" w:cs="Calibri"/>
          <w:sz w:val="24"/>
          <w:szCs w:val="24"/>
        </w:rPr>
        <w:tab/>
        <w:t>o escopo do acordo vinculante aumenta, conferindo à entidade um ou mais direitos decorrentes de transferência adicionais (ver itens A31–A34), em razão de o destinatário da transferência assumir uma ou mais obrigações adicionais, ou de haver acréscimo em uma ou mais obrigações existentes; e</w:t>
      </w:r>
    </w:p>
    <w:p w14:paraId="27A6BC0B" w14:textId="77777777" w:rsidR="000B1EC4" w:rsidRDefault="00057616">
      <w:pPr>
        <w:pStyle w:val="IASBNormalnpara"/>
        <w:spacing w:before="0" w:after="240"/>
        <w:ind w:left="1134" w:hanging="567"/>
        <w:rPr>
          <w:rFonts w:ascii="Calibri" w:hAnsi="Calibri" w:cs="Calibri"/>
          <w:sz w:val="24"/>
          <w:szCs w:val="24"/>
        </w:rPr>
      </w:pPr>
      <w:r>
        <w:rPr>
          <w:rFonts w:ascii="Calibri" w:hAnsi="Calibri" w:cs="Calibri"/>
          <w:sz w:val="24"/>
          <w:szCs w:val="24"/>
        </w:rPr>
        <w:t>(b)</w:t>
      </w:r>
      <w:r>
        <w:rPr>
          <w:rFonts w:ascii="Calibri" w:hAnsi="Calibri" w:cs="Calibri"/>
          <w:sz w:val="24"/>
          <w:szCs w:val="24"/>
        </w:rPr>
        <w:tab/>
        <w:t>a contraprestação da transferência aumenta em montante destinado a refletir o valor dos direitos decorrentes de transferência adicionais, compensando o destinatário da transferência pelas obrigações adicionais ou acrescidas assumidas.</w:t>
      </w:r>
    </w:p>
    <w:p w14:paraId="4288AF4A"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29.</w:t>
      </w:r>
      <w:r>
        <w:rPr>
          <w:rFonts w:ascii="Calibri" w:hAnsi="Calibri" w:cs="Calibri"/>
          <w:sz w:val="24"/>
          <w:szCs w:val="24"/>
        </w:rPr>
        <w:tab/>
        <w:t>Se a modificação não for contabilizada como um acordo vinculante separado de acordo com o item 28, a entidade deve contabilizá-la como parte integrante do acordo vinculante original. A entidade deve determinar a despesa de transferência acumulada a ser reconhecida na data da modificação pela revisão de suas estimativas da contraprestação da transferência e do montante da contraprestação da transferência alocado aos direitos decorrentes de transferência já extintos e aos ainda não extintos. A diferença entre a despesa de transferência acumulada determinada na data da modificação e a despesa de transferência acumulada anteriormente reconhecida deve ser reconhecida no resultado do período na data da modificação.</w:t>
      </w:r>
    </w:p>
    <w:p w14:paraId="10B973B1"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Mensuração</w:t>
      </w:r>
    </w:p>
    <w:p w14:paraId="3597FD8E" w14:textId="77777777" w:rsidR="000B1EC4" w:rsidRDefault="00057616">
      <w:pPr>
        <w:pStyle w:val="IASBNormalnpara"/>
        <w:spacing w:before="0" w:after="240"/>
        <w:ind w:left="567" w:hanging="567"/>
        <w:rPr>
          <w:rFonts w:ascii="Calibri" w:hAnsi="Calibri" w:cs="Calibri"/>
          <w:b/>
          <w:bCs/>
          <w:sz w:val="24"/>
          <w:szCs w:val="24"/>
        </w:rPr>
      </w:pPr>
      <w:r>
        <w:rPr>
          <w:rFonts w:ascii="Calibri" w:hAnsi="Calibri" w:cs="Calibri"/>
          <w:b/>
          <w:bCs/>
          <w:sz w:val="24"/>
          <w:szCs w:val="24"/>
        </w:rPr>
        <w:t>30.</w:t>
      </w:r>
      <w:r>
        <w:rPr>
          <w:rFonts w:ascii="Calibri" w:hAnsi="Calibri" w:cs="Calibri"/>
          <w:b/>
          <w:bCs/>
          <w:sz w:val="24"/>
          <w:szCs w:val="24"/>
        </w:rPr>
        <w:tab/>
        <w:t>A entidade deve considerar os termos do acordo vinculante para determinar a contraprestação da transferência. A contraprestação da transferência é o valor contábil total dos recursos que a entidade transferiu, ou está obrigada a transferir, ao destinatário da transferência de acordo com o acordo vinculante e inclui os efeitos da contraprestação variável (ver itens 35–37).</w:t>
      </w:r>
    </w:p>
    <w:p w14:paraId="22E70987" w14:textId="77777777" w:rsidR="000B1EC4" w:rsidRDefault="00057616">
      <w:pPr>
        <w:pStyle w:val="IASBNormalnpara"/>
        <w:spacing w:before="0" w:after="240"/>
        <w:ind w:left="567" w:hanging="567"/>
        <w:rPr>
          <w:rFonts w:ascii="Calibri" w:hAnsi="Calibri" w:cs="Calibri"/>
          <w:b/>
          <w:bCs/>
          <w:sz w:val="24"/>
          <w:szCs w:val="24"/>
        </w:rPr>
      </w:pPr>
      <w:r>
        <w:rPr>
          <w:rFonts w:ascii="Calibri" w:hAnsi="Calibri" w:cs="Calibri"/>
          <w:b/>
          <w:bCs/>
          <w:sz w:val="24"/>
          <w:szCs w:val="24"/>
        </w:rPr>
        <w:t>31.</w:t>
      </w:r>
      <w:r>
        <w:rPr>
          <w:rFonts w:ascii="Calibri" w:hAnsi="Calibri" w:cs="Calibri"/>
          <w:b/>
          <w:bCs/>
          <w:sz w:val="24"/>
          <w:szCs w:val="24"/>
        </w:rPr>
        <w:tab/>
        <w:t>Quando a entidade transfere recursos ao destinatário da transferência antes de este começar a satisfazer sua obrigação, a entidade deve, no reconhecimento, mensurar o ativo de direito decorrente de transferência resultante pelo valor contábil total dos recursos transferidos em conformidade com o acordo vinculante.</w:t>
      </w:r>
    </w:p>
    <w:p w14:paraId="14654AD3" w14:textId="77777777" w:rsidR="000B1EC4" w:rsidRDefault="00057616">
      <w:pPr>
        <w:pStyle w:val="IASBNormalnpara"/>
        <w:spacing w:before="0" w:after="240"/>
        <w:ind w:left="567" w:hanging="567"/>
        <w:rPr>
          <w:rFonts w:ascii="Calibri" w:hAnsi="Calibri" w:cs="Calibri"/>
          <w:b/>
          <w:bCs/>
          <w:sz w:val="24"/>
          <w:szCs w:val="24"/>
        </w:rPr>
      </w:pPr>
      <w:r>
        <w:rPr>
          <w:rFonts w:ascii="Calibri" w:hAnsi="Calibri" w:cs="Calibri"/>
          <w:b/>
          <w:bCs/>
          <w:sz w:val="24"/>
          <w:szCs w:val="24"/>
        </w:rPr>
        <w:lastRenderedPageBreak/>
        <w:t>32.</w:t>
      </w:r>
      <w:r>
        <w:rPr>
          <w:rFonts w:ascii="Calibri" w:hAnsi="Calibri" w:cs="Calibri"/>
          <w:b/>
          <w:bCs/>
          <w:sz w:val="24"/>
          <w:szCs w:val="24"/>
        </w:rPr>
        <w:tab/>
        <w:t>Quando a despesa de transferência é reconhecida em decorrência da extinção de um direito decorrente de transferência, essa despesa deve ser mensurada pelo montante da contraprestação da transferência alocado ao direito decorrente de transferência extinto, de acordo com o item 38.</w:t>
      </w:r>
    </w:p>
    <w:p w14:paraId="0CF43EC5" w14:textId="77777777" w:rsidR="000B1EC4" w:rsidRDefault="00057616">
      <w:pPr>
        <w:pStyle w:val="IASBNormalnpara"/>
        <w:spacing w:before="0" w:after="240"/>
        <w:ind w:left="567" w:hanging="567"/>
        <w:rPr>
          <w:rFonts w:ascii="Calibri" w:hAnsi="Calibri" w:cs="Calibri"/>
          <w:b/>
          <w:bCs/>
          <w:sz w:val="24"/>
          <w:szCs w:val="24"/>
        </w:rPr>
      </w:pPr>
      <w:r>
        <w:rPr>
          <w:rFonts w:ascii="Calibri" w:hAnsi="Calibri" w:cs="Calibri"/>
          <w:b/>
          <w:bCs/>
          <w:sz w:val="24"/>
          <w:szCs w:val="24"/>
        </w:rPr>
        <w:t>33.</w:t>
      </w:r>
      <w:r>
        <w:rPr>
          <w:rFonts w:ascii="Calibri" w:hAnsi="Calibri" w:cs="Calibri"/>
          <w:b/>
          <w:bCs/>
          <w:sz w:val="24"/>
          <w:szCs w:val="24"/>
        </w:rPr>
        <w:tab/>
        <w:t>Quando o destinatário da transferência tiver satisfeito suas obrigações de cumprimento e a entidade ainda não tiver transferido seus recursos, conforme exigido pelo acordo vinculante, a entidade deve mensurar o passivo de obrigação de transferência pelo valor contábil total dos recursos que está obrigada a transferir conforme o acordo vinculante.</w:t>
      </w:r>
    </w:p>
    <w:p w14:paraId="1118D54D"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34.</w:t>
      </w:r>
      <w:r>
        <w:rPr>
          <w:rFonts w:ascii="Calibri" w:hAnsi="Calibri" w:cs="Calibri"/>
          <w:sz w:val="24"/>
          <w:szCs w:val="24"/>
        </w:rPr>
        <w:tab/>
        <w:t>Para determinar a contraprestação da transferência, a entidade deve assumir que o destinatário da transferência satisfará suas obrigações conforme o acordo vinculante vigente e que este não será cancelado, renovado ou modificado.</w:t>
      </w:r>
    </w:p>
    <w:p w14:paraId="00BB9443"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Contraprestação Variável</w:t>
      </w:r>
    </w:p>
    <w:p w14:paraId="3733850A"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35.</w:t>
      </w:r>
      <w:r>
        <w:rPr>
          <w:rFonts w:ascii="Calibri" w:hAnsi="Calibri" w:cs="Calibri"/>
          <w:sz w:val="24"/>
          <w:szCs w:val="24"/>
        </w:rPr>
        <w:tab/>
        <w:t>Os recursos que devem ser transferidos em um acordo vinculante podem variar em função de itens como descontos, abatimentos, restituições, créditos, subsídios, incentivos, bônus por desempenho, penalidades ou outros itens semelhantes. Os recursos também podem variar se a obrigação da entidade de transferi-los depender da ocorrência ou não ocorrência de um evento futuro. Por exemplo, um montante adicional de recursos pode tornar-se devido ao destinatário da transferência caso este satisfaça suas obrigações no acordo vinculante dentro de um período especificado.</w:t>
      </w:r>
    </w:p>
    <w:p w14:paraId="4E839B0A"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36.</w:t>
      </w:r>
      <w:r>
        <w:rPr>
          <w:rFonts w:ascii="Calibri" w:hAnsi="Calibri" w:cs="Calibri"/>
          <w:sz w:val="24"/>
          <w:szCs w:val="24"/>
        </w:rPr>
        <w:tab/>
        <w:t>Na transação de despesa de transferência, a contraprestação variável em acordo vinculante pode resultar em passivo de prazo ou de valor incertos, que atende à definição de provisão da NBC TSP 03.</w:t>
      </w:r>
    </w:p>
    <w:p w14:paraId="29DF9BBC"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37.</w:t>
      </w:r>
      <w:r>
        <w:rPr>
          <w:rFonts w:ascii="Calibri" w:hAnsi="Calibri" w:cs="Calibri"/>
          <w:sz w:val="24"/>
          <w:szCs w:val="24"/>
        </w:rPr>
        <w:tab/>
        <w:t>Se a entidade concluir que é provável a existência de obrigação presente relativa à transferência de contraprestação variável, ela deve estimar o montante da contraprestação variável, que será mensurado inicial e subsequentemente de acordo com os itens 44–72 da NBC TSP 03.</w:t>
      </w:r>
    </w:p>
    <w:p w14:paraId="0266519E"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Alocação da Contraprestação da Transferência aos Direitos Decorrentes de Transferência</w:t>
      </w:r>
    </w:p>
    <w:p w14:paraId="2A55D777" w14:textId="77777777" w:rsidR="000B1EC4" w:rsidRDefault="00057616">
      <w:pPr>
        <w:pStyle w:val="IASBNormalnpara"/>
        <w:spacing w:before="0" w:after="240"/>
        <w:ind w:left="567" w:hanging="567"/>
        <w:rPr>
          <w:rFonts w:ascii="Calibri" w:hAnsi="Calibri" w:cs="Calibri"/>
          <w:b/>
          <w:bCs/>
          <w:sz w:val="24"/>
          <w:szCs w:val="24"/>
        </w:rPr>
      </w:pPr>
      <w:r>
        <w:rPr>
          <w:rFonts w:ascii="Calibri" w:hAnsi="Calibri" w:cs="Calibri"/>
          <w:b/>
          <w:bCs/>
          <w:sz w:val="24"/>
          <w:szCs w:val="24"/>
        </w:rPr>
        <w:t>38.</w:t>
      </w:r>
      <w:r>
        <w:rPr>
          <w:rFonts w:ascii="Calibri" w:hAnsi="Calibri" w:cs="Calibri"/>
          <w:b/>
          <w:bCs/>
          <w:sz w:val="24"/>
          <w:szCs w:val="24"/>
        </w:rPr>
        <w:tab/>
        <w:t>Quando o acordo vinculante envolver múltiplos direitos decorrentes de transferência distintos, a contraprestação da transferência deve ser alocada a cada direito decorrente de transferência distinto de modo a refletir sua contraprestação individual, ajustada pelos montantes de contraprestação variável.</w:t>
      </w:r>
    </w:p>
    <w:p w14:paraId="3A37CB7F"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39.</w:t>
      </w:r>
      <w:r>
        <w:rPr>
          <w:rFonts w:ascii="Calibri" w:hAnsi="Calibri" w:cs="Calibri"/>
          <w:sz w:val="24"/>
          <w:szCs w:val="24"/>
        </w:rPr>
        <w:tab/>
        <w:t>A contraprestação variável estabelecida em acordo vinculante pode ser atribuível ao acordo como um todo ou a direitos decorrentes de transferência específicos. A entidade deve alocar a contraprestação variável da seguinte forma:</w:t>
      </w:r>
    </w:p>
    <w:p w14:paraId="09869AC3" w14:textId="77777777" w:rsidR="000B1EC4" w:rsidRDefault="00057616">
      <w:pPr>
        <w:pStyle w:val="IASBNormalnpara"/>
        <w:spacing w:before="0" w:after="240"/>
        <w:ind w:left="1134" w:hanging="567"/>
        <w:rPr>
          <w:rFonts w:ascii="Calibri" w:hAnsi="Calibri" w:cs="Calibri"/>
          <w:sz w:val="24"/>
          <w:szCs w:val="24"/>
        </w:rPr>
      </w:pPr>
      <w:r>
        <w:rPr>
          <w:rFonts w:ascii="Calibri" w:hAnsi="Calibri" w:cs="Calibri"/>
          <w:sz w:val="24"/>
          <w:szCs w:val="24"/>
        </w:rPr>
        <w:lastRenderedPageBreak/>
        <w:t>(a)</w:t>
      </w:r>
      <w:r>
        <w:rPr>
          <w:rFonts w:ascii="Calibri" w:hAnsi="Calibri" w:cs="Calibri"/>
          <w:sz w:val="24"/>
          <w:szCs w:val="24"/>
        </w:rPr>
        <w:tab/>
        <w:t>quando a contraprestação variável puder ser identificada com um ou mais direitos decorrentes de transferência, ela deve ser alocada a esses direitos decorrentes de transferência de acordo com o item 38; ou</w:t>
      </w:r>
    </w:p>
    <w:p w14:paraId="0BEBD33B" w14:textId="77777777" w:rsidR="000B1EC4" w:rsidRDefault="00057616">
      <w:pPr>
        <w:pStyle w:val="IASBNormalnpara"/>
        <w:spacing w:before="0" w:after="240"/>
        <w:ind w:left="1134" w:hanging="567"/>
        <w:rPr>
          <w:rFonts w:ascii="Calibri" w:hAnsi="Calibri" w:cs="Calibri"/>
          <w:sz w:val="24"/>
          <w:szCs w:val="24"/>
        </w:rPr>
      </w:pPr>
      <w:r>
        <w:rPr>
          <w:rFonts w:ascii="Calibri" w:hAnsi="Calibri" w:cs="Calibri"/>
          <w:sz w:val="24"/>
          <w:szCs w:val="24"/>
        </w:rPr>
        <w:t>(b)</w:t>
      </w:r>
      <w:r>
        <w:rPr>
          <w:rFonts w:ascii="Calibri" w:hAnsi="Calibri" w:cs="Calibri"/>
          <w:sz w:val="24"/>
          <w:szCs w:val="24"/>
        </w:rPr>
        <w:tab/>
        <w:t>quando a contraprestação variável não puder ser identificada com um ou mais direitos decorrentes de transferência, a entidade deve alocá-la a todos os direitos decorrentes de transferência proporcionalmente à sua participação na contraprestação da transferência (excluída a contraprestação variável que não possa ser identificada com um ou mais direitos decorrentes de transferência).⁴</w:t>
      </w:r>
    </w:p>
    <w:p w14:paraId="71132E3C" w14:textId="77777777" w:rsidR="000B1EC4" w:rsidRDefault="00057616">
      <w:pPr>
        <w:pStyle w:val="IASBNormalnpara"/>
        <w:spacing w:before="0" w:after="240"/>
        <w:ind w:left="567" w:firstLine="0"/>
        <w:rPr>
          <w:rFonts w:ascii="Calibri" w:hAnsi="Calibri" w:cs="Calibri"/>
          <w:sz w:val="24"/>
          <w:szCs w:val="24"/>
        </w:rPr>
      </w:pPr>
      <w:r>
        <w:rPr>
          <w:rFonts w:ascii="Calibri" w:hAnsi="Calibri" w:cs="Calibri"/>
          <w:sz w:val="24"/>
          <w:szCs w:val="24"/>
        </w:rPr>
        <w:t>Os itens A50–A51 fornecem orientações adicionais sobre a alocação da contraprestação da transferência aos direitos decorrentes de transferência.</w:t>
      </w:r>
    </w:p>
    <w:p w14:paraId="781C7D3F"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Alterações na Contraprestação da Transferência</w:t>
      </w:r>
    </w:p>
    <w:p w14:paraId="77FDC315"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40.</w:t>
      </w:r>
      <w:r>
        <w:rPr>
          <w:rFonts w:ascii="Calibri" w:hAnsi="Calibri" w:cs="Calibri"/>
          <w:sz w:val="24"/>
          <w:szCs w:val="24"/>
        </w:rPr>
        <w:tab/>
        <w:t>Após o início do acordo vinculante, a contraprestação da transferência pode ser alterada por diversos motivos, inclusive pela resolução de eventos incertos ou por outras mudanças nas circunstâncias que alterem o montante da contraprestação que a entidade está obrigada a pagar no acordo vinculante.</w:t>
      </w:r>
    </w:p>
    <w:p w14:paraId="5D31FDBB"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41.</w:t>
      </w:r>
      <w:r>
        <w:rPr>
          <w:rFonts w:ascii="Calibri" w:hAnsi="Calibri" w:cs="Calibri"/>
          <w:sz w:val="24"/>
          <w:szCs w:val="24"/>
        </w:rPr>
        <w:tab/>
        <w:t>Nas alterações da contraprestação da transferência que não decorram de modificação do acordo vinculante, a entidade deve alocar quaisquer alterações subsequentes da contraprestação da transferência aos ativos de direito decorrente de transferência e aos passivos de obrigação de transferência do acordo vinculante com base nos mesmos critérios utilizados no início do acordo. Os montantes alocados a direito decorrente de transferência extinto devem ser reconhecidos como despesa, ou como redução de despesa, no período em que a contraprestação da transferência for alterada.</w:t>
      </w:r>
    </w:p>
    <w:p w14:paraId="61DFC792"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42.</w:t>
      </w:r>
      <w:r>
        <w:rPr>
          <w:rFonts w:ascii="Calibri" w:hAnsi="Calibri" w:cs="Calibri"/>
          <w:sz w:val="24"/>
          <w:szCs w:val="24"/>
        </w:rPr>
        <w:tab/>
        <w:t>A entidade deve contabilizar a alteração da contraprestação da transferência decorrente de modificação do acordo vinculante de acordo com os itens 27–29.</w:t>
      </w:r>
    </w:p>
    <w:p w14:paraId="60F827AB"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Redução ao Valor Recuperável do Ativo de Direito Decorrente de Transferência</w:t>
      </w:r>
    </w:p>
    <w:p w14:paraId="2B16C016"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43.</w:t>
      </w:r>
      <w:r>
        <w:rPr>
          <w:rFonts w:ascii="Calibri" w:hAnsi="Calibri" w:cs="Calibri"/>
          <w:sz w:val="24"/>
          <w:szCs w:val="24"/>
        </w:rPr>
        <w:tab/>
        <w:t>Após o reconhecimento do ativo de direito decorrente de transferência pela entidade, o destinatário da transferência pode tornar-se incapaz de satisfazer suas obrigações decorrentes do acordo vinculante, ou deixar de estar disposto a fazê-lo. Quando isso ocorrer, e os termos do acordo vinculante, o sistema jurídico e/ou outras circunstâncias não respaldarem o reconhecimento de ativo financeiro conforme indicado no item 26, a entidade deve avaliar o ativo de direito decorrente de transferência quanto à redução ao valor recuperável, de acordo com a NBC TSP 09 – Redução ao Valor Recuperável de Ativo Não Gerador de Caixa.</w:t>
      </w:r>
    </w:p>
    <w:p w14:paraId="46098D95" w14:textId="77777777" w:rsidR="00057616" w:rsidRDefault="00057616" w:rsidP="00057616">
      <w:pPr>
        <w:pStyle w:val="IASBNormalnpara"/>
        <w:spacing w:before="0" w:after="240"/>
        <w:ind w:left="567" w:firstLine="0"/>
        <w:rPr>
          <w:rFonts w:ascii="Calibri" w:hAnsi="Calibri" w:cs="Calibri"/>
          <w:sz w:val="16"/>
          <w:szCs w:val="16"/>
        </w:rPr>
      </w:pPr>
      <w:r>
        <w:rPr>
          <w:rFonts w:ascii="Calibri" w:hAnsi="Calibri" w:cs="Calibri"/>
          <w:sz w:val="24"/>
          <w:szCs w:val="24"/>
          <w:vertAlign w:val="superscript"/>
        </w:rPr>
        <w:t>4</w:t>
      </w:r>
      <w:r>
        <w:rPr>
          <w:rFonts w:ascii="Calibri" w:hAnsi="Calibri" w:cs="Calibri"/>
          <w:sz w:val="16"/>
          <w:szCs w:val="16"/>
        </w:rPr>
        <w:t xml:space="preserve"> Esta orientação também se aplica à parcela específica da contraprestação variável que possa ou não ser identificada com um ou mais direitos decorrentes de transferência.</w:t>
      </w:r>
    </w:p>
    <w:p w14:paraId="22D3D43A"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lastRenderedPageBreak/>
        <w:t>Apresentação</w:t>
      </w:r>
    </w:p>
    <w:p w14:paraId="33816C72"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Exposição nas Demonstrações Contábeis</w:t>
      </w:r>
    </w:p>
    <w:p w14:paraId="072A0DCF"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44.</w:t>
      </w:r>
      <w:r>
        <w:rPr>
          <w:rFonts w:ascii="Calibri" w:hAnsi="Calibri" w:cs="Calibri"/>
          <w:sz w:val="24"/>
          <w:szCs w:val="24"/>
        </w:rPr>
        <w:tab/>
        <w:t>Nas despesas de transferência decorrentes de transações sem acordo vinculante, caso a entidade reconheça provisão em razão de obrigação legal ou de obrigação não legalmente vinculada de transferir recursos, a provisão resultante deve ser apresentada de acordo com as exigências de apresentação de provisões dos itens 88, 94 e 107 da NBC TSP 11.</w:t>
      </w:r>
    </w:p>
    <w:p w14:paraId="7360811B"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45.</w:t>
      </w:r>
      <w:r>
        <w:rPr>
          <w:rFonts w:ascii="Calibri" w:hAnsi="Calibri" w:cs="Calibri"/>
          <w:sz w:val="24"/>
          <w:szCs w:val="24"/>
        </w:rPr>
        <w:tab/>
        <w:t>Nas despesas de transferência decorrentes de transações com acordos vinculantes, quando apenas uma das partes do acordo vinculante tiver cumprido sua parte e as demais ainda não, a entidade deve apresentar o acordo vinculante no balanço patrimonial como ativo de direito decorrente de transferência ou como passivo de obrigação de transferência, com base nos itens 22–23.</w:t>
      </w:r>
    </w:p>
    <w:p w14:paraId="5845F0E1"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46.</w:t>
      </w:r>
      <w:r>
        <w:rPr>
          <w:rFonts w:ascii="Calibri" w:hAnsi="Calibri" w:cs="Calibri"/>
          <w:sz w:val="24"/>
          <w:szCs w:val="24"/>
        </w:rPr>
        <w:tab/>
        <w:t>A entidade deve apresentar o ativo de direito decorrente de transferência de acordo com as orientações de apresentação de ativos de pagamento antecipado dos itens 76, 90, 91 e 94 da NBC TSP 11.</w:t>
      </w:r>
    </w:p>
    <w:p w14:paraId="0E36BC30"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47.</w:t>
      </w:r>
      <w:r>
        <w:rPr>
          <w:rFonts w:ascii="Calibri" w:hAnsi="Calibri" w:cs="Calibri"/>
          <w:sz w:val="24"/>
          <w:szCs w:val="24"/>
        </w:rPr>
        <w:tab/>
        <w:t>Quando o ativo de direito decorrente de transferência tiver sido baixado por não cumprimento e um ativo financeiro tiver sido reconhecido (ver item 26), a entidade deve apresentar o ativo financeiro de acordo com as exigências da NBC TSP 30 – Instrumentos Financeiros: Apresentação.</w:t>
      </w:r>
    </w:p>
    <w:p w14:paraId="64DE25BF"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48.</w:t>
      </w:r>
      <w:r>
        <w:rPr>
          <w:rFonts w:ascii="Calibri" w:hAnsi="Calibri" w:cs="Calibri"/>
          <w:sz w:val="24"/>
          <w:szCs w:val="24"/>
        </w:rPr>
        <w:tab/>
        <w:t>A entidade deve apresentar o passivo de obrigação de transferência de acordo com as orientações de apresentação de transferências a pagar dos itens 80 e 88 da NBC TSP 11.</w:t>
      </w:r>
    </w:p>
    <w:p w14:paraId="395B05F3"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49.</w:t>
      </w:r>
      <w:r>
        <w:rPr>
          <w:rFonts w:ascii="Calibri" w:hAnsi="Calibri" w:cs="Calibri"/>
          <w:sz w:val="24"/>
          <w:szCs w:val="24"/>
        </w:rPr>
        <w:tab/>
        <w:t>Conforme exigido pelo item 109 da NBC TSP 11, a entidade deve apresentar, na demonstração do resultado ou em notas explicativas, uma análise das despesas utilizando classificação baseada na natureza das despesas ou em sua função dentro da entidade. O item 111 da NBC TSP 11 também exige a subclassificação das despesas para evidenciar os custos e as recuperações de custos de programas, atividades ou outros segmentos relevantes da entidade que reporta. No contexto das despesas de transferência, a análise por natureza resulta na apresentação das despesas de transferência em linha separada e a análise por função resulta na alocação dessas despesas aos diversos programas ou finalidades para os quais as transferências foram realizadas.</w:t>
      </w:r>
    </w:p>
    <w:p w14:paraId="740014E4" w14:textId="77777777" w:rsidR="000B1EC4" w:rsidRDefault="00057616">
      <w:pPr>
        <w:pStyle w:val="IASBNormalnpara"/>
        <w:spacing w:before="0" w:after="240"/>
        <w:ind w:left="567" w:firstLine="0"/>
        <w:rPr>
          <w:rFonts w:ascii="Calibri" w:hAnsi="Calibri" w:cs="Calibri"/>
          <w:sz w:val="24"/>
          <w:szCs w:val="24"/>
        </w:rPr>
      </w:pPr>
      <w:r>
        <w:rPr>
          <w:rFonts w:ascii="Calibri" w:hAnsi="Calibri" w:cs="Calibri"/>
          <w:sz w:val="24"/>
          <w:szCs w:val="24"/>
        </w:rPr>
        <w:t>O item A52 fornece orientações adicionais sobre a apresentação e a divulgação das despesas de transferência.</w:t>
      </w:r>
    </w:p>
    <w:p w14:paraId="422E51F5"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Divulgação</w:t>
      </w:r>
    </w:p>
    <w:p w14:paraId="060B09D6"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50.</w:t>
      </w:r>
      <w:r>
        <w:rPr>
          <w:rFonts w:ascii="Calibri" w:hAnsi="Calibri" w:cs="Calibri"/>
          <w:sz w:val="24"/>
          <w:szCs w:val="24"/>
        </w:rPr>
        <w:tab/>
        <w:t xml:space="preserve">O objetivo das exigências de divulgação é que a entidade divulgue informações suficientes para permitir que os usuários das demonstrações contábeis compreendam a natureza, o montante, o momento e a incerteza das despesas e dos fluxos de caixa decorrentes de transações de despesa de </w:t>
      </w:r>
      <w:r>
        <w:rPr>
          <w:rFonts w:ascii="Calibri" w:hAnsi="Calibri" w:cs="Calibri"/>
          <w:sz w:val="24"/>
          <w:szCs w:val="24"/>
        </w:rPr>
        <w:lastRenderedPageBreak/>
        <w:t>transferência. Para atingir esse objetivo, a entidade deve divulgar informações quantitativas e qualitativas sobre todos os aspectos a seguir:</w:t>
      </w:r>
    </w:p>
    <w:p w14:paraId="70850472" w14:textId="77777777" w:rsidR="000B1EC4" w:rsidRDefault="00057616">
      <w:pPr>
        <w:pStyle w:val="IASBNormalnpara"/>
        <w:spacing w:before="0" w:after="240"/>
        <w:ind w:left="1134" w:hanging="567"/>
        <w:rPr>
          <w:rFonts w:ascii="Calibri" w:hAnsi="Calibri" w:cs="Calibri"/>
          <w:sz w:val="24"/>
          <w:szCs w:val="24"/>
        </w:rPr>
      </w:pPr>
      <w:r>
        <w:rPr>
          <w:rFonts w:ascii="Calibri" w:hAnsi="Calibri" w:cs="Calibri"/>
          <w:sz w:val="24"/>
          <w:szCs w:val="24"/>
        </w:rPr>
        <w:t>(a)</w:t>
      </w:r>
      <w:r>
        <w:rPr>
          <w:rFonts w:ascii="Calibri" w:hAnsi="Calibri" w:cs="Calibri"/>
          <w:sz w:val="24"/>
          <w:szCs w:val="24"/>
        </w:rPr>
        <w:tab/>
        <w:t>Despesas de transferência e saldos relacionados (ver itens 53–58);</w:t>
      </w:r>
    </w:p>
    <w:p w14:paraId="3A0881F9" w14:textId="77777777" w:rsidR="000B1EC4" w:rsidRDefault="00057616">
      <w:pPr>
        <w:pStyle w:val="IASBNormalnpara"/>
        <w:spacing w:before="0" w:after="240"/>
        <w:ind w:left="1134" w:hanging="567"/>
        <w:rPr>
          <w:rFonts w:ascii="Calibri" w:hAnsi="Calibri" w:cs="Calibri"/>
          <w:sz w:val="24"/>
          <w:szCs w:val="24"/>
        </w:rPr>
      </w:pPr>
      <w:r>
        <w:rPr>
          <w:rFonts w:ascii="Calibri" w:hAnsi="Calibri" w:cs="Calibri"/>
          <w:sz w:val="24"/>
          <w:szCs w:val="24"/>
        </w:rPr>
        <w:t>(b)</w:t>
      </w:r>
      <w:r>
        <w:rPr>
          <w:rFonts w:ascii="Calibri" w:hAnsi="Calibri" w:cs="Calibri"/>
          <w:sz w:val="24"/>
          <w:szCs w:val="24"/>
        </w:rPr>
        <w:tab/>
        <w:t>Acordos de transferência (ver itens 59–60); e</w:t>
      </w:r>
    </w:p>
    <w:p w14:paraId="736F1155" w14:textId="77777777" w:rsidR="000B1EC4" w:rsidRDefault="00057616">
      <w:pPr>
        <w:pStyle w:val="IASBNormalnpara"/>
        <w:spacing w:before="0" w:after="240"/>
        <w:ind w:left="1134" w:hanging="567"/>
        <w:rPr>
          <w:rFonts w:ascii="Calibri" w:hAnsi="Calibri" w:cs="Calibri"/>
          <w:sz w:val="24"/>
          <w:szCs w:val="24"/>
        </w:rPr>
      </w:pPr>
      <w:r>
        <w:rPr>
          <w:rFonts w:ascii="Calibri" w:hAnsi="Calibri" w:cs="Calibri"/>
          <w:sz w:val="24"/>
          <w:szCs w:val="24"/>
        </w:rPr>
        <w:t>(c)</w:t>
      </w:r>
      <w:r>
        <w:rPr>
          <w:rFonts w:ascii="Calibri" w:hAnsi="Calibri" w:cs="Calibri"/>
          <w:sz w:val="24"/>
          <w:szCs w:val="24"/>
        </w:rPr>
        <w:tab/>
        <w:t>Os julgamentos significativos, bem como as alterações nesses julgamentos, efetuados no reconhecimento de ativos de direito decorrente de transferência oriundos de transações de despesa de transferência (ver item 61).</w:t>
      </w:r>
    </w:p>
    <w:p w14:paraId="06F8EEF5"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51.</w:t>
      </w:r>
      <w:r>
        <w:rPr>
          <w:rFonts w:ascii="Calibri" w:hAnsi="Calibri" w:cs="Calibri"/>
          <w:sz w:val="24"/>
          <w:szCs w:val="24"/>
        </w:rPr>
        <w:tab/>
        <w:t>Ao efetuar as divulgações exigidas por esta Norma, a entidade deve considerar as exigências dos itens 45–47 da NBC TSP 11, que fornecem orientações sobre materialidade e agregação. A exigência específica de divulgação desta Norma não precisa ser atendida se a informação não for material.</w:t>
      </w:r>
    </w:p>
    <w:p w14:paraId="16F3D0E6"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52.</w:t>
      </w:r>
      <w:r>
        <w:rPr>
          <w:rFonts w:ascii="Calibri" w:hAnsi="Calibri" w:cs="Calibri"/>
          <w:sz w:val="24"/>
          <w:szCs w:val="24"/>
        </w:rPr>
        <w:tab/>
        <w:t>A entidade deve considerar o nível de detalhamento necessário para atender ao objetivo da divulgação e o grau de ênfase a ser dado a cada uma das diversas exigências. A entidade deve agregar ou desagregar as divulgações de modo que informações úteis não sejam obscurecidas nem pela inclusão de grande volume de detalhes irrelevantes nem pela agregação de itens com características substancialmente diferentes.</w:t>
      </w:r>
    </w:p>
    <w:p w14:paraId="22A1BB42"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Despesas de Transferência e Saldos Relacionados</w:t>
      </w:r>
    </w:p>
    <w:p w14:paraId="31999331"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53.</w:t>
      </w:r>
      <w:r>
        <w:rPr>
          <w:rFonts w:ascii="Calibri" w:hAnsi="Calibri" w:cs="Calibri"/>
          <w:sz w:val="24"/>
          <w:szCs w:val="24"/>
        </w:rPr>
        <w:tab/>
        <w:t>Conforme indicado no item 49, a entidade deve incorporar as despesas de transferência na análise das despesas exigida pela NBC TSP 11. Essa análise pode ser apresentada na demonstração do resultado ou divulgada em notas explicativas.</w:t>
      </w:r>
    </w:p>
    <w:p w14:paraId="6BB08BD3" w14:textId="77777777" w:rsidR="000B1EC4" w:rsidRDefault="00057616">
      <w:pPr>
        <w:pStyle w:val="IASBNormalnpara"/>
        <w:spacing w:before="0" w:after="240"/>
        <w:ind w:left="567" w:firstLine="0"/>
        <w:rPr>
          <w:rFonts w:ascii="Calibri" w:hAnsi="Calibri" w:cs="Calibri"/>
          <w:sz w:val="24"/>
          <w:szCs w:val="24"/>
        </w:rPr>
      </w:pPr>
      <w:r>
        <w:rPr>
          <w:rFonts w:ascii="Calibri" w:hAnsi="Calibri" w:cs="Calibri"/>
          <w:sz w:val="24"/>
          <w:szCs w:val="24"/>
        </w:rPr>
        <w:t>O item A52 fornece orientações adicionais sobre a apresentação e a divulgação das despesas de transferência.</w:t>
      </w:r>
    </w:p>
    <w:p w14:paraId="6EF1135D"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54.</w:t>
      </w:r>
      <w:r>
        <w:rPr>
          <w:rFonts w:ascii="Calibri" w:hAnsi="Calibri" w:cs="Calibri"/>
          <w:sz w:val="24"/>
          <w:szCs w:val="24"/>
        </w:rPr>
        <w:tab/>
        <w:t>Além da análise das despesas, a entidade deve fornecer informações quantitativas e qualitativas sobre as transferências significativas decorrentes de transações com e sem acordos vinculantes, de modo a permitir que os usuários compreendam como os recursos da entidade são aplicados em seus programas, atividades e serviços.</w:t>
      </w:r>
    </w:p>
    <w:p w14:paraId="3180BE6A"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55.</w:t>
      </w:r>
      <w:r>
        <w:rPr>
          <w:rFonts w:ascii="Calibri" w:hAnsi="Calibri" w:cs="Calibri"/>
          <w:sz w:val="24"/>
          <w:szCs w:val="24"/>
        </w:rPr>
        <w:tab/>
        <w:t xml:space="preserve">Quando o ativo de direito decorrente de transferência tiver sido </w:t>
      </w:r>
      <w:proofErr w:type="spellStart"/>
      <w:r>
        <w:rPr>
          <w:rFonts w:ascii="Calibri" w:hAnsi="Calibri" w:cs="Calibri"/>
          <w:sz w:val="24"/>
          <w:szCs w:val="24"/>
        </w:rPr>
        <w:t>desreconhecido</w:t>
      </w:r>
      <w:proofErr w:type="spellEnd"/>
      <w:r>
        <w:rPr>
          <w:rFonts w:ascii="Calibri" w:hAnsi="Calibri" w:cs="Calibri"/>
          <w:sz w:val="24"/>
          <w:szCs w:val="24"/>
        </w:rPr>
        <w:t xml:space="preserve"> por não satisfação e um ativo financeiro tiver sido reconhecido (ver item 26), a entidade deve aplicar as exigências de divulgação para ativos financeiros da NBC TSP 33 – Instrumentos Financeiros: Divulgações.</w:t>
      </w:r>
    </w:p>
    <w:p w14:paraId="3315A414"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56.</w:t>
      </w:r>
      <w:r>
        <w:rPr>
          <w:rFonts w:ascii="Calibri" w:hAnsi="Calibri" w:cs="Calibri"/>
          <w:sz w:val="24"/>
          <w:szCs w:val="24"/>
        </w:rPr>
        <w:tab/>
        <w:t>O passivo de obrigação de transferência decorrente de obrigação de transferir caixa atende à definição de passivo financeiro mensurado ao custo amortizado. Consequentemente, as exigências de divulgação da NBC TSP 33 aplicáveis a contas a pagar aplicam-se a esses passivos.</w:t>
      </w:r>
    </w:p>
    <w:p w14:paraId="60445640"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lastRenderedPageBreak/>
        <w:t>57.</w:t>
      </w:r>
      <w:r>
        <w:rPr>
          <w:rFonts w:ascii="Calibri" w:hAnsi="Calibri" w:cs="Calibri"/>
          <w:sz w:val="24"/>
          <w:szCs w:val="24"/>
        </w:rPr>
        <w:tab/>
        <w:t>Caso seja reconhecido passivo relativo à contraprestação variável (ver itens 35–37), a entidade deve aplicar as exigências de divulgação aplicáveis a provisões da NBC TSP 03.</w:t>
      </w:r>
    </w:p>
    <w:p w14:paraId="38ADBDED"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58.</w:t>
      </w:r>
      <w:r>
        <w:rPr>
          <w:rFonts w:ascii="Calibri" w:hAnsi="Calibri" w:cs="Calibri"/>
          <w:sz w:val="24"/>
          <w:szCs w:val="24"/>
        </w:rPr>
        <w:tab/>
        <w:t>Nas transferências decorrentes de transações sem acordos vinculantes, quando for reconhecido passivo relativo a uma obrigação legal ou a uma obrigação não legalmente vinculada de transferir recursos, a entidade deve aplicar as exigências de divulgação aplicáveis a provisões da NBC TSP 03.</w:t>
      </w:r>
    </w:p>
    <w:p w14:paraId="7C5BFD6B"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Acordos de Transferência</w:t>
      </w:r>
    </w:p>
    <w:p w14:paraId="7015E748"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59.</w:t>
      </w:r>
      <w:r>
        <w:rPr>
          <w:rFonts w:ascii="Calibri" w:hAnsi="Calibri" w:cs="Calibri"/>
          <w:sz w:val="24"/>
          <w:szCs w:val="24"/>
        </w:rPr>
        <w:tab/>
        <w:t>A entidade deve divulgar informações sobre seus acordos vinculantes de transferência, inclusive a descrição:</w:t>
      </w:r>
    </w:p>
    <w:p w14:paraId="1356A746" w14:textId="77777777" w:rsidR="000B1EC4" w:rsidRDefault="00057616">
      <w:pPr>
        <w:pStyle w:val="IASBNormalnpara"/>
        <w:spacing w:before="0" w:after="240"/>
        <w:ind w:left="1134" w:hanging="567"/>
        <w:rPr>
          <w:rFonts w:ascii="Calibri" w:hAnsi="Calibri" w:cs="Calibri"/>
          <w:sz w:val="24"/>
          <w:szCs w:val="24"/>
        </w:rPr>
      </w:pPr>
      <w:r>
        <w:rPr>
          <w:rFonts w:ascii="Calibri" w:hAnsi="Calibri" w:cs="Calibri"/>
          <w:sz w:val="24"/>
          <w:szCs w:val="24"/>
        </w:rPr>
        <w:t>(a)</w:t>
      </w:r>
      <w:r>
        <w:rPr>
          <w:rFonts w:ascii="Calibri" w:hAnsi="Calibri" w:cs="Calibri"/>
          <w:sz w:val="24"/>
          <w:szCs w:val="24"/>
        </w:rPr>
        <w:tab/>
        <w:t>da finalidade dos acordos vinculantes de transferência;</w:t>
      </w:r>
    </w:p>
    <w:p w14:paraId="7E5BF47A" w14:textId="77777777" w:rsidR="000B1EC4" w:rsidRDefault="00057616">
      <w:pPr>
        <w:pStyle w:val="IASBNormalnpara"/>
        <w:spacing w:before="0" w:after="240"/>
        <w:ind w:left="1134" w:hanging="567"/>
        <w:rPr>
          <w:rFonts w:ascii="Calibri" w:hAnsi="Calibri" w:cs="Calibri"/>
          <w:sz w:val="24"/>
          <w:szCs w:val="24"/>
        </w:rPr>
      </w:pPr>
      <w:r>
        <w:rPr>
          <w:rFonts w:ascii="Calibri" w:hAnsi="Calibri" w:cs="Calibri"/>
          <w:sz w:val="24"/>
          <w:szCs w:val="24"/>
        </w:rPr>
        <w:t>(b)</w:t>
      </w:r>
      <w:r>
        <w:rPr>
          <w:rFonts w:ascii="Calibri" w:hAnsi="Calibri" w:cs="Calibri"/>
          <w:sz w:val="24"/>
          <w:szCs w:val="24"/>
        </w:rPr>
        <w:tab/>
        <w:t>dos principais termos de pagamento;</w:t>
      </w:r>
    </w:p>
    <w:p w14:paraId="28BEFA89" w14:textId="77777777" w:rsidR="000B1EC4" w:rsidRDefault="00057616">
      <w:pPr>
        <w:pStyle w:val="IASBNormalnpara"/>
        <w:spacing w:before="0" w:after="240"/>
        <w:ind w:left="1134" w:hanging="567"/>
        <w:rPr>
          <w:rFonts w:ascii="Calibri" w:hAnsi="Calibri" w:cs="Calibri"/>
          <w:sz w:val="24"/>
          <w:szCs w:val="24"/>
        </w:rPr>
      </w:pPr>
      <w:r>
        <w:rPr>
          <w:rFonts w:ascii="Calibri" w:hAnsi="Calibri" w:cs="Calibri"/>
          <w:sz w:val="24"/>
          <w:szCs w:val="24"/>
        </w:rPr>
        <w:t>(c)</w:t>
      </w:r>
      <w:r>
        <w:rPr>
          <w:rFonts w:ascii="Calibri" w:hAnsi="Calibri" w:cs="Calibri"/>
          <w:sz w:val="24"/>
          <w:szCs w:val="24"/>
        </w:rPr>
        <w:tab/>
        <w:t>da natureza dos recursos que foram ou serão transferidos; e</w:t>
      </w:r>
    </w:p>
    <w:p w14:paraId="419E2A51" w14:textId="77777777" w:rsidR="000B1EC4" w:rsidRDefault="00057616">
      <w:pPr>
        <w:pStyle w:val="IASBNormalnpara"/>
        <w:spacing w:before="0" w:after="240"/>
        <w:ind w:left="1134" w:hanging="567"/>
        <w:rPr>
          <w:rFonts w:ascii="Calibri" w:hAnsi="Calibri" w:cs="Calibri"/>
          <w:sz w:val="24"/>
          <w:szCs w:val="24"/>
        </w:rPr>
      </w:pPr>
      <w:r>
        <w:rPr>
          <w:rFonts w:ascii="Calibri" w:hAnsi="Calibri" w:cs="Calibri"/>
          <w:sz w:val="24"/>
          <w:szCs w:val="24"/>
        </w:rPr>
        <w:t>(d)</w:t>
      </w:r>
      <w:r>
        <w:rPr>
          <w:rFonts w:ascii="Calibri" w:hAnsi="Calibri" w:cs="Calibri"/>
          <w:sz w:val="24"/>
          <w:szCs w:val="24"/>
        </w:rPr>
        <w:tab/>
        <w:t>dos principais riscos e incertezas relacionados à realização dos ativos de direito decorrente de transferência.</w:t>
      </w:r>
    </w:p>
    <w:p w14:paraId="6BCA4961" w14:textId="77777777" w:rsidR="000B1EC4" w:rsidRDefault="00057616">
      <w:pPr>
        <w:pStyle w:val="IASBNormalnpara"/>
        <w:spacing w:before="0" w:after="240"/>
        <w:ind w:left="567" w:firstLine="0"/>
        <w:rPr>
          <w:rFonts w:ascii="Calibri" w:hAnsi="Calibri" w:cs="Calibri"/>
          <w:sz w:val="24"/>
          <w:szCs w:val="24"/>
        </w:rPr>
      </w:pPr>
      <w:r>
        <w:rPr>
          <w:rFonts w:ascii="Calibri" w:hAnsi="Calibri" w:cs="Calibri"/>
          <w:sz w:val="24"/>
          <w:szCs w:val="24"/>
        </w:rPr>
        <w:t>As informações acima podem ser agregadas para acordos vinculantes de natureza semelhante.</w:t>
      </w:r>
    </w:p>
    <w:p w14:paraId="4A6DF3EA"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60.</w:t>
      </w:r>
      <w:r>
        <w:rPr>
          <w:rFonts w:ascii="Calibri" w:hAnsi="Calibri" w:cs="Calibri"/>
          <w:sz w:val="24"/>
          <w:szCs w:val="24"/>
        </w:rPr>
        <w:tab/>
        <w:t>A entidade pode celebrar acordos de transferência que não constituam acordos vinculantes. Para esses acordos, a entidade deve divulgar:</w:t>
      </w:r>
    </w:p>
    <w:p w14:paraId="77334493" w14:textId="77777777" w:rsidR="000B1EC4" w:rsidRDefault="00057616">
      <w:pPr>
        <w:pStyle w:val="IASBNormalnpara"/>
        <w:spacing w:before="0" w:after="240"/>
        <w:ind w:left="1134" w:hanging="567"/>
        <w:rPr>
          <w:rFonts w:ascii="Calibri" w:hAnsi="Calibri" w:cs="Calibri"/>
          <w:sz w:val="24"/>
          <w:szCs w:val="24"/>
        </w:rPr>
      </w:pPr>
      <w:r>
        <w:rPr>
          <w:rFonts w:ascii="Calibri" w:hAnsi="Calibri" w:cs="Calibri"/>
          <w:sz w:val="24"/>
          <w:szCs w:val="24"/>
        </w:rPr>
        <w:t>(a)</w:t>
      </w:r>
      <w:r>
        <w:rPr>
          <w:rFonts w:ascii="Calibri" w:hAnsi="Calibri" w:cs="Calibri"/>
          <w:sz w:val="24"/>
          <w:szCs w:val="24"/>
        </w:rPr>
        <w:tab/>
        <w:t>a finalidade dos acordos de transferência;</w:t>
      </w:r>
    </w:p>
    <w:p w14:paraId="04DAC32D" w14:textId="77777777" w:rsidR="000B1EC4" w:rsidRDefault="00057616">
      <w:pPr>
        <w:pStyle w:val="IASBNormalnpara"/>
        <w:spacing w:before="0" w:after="240"/>
        <w:ind w:left="1134" w:hanging="567"/>
        <w:rPr>
          <w:rFonts w:ascii="Calibri" w:hAnsi="Calibri" w:cs="Calibri"/>
          <w:sz w:val="24"/>
          <w:szCs w:val="24"/>
        </w:rPr>
      </w:pPr>
      <w:r>
        <w:rPr>
          <w:rFonts w:ascii="Calibri" w:hAnsi="Calibri" w:cs="Calibri"/>
          <w:sz w:val="24"/>
          <w:szCs w:val="24"/>
        </w:rPr>
        <w:t>(b)</w:t>
      </w:r>
      <w:r>
        <w:rPr>
          <w:rFonts w:ascii="Calibri" w:hAnsi="Calibri" w:cs="Calibri"/>
          <w:sz w:val="24"/>
          <w:szCs w:val="24"/>
        </w:rPr>
        <w:tab/>
        <w:t>os principais termos de pagamento, se houver; e</w:t>
      </w:r>
    </w:p>
    <w:p w14:paraId="577E4DEB" w14:textId="77777777" w:rsidR="000B1EC4" w:rsidRDefault="00057616">
      <w:pPr>
        <w:pStyle w:val="IASBNormalnpara"/>
        <w:spacing w:before="0" w:after="240"/>
        <w:ind w:left="1134" w:hanging="567"/>
        <w:rPr>
          <w:rFonts w:ascii="Calibri" w:hAnsi="Calibri" w:cs="Calibri"/>
          <w:sz w:val="24"/>
          <w:szCs w:val="24"/>
        </w:rPr>
      </w:pPr>
      <w:r>
        <w:rPr>
          <w:rFonts w:ascii="Calibri" w:hAnsi="Calibri" w:cs="Calibri"/>
          <w:sz w:val="24"/>
          <w:szCs w:val="24"/>
        </w:rPr>
        <w:t>(c)</w:t>
      </w:r>
      <w:r>
        <w:rPr>
          <w:rFonts w:ascii="Calibri" w:hAnsi="Calibri" w:cs="Calibri"/>
          <w:sz w:val="24"/>
          <w:szCs w:val="24"/>
        </w:rPr>
        <w:tab/>
        <w:t>a natureza dos recursos que foram ou serão transferidos.</w:t>
      </w:r>
    </w:p>
    <w:p w14:paraId="23800F88" w14:textId="77777777" w:rsidR="000B1EC4" w:rsidRDefault="00057616">
      <w:pPr>
        <w:pStyle w:val="IASBNormalnpara"/>
        <w:spacing w:before="0" w:after="240"/>
        <w:ind w:left="567" w:firstLine="0"/>
        <w:rPr>
          <w:rFonts w:ascii="Calibri" w:hAnsi="Calibri" w:cs="Calibri"/>
          <w:sz w:val="24"/>
          <w:szCs w:val="24"/>
        </w:rPr>
      </w:pPr>
      <w:r>
        <w:rPr>
          <w:rFonts w:ascii="Calibri" w:hAnsi="Calibri" w:cs="Calibri"/>
          <w:sz w:val="24"/>
          <w:szCs w:val="24"/>
        </w:rPr>
        <w:t>As informações acima podem ser agregadas para acordos de natureza semelhante.</w:t>
      </w:r>
    </w:p>
    <w:p w14:paraId="02E0A21C"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i/>
          <w:iCs/>
          <w:sz w:val="24"/>
          <w:szCs w:val="24"/>
        </w:rPr>
        <w:t>Julgamentos Significativos e Alterações nos Julgamentos Relativos ao Reconhecimento de Ativos de Direito de Transferência Decorrentes de Transações de Despesa de Transferência</w:t>
      </w:r>
    </w:p>
    <w:p w14:paraId="7EB7CD81"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61.</w:t>
      </w:r>
      <w:r>
        <w:rPr>
          <w:rFonts w:ascii="Calibri" w:hAnsi="Calibri" w:cs="Calibri"/>
          <w:sz w:val="24"/>
          <w:szCs w:val="24"/>
        </w:rPr>
        <w:tab/>
        <w:t>A entidade deve divulgar os julgamentos significativos, bem como as alterações nesses julgamentos, efetuados no reconhecimento de ativos de direito decorrente de transferência oriundos de transações de despesa de transferência. Em particular, a entidade deve explicar a base utilizada para o reconhecimento de seus ativos de direito decorrente de transferência.</w:t>
      </w:r>
    </w:p>
    <w:p w14:paraId="6C53DD0D"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lastRenderedPageBreak/>
        <w:t>Data de Vigência e Transição</w:t>
      </w:r>
    </w:p>
    <w:p w14:paraId="685430FC"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Data de Vigência</w:t>
      </w:r>
    </w:p>
    <w:p w14:paraId="00E817BB"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62.</w:t>
      </w:r>
      <w:r>
        <w:rPr>
          <w:rFonts w:ascii="Calibri" w:hAnsi="Calibri" w:cs="Calibri"/>
          <w:sz w:val="24"/>
          <w:szCs w:val="24"/>
        </w:rPr>
        <w:tab/>
        <w:t>Esta Norma deve ser aplicada pelas entidades do setor público a partir de 1º de janeiro de 2027, salvo na existência de algum normativo em âmbito nacional que estabeleça prazos específicos – casos em que estes prevalecem.</w:t>
      </w:r>
    </w:p>
    <w:p w14:paraId="62E30ECA"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63.</w:t>
      </w:r>
      <w:r>
        <w:rPr>
          <w:rFonts w:ascii="Calibri" w:hAnsi="Calibri" w:cs="Calibri"/>
          <w:sz w:val="24"/>
          <w:szCs w:val="24"/>
        </w:rPr>
        <w:tab/>
        <w:t>(Não convergido).</w:t>
      </w:r>
    </w:p>
    <w:p w14:paraId="3BBB3B84"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Transição</w:t>
      </w:r>
    </w:p>
    <w:p w14:paraId="18E71DFB" w14:textId="77777777" w:rsidR="000B1EC4" w:rsidRDefault="00057616">
      <w:pPr>
        <w:pStyle w:val="IASBNormalnpara"/>
        <w:spacing w:before="0" w:after="240"/>
        <w:ind w:left="567" w:hanging="567"/>
        <w:rPr>
          <w:rFonts w:ascii="Calibri" w:hAnsi="Calibri" w:cs="Calibri"/>
          <w:b/>
          <w:bCs/>
          <w:sz w:val="24"/>
          <w:szCs w:val="24"/>
        </w:rPr>
      </w:pPr>
      <w:r>
        <w:rPr>
          <w:rFonts w:ascii="Calibri" w:hAnsi="Calibri" w:cs="Calibri"/>
          <w:b/>
          <w:bCs/>
          <w:sz w:val="24"/>
          <w:szCs w:val="24"/>
        </w:rPr>
        <w:t>64.</w:t>
      </w:r>
      <w:r>
        <w:rPr>
          <w:rFonts w:ascii="Calibri" w:hAnsi="Calibri" w:cs="Calibri"/>
          <w:b/>
          <w:bCs/>
          <w:sz w:val="24"/>
          <w:szCs w:val="24"/>
        </w:rPr>
        <w:tab/>
        <w:t>A entidade deve aplicar esta Norma utilizando um dos dois métodos a seguir:</w:t>
      </w:r>
    </w:p>
    <w:p w14:paraId="7575F6A7" w14:textId="77777777" w:rsidR="000B1EC4" w:rsidRDefault="00057616">
      <w:pPr>
        <w:pStyle w:val="IASBNormalnpara"/>
        <w:spacing w:before="0" w:after="240"/>
        <w:ind w:left="1134" w:hanging="567"/>
        <w:rPr>
          <w:rFonts w:ascii="Calibri" w:hAnsi="Calibri" w:cs="Calibri"/>
          <w:b/>
          <w:bCs/>
          <w:sz w:val="24"/>
          <w:szCs w:val="24"/>
        </w:rPr>
      </w:pPr>
      <w:r>
        <w:rPr>
          <w:rFonts w:ascii="Calibri" w:hAnsi="Calibri" w:cs="Calibri"/>
          <w:b/>
          <w:bCs/>
          <w:sz w:val="24"/>
          <w:szCs w:val="24"/>
        </w:rPr>
        <w:t>(a)</w:t>
      </w:r>
      <w:r>
        <w:rPr>
          <w:rFonts w:ascii="Calibri" w:hAnsi="Calibri" w:cs="Calibri"/>
          <w:b/>
          <w:bCs/>
          <w:sz w:val="24"/>
          <w:szCs w:val="24"/>
        </w:rPr>
        <w:tab/>
        <w:t>prospectivamente, às transferências ocorridas na data da aplicação inicial ou após essa data, decorrentes de transações com e sem acordos vinculantes; ou</w:t>
      </w:r>
    </w:p>
    <w:p w14:paraId="49846804" w14:textId="77777777" w:rsidR="000B1EC4" w:rsidRDefault="00057616">
      <w:pPr>
        <w:pStyle w:val="IASBNormalnpara"/>
        <w:spacing w:before="0" w:after="240"/>
        <w:ind w:left="1134" w:hanging="567"/>
        <w:rPr>
          <w:rFonts w:ascii="Calibri" w:hAnsi="Calibri" w:cs="Calibri"/>
          <w:b/>
          <w:bCs/>
          <w:sz w:val="24"/>
          <w:szCs w:val="24"/>
        </w:rPr>
      </w:pPr>
      <w:r>
        <w:rPr>
          <w:rFonts w:ascii="Calibri" w:hAnsi="Calibri" w:cs="Calibri"/>
          <w:b/>
          <w:bCs/>
          <w:sz w:val="24"/>
          <w:szCs w:val="24"/>
        </w:rPr>
        <w:t>(b)</w:t>
      </w:r>
      <w:r>
        <w:rPr>
          <w:rFonts w:ascii="Calibri" w:hAnsi="Calibri" w:cs="Calibri"/>
          <w:b/>
          <w:bCs/>
          <w:sz w:val="24"/>
          <w:szCs w:val="24"/>
        </w:rPr>
        <w:tab/>
        <w:t>retrospectivamente, a cada período anterior apresentado a que se referem as demonstrações contábeis, de acordo com a NBC TSP 23 – Políticas Contábeis, Mudança de Estimativa e Retificação de Erro.</w:t>
      </w:r>
    </w:p>
    <w:p w14:paraId="77974B53" w14:textId="77777777" w:rsidR="002006C1" w:rsidRDefault="002006C1" w:rsidP="00A96139">
      <w:pPr>
        <w:spacing w:after="0"/>
        <w:ind w:right="-142"/>
        <w:jc w:val="right"/>
        <w:rPr>
          <w:rFonts w:asciiTheme="majorHAnsi" w:eastAsia="Calibri" w:hAnsiTheme="majorHAnsi" w:cstheme="majorHAnsi"/>
          <w:szCs w:val="24"/>
        </w:rPr>
      </w:pPr>
    </w:p>
    <w:p w14:paraId="0231A23F" w14:textId="77777777" w:rsidR="00A96139" w:rsidRPr="00F11E2E" w:rsidRDefault="00A96139" w:rsidP="00A96139">
      <w:pPr>
        <w:spacing w:after="0"/>
        <w:ind w:right="-142"/>
        <w:jc w:val="right"/>
        <w:rPr>
          <w:rFonts w:asciiTheme="majorHAnsi" w:eastAsia="Calibri" w:hAnsiTheme="majorHAnsi" w:cstheme="majorHAnsi"/>
          <w:szCs w:val="24"/>
        </w:rPr>
      </w:pPr>
      <w:r w:rsidRPr="00F11E2E">
        <w:rPr>
          <w:rFonts w:asciiTheme="majorHAnsi" w:eastAsia="Calibri" w:hAnsiTheme="majorHAnsi" w:cstheme="majorHAnsi"/>
          <w:szCs w:val="24"/>
        </w:rPr>
        <w:t>Brasília, XX de XXXXXXX de 2026.</w:t>
      </w:r>
    </w:p>
    <w:p w14:paraId="4529FE5D" w14:textId="77777777" w:rsidR="00A96139" w:rsidRDefault="00A96139" w:rsidP="00A96139">
      <w:pPr>
        <w:spacing w:after="0"/>
        <w:ind w:right="-142"/>
        <w:jc w:val="center"/>
        <w:rPr>
          <w:rFonts w:asciiTheme="majorHAnsi" w:eastAsia="Calibri" w:hAnsiTheme="majorHAnsi" w:cstheme="majorHAnsi"/>
          <w:szCs w:val="24"/>
        </w:rPr>
      </w:pPr>
    </w:p>
    <w:p w14:paraId="77100775" w14:textId="77777777" w:rsidR="00406DC8" w:rsidRPr="00F11E2E" w:rsidRDefault="00406DC8" w:rsidP="00A96139">
      <w:pPr>
        <w:spacing w:after="0"/>
        <w:ind w:right="-142"/>
        <w:jc w:val="center"/>
        <w:rPr>
          <w:rFonts w:asciiTheme="majorHAnsi" w:eastAsia="Calibri" w:hAnsiTheme="majorHAnsi" w:cstheme="majorHAnsi"/>
          <w:szCs w:val="24"/>
        </w:rPr>
      </w:pPr>
    </w:p>
    <w:p w14:paraId="3CFB03E6" w14:textId="77777777" w:rsidR="00A96139" w:rsidRPr="00F11E2E" w:rsidRDefault="00A96139" w:rsidP="00A96139">
      <w:pPr>
        <w:spacing w:after="0"/>
        <w:ind w:right="-142"/>
        <w:jc w:val="center"/>
        <w:rPr>
          <w:rFonts w:asciiTheme="majorHAnsi" w:eastAsia="Calibri" w:hAnsiTheme="majorHAnsi" w:cstheme="majorHAnsi"/>
          <w:szCs w:val="24"/>
        </w:rPr>
      </w:pPr>
      <w:r w:rsidRPr="00F11E2E">
        <w:rPr>
          <w:rFonts w:asciiTheme="majorHAnsi" w:eastAsia="Calibri" w:hAnsiTheme="majorHAnsi" w:cstheme="majorHAnsi"/>
          <w:szCs w:val="24"/>
        </w:rPr>
        <w:t xml:space="preserve">CONTADOR </w:t>
      </w:r>
      <w:r w:rsidRPr="00A96139">
        <w:rPr>
          <w:rFonts w:asciiTheme="majorHAnsi" w:eastAsia="Calibri" w:hAnsiTheme="majorHAnsi" w:cstheme="majorHAnsi"/>
          <w:szCs w:val="24"/>
        </w:rPr>
        <w:t>JOAQUIM DE ALENCAR BEZERRA FILHO</w:t>
      </w:r>
    </w:p>
    <w:p w14:paraId="04D153B8" w14:textId="77777777" w:rsidR="00A96139" w:rsidRPr="00F11E2E" w:rsidRDefault="00A96139" w:rsidP="00A96139">
      <w:pPr>
        <w:spacing w:after="0"/>
        <w:ind w:right="-142"/>
        <w:jc w:val="center"/>
        <w:rPr>
          <w:rFonts w:asciiTheme="majorHAnsi" w:eastAsia="Calibri" w:hAnsiTheme="majorHAnsi" w:cstheme="majorHAnsi"/>
          <w:szCs w:val="24"/>
        </w:rPr>
      </w:pPr>
      <w:r w:rsidRPr="00F11E2E">
        <w:rPr>
          <w:rFonts w:asciiTheme="majorHAnsi" w:eastAsia="Calibri" w:hAnsiTheme="majorHAnsi" w:cstheme="majorHAnsi"/>
          <w:szCs w:val="24"/>
        </w:rPr>
        <w:t>Presidente</w:t>
      </w:r>
    </w:p>
    <w:p w14:paraId="6D85600E" w14:textId="77777777" w:rsidR="00A96139" w:rsidRPr="00F11E2E" w:rsidRDefault="00A96139" w:rsidP="00A96139">
      <w:pPr>
        <w:spacing w:after="0"/>
        <w:ind w:right="-142"/>
        <w:rPr>
          <w:rFonts w:asciiTheme="majorHAnsi" w:eastAsia="Calibri" w:hAnsiTheme="majorHAnsi" w:cstheme="majorHAnsi"/>
          <w:szCs w:val="24"/>
        </w:rPr>
      </w:pPr>
      <w:r w:rsidRPr="00F11E2E">
        <w:rPr>
          <w:rFonts w:asciiTheme="majorHAnsi" w:eastAsia="Calibri" w:hAnsiTheme="majorHAnsi" w:cstheme="majorHAnsi"/>
          <w:szCs w:val="24"/>
        </w:rPr>
        <w:t>Ata CFC nº X.XXX.</w:t>
      </w:r>
    </w:p>
    <w:p w14:paraId="30C2EB5A" w14:textId="77777777" w:rsidR="000B1EC4" w:rsidRDefault="00057616">
      <w:r>
        <w:br w:type="page"/>
      </w:r>
    </w:p>
    <w:p w14:paraId="40CBB5AF"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lastRenderedPageBreak/>
        <w:t>Apêndice A – Guia de Aplicação</w:t>
      </w:r>
    </w:p>
    <w:p w14:paraId="6205DA2E" w14:textId="77777777" w:rsidR="000B1EC4" w:rsidRDefault="00057616">
      <w:pPr>
        <w:pStyle w:val="IASBNormalnpara"/>
        <w:spacing w:before="0" w:after="240"/>
        <w:ind w:left="0" w:firstLine="0"/>
        <w:rPr>
          <w:rFonts w:ascii="Calibri" w:hAnsi="Calibri" w:cs="Calibri"/>
          <w:sz w:val="24"/>
          <w:szCs w:val="24"/>
        </w:rPr>
      </w:pPr>
      <w:r>
        <w:rPr>
          <w:rFonts w:ascii="Calibri" w:hAnsi="Calibri" w:cs="Calibri"/>
          <w:b/>
          <w:bCs/>
          <w:sz w:val="24"/>
          <w:szCs w:val="24"/>
        </w:rPr>
        <w:t>Este Apêndice é parte integrante da NBC TSP 40.</w:t>
      </w:r>
    </w:p>
    <w:p w14:paraId="15900E39"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A1.</w:t>
      </w:r>
      <w:r>
        <w:rPr>
          <w:rFonts w:ascii="Calibri" w:hAnsi="Calibri" w:cs="Calibri"/>
          <w:sz w:val="24"/>
          <w:szCs w:val="24"/>
        </w:rPr>
        <w:tab/>
        <w:t>Este Guia de Aplicação está organizado nas seguintes categorias: (a) alcance (itens A2–A3); (b) definições (itens A4–A9); (c) identificação da transação de despesa de transferência (item A10); (d) acordos vinculantes e exequibilidade (itens A11–A29); (e) baixa dos recursos transferidos (item A30); (f) identificação dos direitos decorrentes de transferência (itens A31–A34); (g) reconhecimento das despesas de transferência decorrentes de transações com acordos vinculantes (itens A35–A49); (h) alocação da contraprestação da transferência aos direitos decorrentes de transferência (itens A50–A51); (i) apresentação: exposição nas demonstrações contábeis e divulgação (item A52); e (j) aplicação dos princípios a transações específicas (itens A53–A55).</w:t>
      </w:r>
    </w:p>
    <w:p w14:paraId="527E6FAE"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Alcance (itens 3–5)</w:t>
      </w:r>
    </w:p>
    <w:p w14:paraId="578F5148"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A2.</w:t>
      </w:r>
      <w:r>
        <w:rPr>
          <w:rFonts w:ascii="Calibri" w:hAnsi="Calibri" w:cs="Calibri"/>
          <w:sz w:val="24"/>
          <w:szCs w:val="24"/>
        </w:rPr>
        <w:tab/>
        <w:t>O alcance desta Norma concentra-se no estabelecimento de princípios e exigências para a contabilização das despesas de transferência, em que a entidade fornece um bem, serviço ou outro ativo a outra entidade sem receber diretamente, em troca, qualquer bem, serviço ou outro ativo.</w:t>
      </w:r>
    </w:p>
    <w:p w14:paraId="302E26A7"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A3.</w:t>
      </w:r>
      <w:r>
        <w:rPr>
          <w:rFonts w:ascii="Calibri" w:hAnsi="Calibri" w:cs="Calibri"/>
          <w:sz w:val="24"/>
          <w:szCs w:val="24"/>
        </w:rPr>
        <w:tab/>
        <w:t>Esta Norma não trata das transações em que a entidade recebe algum bem, serviço ou outro ativo em troca do bem, serviço ou outro ativo que transfere a outra parte. Tais transações são contabilizadas de acordo com as demais normas.</w:t>
      </w:r>
    </w:p>
    <w:p w14:paraId="758D92EE"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Definições (itens 6–7)</w:t>
      </w:r>
    </w:p>
    <w:p w14:paraId="534AB27D"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Acordo Vinculante</w:t>
      </w:r>
    </w:p>
    <w:p w14:paraId="73AE5354"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A4.</w:t>
      </w:r>
      <w:r>
        <w:rPr>
          <w:rFonts w:ascii="Calibri" w:hAnsi="Calibri" w:cs="Calibri"/>
          <w:sz w:val="24"/>
          <w:szCs w:val="24"/>
        </w:rPr>
        <w:tab/>
        <w:t>A entidade deve considerar os termos da transferência e todos os fatos e circunstâncias relevantes ao aplicar esta Norma. A entidade deve aplicar esta Norma, inclusive quaisquer medidas práticas, de forma consistente às transferências com características semelhantes e em circunstâncias semelhantes.</w:t>
      </w:r>
    </w:p>
    <w:p w14:paraId="01BFA944"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Despesa de Transferência</w:t>
      </w:r>
    </w:p>
    <w:p w14:paraId="30CD50F9"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A5.</w:t>
      </w:r>
      <w:r>
        <w:rPr>
          <w:rFonts w:ascii="Calibri" w:hAnsi="Calibri" w:cs="Calibri"/>
          <w:sz w:val="24"/>
          <w:szCs w:val="24"/>
        </w:rPr>
        <w:tab/>
        <w:t>Esta Norma define despesa de transferência como a despesa decorrente de transação, distinta dos tributos, na qual o transferidor (a entidade) fornece um bem, serviço ou outro ativo a outra entidade (o destinatário da transferência, que pode ser entidade do setor público, organização sem fins lucrativos ou indivíduo) sem receber diretamente, em troca, qualquer bem, serviço ou outro ativo.</w:t>
      </w:r>
    </w:p>
    <w:p w14:paraId="4FA82DEF"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A6.</w:t>
      </w:r>
      <w:r>
        <w:rPr>
          <w:rFonts w:ascii="Calibri" w:hAnsi="Calibri" w:cs="Calibri"/>
          <w:sz w:val="24"/>
          <w:szCs w:val="24"/>
        </w:rPr>
        <w:tab/>
        <w:t>Conforme indicado no item A9, o ativo de direito decorrente de transferência não é considerado bem, serviço ou outro ativo recebido diretamente do destinatário da transferência.</w:t>
      </w:r>
    </w:p>
    <w:p w14:paraId="01F713A1"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lastRenderedPageBreak/>
        <w:t>Obrigação de Transferência e Passivo de Obrigação de Transferência</w:t>
      </w:r>
    </w:p>
    <w:p w14:paraId="7EB8A6E1"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A7.</w:t>
      </w:r>
      <w:r>
        <w:rPr>
          <w:rFonts w:ascii="Calibri" w:hAnsi="Calibri" w:cs="Calibri"/>
          <w:sz w:val="24"/>
          <w:szCs w:val="24"/>
        </w:rPr>
        <w:tab/>
        <w:t>Os acordos vinculantes conferem direitos e obrigações às partes do acordo. Esta norma denomina obrigações de transferência as obrigações da entidade, decorrentes de acordo vinculante, de transferir recursos. O passivo reconhecido pela existência de uma ou mais obrigações de transferência decorrentes de acordo vinculante é denominado passivo de obrigação de transferência.</w:t>
      </w:r>
    </w:p>
    <w:p w14:paraId="0CE70A11"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Destinatário da Transferência</w:t>
      </w:r>
    </w:p>
    <w:p w14:paraId="1679F031"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A8.</w:t>
      </w:r>
      <w:r>
        <w:rPr>
          <w:rFonts w:ascii="Calibri" w:hAnsi="Calibri" w:cs="Calibri"/>
          <w:sz w:val="24"/>
          <w:szCs w:val="24"/>
        </w:rPr>
        <w:tab/>
        <w:t>O destinatário da transferência é a entidade (que pode ser entidade do setor público, organização sem fins lucrativos, indivíduo ou outra entidade) que recebe um bem, serviço ou outro ativo do transferidor sem fornecer diretamente, a essa entidade, qualquer bem, serviço ou outro ativo. Embora o destinatário da transferência não forneça bem ou serviço à entidade, ele pode fornecer bem ou serviço a terceiro beneficiário conforme estabelecido no acordo vinculante entre o destinatário da transferência e a entidade.</w:t>
      </w:r>
    </w:p>
    <w:p w14:paraId="5F003C40"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Direito Decorrente de Transferência e Ativo de Direito Decorrente de Transferência</w:t>
      </w:r>
    </w:p>
    <w:p w14:paraId="271442C9"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A9.</w:t>
      </w:r>
      <w:r>
        <w:rPr>
          <w:rFonts w:ascii="Calibri" w:hAnsi="Calibri" w:cs="Calibri"/>
          <w:sz w:val="24"/>
          <w:szCs w:val="24"/>
        </w:rPr>
        <w:tab/>
        <w:t>O direito decorrente de transferência da entidade é o direito exequível de que o destinatário da transferência satisfaça suas obrigações e surge quando a entidade tiver transferido recursos ao destinatário da transferência, de acordo com acordo vinculante, antes de este satisfazer suas obrigações no acordo vinculante. O ativo de direito decorrente de transferência não é bem, serviço ou outro ativo a ser recebido diretamente pela entidade em troca da transferência de recursos ao destinatário da transferência, porque: (a) o ativo de direito decorrente de transferência não é bem nem serviço; (b) o ativo de direito decorrente de transferência advém de diferenças temporais entre a satisfação das respectivas obrigações do acordo vinculante e não de qualquer transferência à entidade; e (c) o ativo de direito decorrente de transferência não é contraprestação a ser fornecida pelo destinatário da transferência em troca da transferência de recursos que a entidade lhe faz. É o direito exequível à satisfação pelo destinatário da transferência de suas obrigações no acordo vinculante.</w:t>
      </w:r>
    </w:p>
    <w:p w14:paraId="4F52E333"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Identificação da Transação de Despesa de Transferência (itens 8–9)</w:t>
      </w:r>
    </w:p>
    <w:p w14:paraId="39E2EEA0"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A10.</w:t>
      </w:r>
      <w:r>
        <w:rPr>
          <w:rFonts w:ascii="Calibri" w:hAnsi="Calibri" w:cs="Calibri"/>
          <w:sz w:val="24"/>
          <w:szCs w:val="24"/>
        </w:rPr>
        <w:tab/>
        <w:t>Esta Norma especifica a contabilização de transferência individual. Contudo, como medida prática, a entidade pode aplicar esta Norma a uma carteira de transferências com características semelhantes, se esperar razoavelmente que os efeitos, sobre as demonstrações contábeis, da aplicação desta Norma à carteira não difiram de forma relevante dos efeitos de sua aplicação às transferências individuais integrantes dessa carteira. As transferências sem acordos vinculantes e as transferências com acordos vinculantes não têm características semelhantes e não são contabilizadas na mesma carteira. Ao contabilizar uma carteira, a entidade deve utilizar estimativas e premissas que reflitam o tamanho e a composição da carteira.</w:t>
      </w:r>
    </w:p>
    <w:p w14:paraId="51E93475"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lastRenderedPageBreak/>
        <w:t>Acordos Vinculantes e Exequibilidade (itens 10–16)</w:t>
      </w:r>
    </w:p>
    <w:p w14:paraId="7A8E5F84"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Acordo Vinculante</w:t>
      </w:r>
    </w:p>
    <w:p w14:paraId="42F34430"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A11.</w:t>
      </w:r>
      <w:r>
        <w:rPr>
          <w:rFonts w:ascii="Calibri" w:hAnsi="Calibri" w:cs="Calibri"/>
          <w:sz w:val="24"/>
          <w:szCs w:val="24"/>
        </w:rPr>
        <w:tab/>
        <w:t>O acordo vinculante é o acordo que confere às partes tanto direitos quanto obrigações exequíveis. Cada parte do acordo vinculante nele entra voluntariamente e é capaz de exigir seus respectivos direitos e obrigações no acordo.</w:t>
      </w:r>
    </w:p>
    <w:p w14:paraId="098BBB62"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A12.</w:t>
      </w:r>
      <w:r>
        <w:rPr>
          <w:rFonts w:ascii="Calibri" w:hAnsi="Calibri" w:cs="Calibri"/>
          <w:sz w:val="24"/>
          <w:szCs w:val="24"/>
        </w:rPr>
        <w:tab/>
        <w:t>Os acordos vinculantes podem ser evidenciados de diversas maneiras. O acordo vinculante é frequentemente, mas nem sempre, escrito, na forma de contrato ou de tratativas documentadas entre as partes. O acordo vinculante pode decorrer de contratos ou de outros meios equivalentes.</w:t>
      </w:r>
    </w:p>
    <w:p w14:paraId="50A05F30"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A13.</w:t>
      </w:r>
      <w:r>
        <w:rPr>
          <w:rFonts w:ascii="Calibri" w:hAnsi="Calibri" w:cs="Calibri"/>
          <w:sz w:val="24"/>
          <w:szCs w:val="24"/>
        </w:rPr>
        <w:tab/>
        <w:t>De acordo com o item 11, a avaliação de se um acordo é exequível baseia-se na capacidade de a entidade exigir o cumprimento dos termos e das condições especificados no acordo vinculante e a satisfação das obrigações declaradas das demais partes. Por conseguinte, as intenções da entidade quanto a exigir o cumprimento do acordo vinculante não afetam a existência do acordo vinculante, salvo se essas intenções tiverem sido comunicadas ao destinatário da transferência de modo a afetar a exequibilidade do acordo vinculante.</w:t>
      </w:r>
    </w:p>
    <w:p w14:paraId="3370A44E"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A14.</w:t>
      </w:r>
      <w:r>
        <w:rPr>
          <w:rFonts w:ascii="Calibri" w:hAnsi="Calibri" w:cs="Calibri"/>
          <w:sz w:val="24"/>
          <w:szCs w:val="24"/>
        </w:rPr>
        <w:tab/>
        <w:t>Os acordos vinculantes conferem direitos e obrigações às partes do acordo. Esta Norma denomina obrigações de transferência as obrigações da entidade. A entidade tem também direitos de que o destinatário da transferência satisfaça suas obrigações. Esta Norma denomina esses direitos de direitos decorrentes de transferência.</w:t>
      </w:r>
    </w:p>
    <w:p w14:paraId="035C2572"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Exequibilidade</w:t>
      </w:r>
    </w:p>
    <w:p w14:paraId="0115497B"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A15.</w:t>
      </w:r>
      <w:r>
        <w:rPr>
          <w:rFonts w:ascii="Calibri" w:hAnsi="Calibri" w:cs="Calibri"/>
          <w:sz w:val="24"/>
          <w:szCs w:val="24"/>
        </w:rPr>
        <w:tab/>
        <w:t>Os direitos e as obrigações interdependentes de um acordo devem ser exequíveis para que se atenda à definição de acordo vinculante. A exequibilidade pode decorrer de diversos mecanismos, desde que este(s) proporcione(m) à entidade a capacidade de exigir o cumprimento dos termos do acordo e de responsabilizar as partes envolvidas pela satisfação das obrigações estabelecidas. A entidade deve determinar se um acordo é exequível com base em sua capacidade de exigir o cumprimento dos direitos e das obrigações. A avaliação da exequibilidade pela entidade ocorre no início do acordo e quando mudança externa significativa indicar que pode ter havido alteração na exequibilidade desse acordo.</w:t>
      </w:r>
    </w:p>
    <w:p w14:paraId="28B0969A"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A16.</w:t>
      </w:r>
      <w:r>
        <w:rPr>
          <w:rFonts w:ascii="Calibri" w:hAnsi="Calibri" w:cs="Calibri"/>
          <w:sz w:val="24"/>
          <w:szCs w:val="24"/>
        </w:rPr>
        <w:tab/>
        <w:t xml:space="preserve">Como a exequibilidade pode decorrer de diversos mecanismos, a entidade deve avaliar objetivamente todos os fatores relevantes para determinar se um acordo é exequível. Em algumas jurisdições, as entidades do setor público não podem assumir obrigações jurídicas, por não lhes ser permitido contratar em nome próprio; existem, contudo, processos alternativos com efeito equivalente ao dos instrumentos jurídicos (descritos como exequíveis por meios equivalentes). Para que um acordo seja exequível por “meios equivalentes”, é necessária a existência de mecanismo de exequibilidade fora dos sistemas jurídicos, semelhante à força de lei sem ter natureza jurídica, que estabeleça o direito de a entidade obrigar o destinatário da transferência a concluir a obrigação </w:t>
      </w:r>
      <w:r>
        <w:rPr>
          <w:rFonts w:ascii="Calibri" w:hAnsi="Calibri" w:cs="Calibri"/>
          <w:sz w:val="24"/>
          <w:szCs w:val="24"/>
        </w:rPr>
        <w:lastRenderedPageBreak/>
        <w:t>acordada ou a sujeitar-se às medidas cabíveis em caso de não conclusão. De modo semelhante, é necessário mecanismo fora do sistema jurídico, semelhante à força de lei sem ter natureza jurídica, que estabeleça o direito de o destinatário da transferência obrigar a entidade a pagar a contraprestação acordada. Assim, a entidade deve identificar e avaliar todos os fatores relevantes, considerando os meios legais ou equivalentes pelos quais as partes envolvidas exigem cada um dos respectivos direitos e obrigações do acordo.</w:t>
      </w:r>
    </w:p>
    <w:p w14:paraId="198E5E27"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A17.</w:t>
      </w:r>
      <w:r>
        <w:rPr>
          <w:rFonts w:ascii="Calibri" w:hAnsi="Calibri" w:cs="Calibri"/>
          <w:sz w:val="24"/>
          <w:szCs w:val="24"/>
        </w:rPr>
        <w:tab/>
        <w:t>No setor público, o acordo é exequível quando cada uma das partes envolvidas é capaz de exigir o cumprimento de seus respectivos direitos e obrigações. O acordo é exequível por outra parte se contiver: (a) direitos e obrigações distintos para cada parte envolvida; e (b) medidas cabíveis em caso de não conclusão por qualquer das partes, que possam ser exigidas por meio dos mecanismos de exequibilidade identificados.</w:t>
      </w:r>
    </w:p>
    <w:p w14:paraId="05BEB2BC"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A18.</w:t>
      </w:r>
      <w:r>
        <w:rPr>
          <w:rFonts w:ascii="Calibri" w:hAnsi="Calibri" w:cs="Calibri"/>
          <w:sz w:val="24"/>
          <w:szCs w:val="24"/>
        </w:rPr>
        <w:tab/>
        <w:t>Ao avaliar a exequibilidade, a entidade deve considerar de que modo os mecanismos de exequibilidade identificados impõem consequências implícitas ou explícitas à parte ou às partes que não satisfizerem a(s) obrigação(</w:t>
      </w:r>
      <w:proofErr w:type="spellStart"/>
      <w:r>
        <w:rPr>
          <w:rFonts w:ascii="Calibri" w:hAnsi="Calibri" w:cs="Calibri"/>
          <w:sz w:val="24"/>
          <w:szCs w:val="24"/>
        </w:rPr>
        <w:t>ões</w:t>
      </w:r>
      <w:proofErr w:type="spellEnd"/>
      <w:r>
        <w:rPr>
          <w:rFonts w:ascii="Calibri" w:hAnsi="Calibri" w:cs="Calibri"/>
          <w:sz w:val="24"/>
          <w:szCs w:val="24"/>
        </w:rPr>
        <w:t>) acordada(s) no acordo. Se a entidade não conseguir determinar de que modo os mecanismos de exequibilidade identificados no início do acordo lhe permitiriam, em essência, responsabilizar as demais partes envolvidas pela satisfação da(s) obrigação(</w:t>
      </w:r>
      <w:proofErr w:type="spellStart"/>
      <w:r>
        <w:rPr>
          <w:rFonts w:ascii="Calibri" w:hAnsi="Calibri" w:cs="Calibri"/>
          <w:sz w:val="24"/>
          <w:szCs w:val="24"/>
        </w:rPr>
        <w:t>ões</w:t>
      </w:r>
      <w:proofErr w:type="spellEnd"/>
      <w:r>
        <w:rPr>
          <w:rFonts w:ascii="Calibri" w:hAnsi="Calibri" w:cs="Calibri"/>
          <w:sz w:val="24"/>
          <w:szCs w:val="24"/>
        </w:rPr>
        <w:t>) estabelecida(s) em caso de não conclusão, o acordo não é exequível e não atende à definição de acordo vinculante.</w:t>
      </w:r>
    </w:p>
    <w:p w14:paraId="7FDB86BC"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A19.</w:t>
      </w:r>
      <w:r>
        <w:rPr>
          <w:rFonts w:ascii="Calibri" w:hAnsi="Calibri" w:cs="Calibri"/>
          <w:sz w:val="24"/>
          <w:szCs w:val="24"/>
        </w:rPr>
        <w:tab/>
        <w:t>A exequibilidade decorre da imposição pelo sistema jurídico, inclusive por meios legais (execução perante os tribunais, bem como decisões judiciais e precedentes jurisprudenciais que determinem a observância dos termos do acordo) ou do cumprimento por meios equivalentes (leis e regulamentos, incluindo legislação, autoridade executiva e diretrizes ministeriais ou do Chefe do Poder Executivo).</w:t>
      </w:r>
    </w:p>
    <w:p w14:paraId="23CCD7D7"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A20.</w:t>
      </w:r>
      <w:r>
        <w:rPr>
          <w:rFonts w:ascii="Calibri" w:hAnsi="Calibri" w:cs="Calibri"/>
          <w:sz w:val="24"/>
          <w:szCs w:val="24"/>
        </w:rPr>
        <w:tab/>
        <w:t>A autoridade executiva é a autoridade atribuída a um ou a alguns membros da administração governamental para editar normas sem ratificação pelo Poder Legislativo. Pode ser considerada mecanismo válido de exequibilidade se tal ato for expedido determinando que a entidade satisfaça as obrigações estabelecidas no acordo.</w:t>
      </w:r>
    </w:p>
    <w:p w14:paraId="048126CE"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A21.</w:t>
      </w:r>
      <w:r>
        <w:rPr>
          <w:rFonts w:ascii="Calibri" w:hAnsi="Calibri" w:cs="Calibri"/>
          <w:sz w:val="24"/>
          <w:szCs w:val="24"/>
        </w:rPr>
        <w:tab/>
        <w:t>As diretrizes ministeriais, de secretarias ou do Chefe do Poder Executivo podem criar mecanismo de exequibilidade entre diferentes órgãos governamentais ou diferentes níveis administrativos de uma mesma estrutura governamental. Por exemplo, a diretriz expedida por ministro, secretário ou órgão governamental a entidade controlada pelo governo para que satisfaça as obrigações acordadas no acordo pode ser exequível. Cada parte deve ser capaz de exigir tanto os direitos quanto as obrigações que lhe foram conferidos no acordo, para que se atenda à definição de acordo vinculante. Cada parte deve ter a capacidade e a competência de compelir a outra parte, ou as demais partes, a satisfazer as promessas estabelecidas no acordo ou de buscar reparação caso essas promessas não sejam satisfeitas.</w:t>
      </w:r>
    </w:p>
    <w:p w14:paraId="69BA5C30"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lastRenderedPageBreak/>
        <w:t>A22.</w:t>
      </w:r>
      <w:r>
        <w:rPr>
          <w:rFonts w:ascii="Calibri" w:hAnsi="Calibri" w:cs="Calibri"/>
          <w:sz w:val="24"/>
          <w:szCs w:val="24"/>
        </w:rPr>
        <w:tab/>
        <w:t>Direitos soberanos são a autoridade para editar, alterar e revogar disposições legais. Isoladamente, essa competência não estabelece direitos e obrigações exequíveis para os fins de aplicação desta Norma. Contudo, se o uso de direitos soberanos estiver detalhado no acordo como meio de exigir a satisfação das obrigações acordadas pela entidade, isso pode resultar em mecanismo válido de exequibilidade.</w:t>
      </w:r>
    </w:p>
    <w:p w14:paraId="2D6F95D9" w14:textId="7E43B37E"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A23.</w:t>
      </w:r>
      <w:r>
        <w:rPr>
          <w:rFonts w:ascii="Calibri" w:hAnsi="Calibri" w:cs="Calibri"/>
          <w:sz w:val="24"/>
          <w:szCs w:val="24"/>
        </w:rPr>
        <w:tab/>
        <w:t xml:space="preserve">O destinatário da transferência pode sentir-se compelido a cumprir as obrigações de um acordo em razão do risco de não vir a receber financiamento futuro da entidade. Em geral, a capacidade de a entidade reduzir ou </w:t>
      </w:r>
      <w:r w:rsidR="005F2E07">
        <w:rPr>
          <w:rFonts w:ascii="Calibri" w:hAnsi="Calibri" w:cs="Calibri"/>
          <w:sz w:val="24"/>
          <w:szCs w:val="24"/>
        </w:rPr>
        <w:t>suspender o</w:t>
      </w:r>
      <w:r>
        <w:rPr>
          <w:rFonts w:ascii="Calibri" w:hAnsi="Calibri" w:cs="Calibri"/>
          <w:sz w:val="24"/>
          <w:szCs w:val="24"/>
        </w:rPr>
        <w:t xml:space="preserve"> financiamento futuro a que o destinatário da transferência ainda não faça jus não é considerada mecanismo válido de exequibilidade no contexto desta Norma, porque não há obrigação de a entidade prover tal financiamento. Contudo, se o destinatário da transferência já </w:t>
      </w:r>
      <w:proofErr w:type="spellStart"/>
      <w:r>
        <w:rPr>
          <w:rFonts w:ascii="Calibri" w:hAnsi="Calibri" w:cs="Calibri"/>
          <w:sz w:val="24"/>
          <w:szCs w:val="24"/>
        </w:rPr>
        <w:t>fizer</w:t>
      </w:r>
      <w:proofErr w:type="spellEnd"/>
      <w:r>
        <w:rPr>
          <w:rFonts w:ascii="Calibri" w:hAnsi="Calibri" w:cs="Calibri"/>
          <w:sz w:val="24"/>
          <w:szCs w:val="24"/>
        </w:rPr>
        <w:t xml:space="preserve"> jus a financiamento futuro por meio de outro acordo vinculante e os termos desse outro acordo vinculante admitirem expressamente a redução do financiamento futuro em caso de descumprimento de outros acordos, a redução potencial do financiamento futuro pode ser considerada mecanismo válido de exequibilidade.</w:t>
      </w:r>
    </w:p>
    <w:p w14:paraId="2CD47BB4"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A24.</w:t>
      </w:r>
      <w:r>
        <w:rPr>
          <w:rFonts w:ascii="Calibri" w:hAnsi="Calibri" w:cs="Calibri"/>
          <w:sz w:val="24"/>
          <w:szCs w:val="24"/>
        </w:rPr>
        <w:tab/>
        <w:t>Ao determinar se a redução de financiamento futuro constitui mecanismo de exequibilidade, a entidade deve exercer julgamento com base nos fatos e nas circunstâncias. Fatores-chave que podem indicar que a entidade reduziria o financiamento futuro em caso de descumprimento de promessas assumidas em outro acordo vinculante são a capacidade de a entidade reduzir financiamento futuro e seu histórico de assim proceder.</w:t>
      </w:r>
    </w:p>
    <w:p w14:paraId="6E9A6202"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A25.</w:t>
      </w:r>
      <w:r>
        <w:rPr>
          <w:rFonts w:ascii="Calibri" w:hAnsi="Calibri" w:cs="Calibri"/>
          <w:sz w:val="24"/>
          <w:szCs w:val="24"/>
        </w:rPr>
        <w:tab/>
        <w:t>A declaração de intenção ou o anúncio público feito pela entidade — como a promessa governamental de gastar recursos ou de entregar bens ou serviços de determinada maneira — não constitui, por si só, acordo exequível para os fins desta Norma. Tal declaração é de natureza geral e não cria acordo vinculante entre a entidade e o destinatário da transferência, no qual ambas as partes tenham direitos e obrigações. A entidade avalia se esse anúncio público dá origem a obrigação não legalmente vinculada, de acordo com a NBC TSP 03 – Provisões, Passivos Contingentes e Ativos Contingentes.</w:t>
      </w:r>
    </w:p>
    <w:p w14:paraId="33AEDAB7"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Partes de um Acordo Vinculante</w:t>
      </w:r>
    </w:p>
    <w:p w14:paraId="56097F36"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A26.</w:t>
      </w:r>
      <w:r>
        <w:rPr>
          <w:rFonts w:ascii="Calibri" w:hAnsi="Calibri" w:cs="Calibri"/>
          <w:sz w:val="24"/>
          <w:szCs w:val="24"/>
        </w:rPr>
        <w:tab/>
        <w:t>Os acordos no setor público frequentemente envolvem duas ou mais partes. Para que o acordo atenda à definição de acordo vinculante para os fins desta Norma, ao menos duas das partes do acordo devem ter direitos e obrigações próprios por ele conferidos e a capacidade de exigir o cumprimento desses direitos e obrigações.</w:t>
      </w:r>
    </w:p>
    <w:p w14:paraId="45622790"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A27.</w:t>
      </w:r>
      <w:r>
        <w:rPr>
          <w:rFonts w:ascii="Calibri" w:hAnsi="Calibri" w:cs="Calibri"/>
          <w:sz w:val="24"/>
          <w:szCs w:val="24"/>
        </w:rPr>
        <w:tab/>
        <w:t>Isto é, no mínimo, a entidade deve ser capaz de exigir a satisfação das obrigações assumidas pela entidade que recebe a contraprestação e a entidade que recebe a contraprestação (destinatário da transferência) deve ser capaz de exigir o cumprimento da promessa de receber o financiamento (contraprestação). A exequibilidade mínima em dois sentidos, própria do acordo vinculante, é ilustrada no diagrama a seguir:</w:t>
      </w:r>
    </w:p>
    <w:p w14:paraId="61949D32" w14:textId="77777777" w:rsidR="000B1EC4" w:rsidRDefault="00057616">
      <w:pPr>
        <w:pStyle w:val="IASBNormalnpara"/>
        <w:spacing w:before="0" w:after="240"/>
        <w:ind w:left="0" w:firstLine="0"/>
        <w:jc w:val="center"/>
        <w:rPr>
          <w:rFonts w:ascii="Calibri" w:hAnsi="Calibri" w:cs="Calibri"/>
          <w:sz w:val="24"/>
          <w:szCs w:val="24"/>
        </w:rPr>
      </w:pPr>
      <w:r>
        <w:rPr>
          <w:noProof/>
        </w:rPr>
        <w:lastRenderedPageBreak/>
        <w:drawing>
          <wp:inline distT="0" distB="0" distL="0" distR="0" wp14:anchorId="2321F8DB" wp14:editId="741C5A8F">
            <wp:extent cx="3233854" cy="2155903"/>
            <wp:effectExtent l="0" t="0" r="5080" b="0"/>
            <wp:docPr id="25343927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439273" name=""/>
                    <pic:cNvPicPr/>
                  </pic:nvPicPr>
                  <pic:blipFill>
                    <a:blip r:embed="rId8"/>
                    <a:stretch>
                      <a:fillRect/>
                    </a:stretch>
                  </pic:blipFill>
                  <pic:spPr>
                    <a:xfrm>
                      <a:off x="0" y="0"/>
                      <a:ext cx="3238528" cy="2159019"/>
                    </a:xfrm>
                    <a:prstGeom prst="rect">
                      <a:avLst/>
                    </a:prstGeom>
                  </pic:spPr>
                </pic:pic>
              </a:graphicData>
            </a:graphic>
          </wp:inline>
        </w:drawing>
      </w:r>
    </w:p>
    <w:p w14:paraId="1D5F77DC"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A28.</w:t>
      </w:r>
      <w:r>
        <w:rPr>
          <w:rFonts w:ascii="Calibri" w:hAnsi="Calibri" w:cs="Calibri"/>
          <w:sz w:val="24"/>
          <w:szCs w:val="24"/>
        </w:rPr>
        <w:tab/>
        <w:t>As partes mencionadas em acordo vinculante que não tenham direitos e obrigações exequíveis são terceiros beneficiários. Os terceiros beneficiários, nos acordos vinculantes com múltiplas partes, não têm qualquer direito de compelir o destinatário da transferência a entregar bens e serviços.</w:t>
      </w:r>
    </w:p>
    <w:p w14:paraId="7285ED97"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A29.</w:t>
      </w:r>
      <w:r>
        <w:rPr>
          <w:rFonts w:ascii="Calibri" w:hAnsi="Calibri" w:cs="Calibri"/>
          <w:sz w:val="24"/>
          <w:szCs w:val="24"/>
        </w:rPr>
        <w:tab/>
        <w:t>Contudo, para que esses acordos com múltiplas partes sejam classificados como despesas de transferência com acordos vinculantes, a entidade deve ter a capacidade de compelir o destinatário da transferência a entregar bens, serviços ou outros ativos aos terceiros beneficiários. Nesses acordos com múltiplas partes, o destinatário da transferência não é agente da entidade, porque obtém o controle dos recursos transferidos pela entidade e é responsável por fornecer os bens, serviços ou outros ativos aos terceiros beneficiários. Essa relação é ilustrada no diagrama a seguir.</w:t>
      </w:r>
    </w:p>
    <w:p w14:paraId="16F89C50" w14:textId="77777777" w:rsidR="000B1EC4" w:rsidRDefault="00057616">
      <w:pPr>
        <w:pStyle w:val="IASBNormalnpara"/>
        <w:spacing w:before="0" w:after="240"/>
        <w:ind w:left="0" w:firstLine="0"/>
        <w:jc w:val="center"/>
        <w:rPr>
          <w:rFonts w:ascii="Calibri" w:hAnsi="Calibri" w:cs="Calibri"/>
          <w:sz w:val="24"/>
          <w:szCs w:val="24"/>
        </w:rPr>
      </w:pPr>
      <w:r>
        <w:rPr>
          <w:noProof/>
        </w:rPr>
        <w:drawing>
          <wp:inline distT="0" distB="0" distL="0" distR="0" wp14:anchorId="19C08662" wp14:editId="09F00E15">
            <wp:extent cx="2830830" cy="1715135"/>
            <wp:effectExtent l="0" t="0" r="7620" b="0"/>
            <wp:docPr id="183896635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966359" name=""/>
                    <pic:cNvPicPr/>
                  </pic:nvPicPr>
                  <pic:blipFill>
                    <a:blip r:embed="rId9"/>
                    <a:stretch>
                      <a:fillRect/>
                    </a:stretch>
                  </pic:blipFill>
                  <pic:spPr>
                    <a:xfrm>
                      <a:off x="0" y="0"/>
                      <a:ext cx="2830830" cy="1715135"/>
                    </a:xfrm>
                    <a:prstGeom prst="rect">
                      <a:avLst/>
                    </a:prstGeom>
                  </pic:spPr>
                </pic:pic>
              </a:graphicData>
            </a:graphic>
          </wp:inline>
        </w:drawing>
      </w:r>
    </w:p>
    <w:p w14:paraId="5A91769D" w14:textId="77777777" w:rsidR="000B1EC4" w:rsidRDefault="00057616">
      <w:pPr>
        <w:pStyle w:val="IASBNormalnpara"/>
        <w:keepNext/>
        <w:spacing w:before="0" w:after="240"/>
        <w:ind w:left="0" w:firstLine="0"/>
        <w:rPr>
          <w:rFonts w:ascii="Calibri" w:hAnsi="Calibri" w:cs="Calibri"/>
          <w:b/>
          <w:bCs/>
          <w:sz w:val="24"/>
          <w:szCs w:val="24"/>
        </w:rPr>
      </w:pPr>
      <w:proofErr w:type="spellStart"/>
      <w:r>
        <w:rPr>
          <w:rFonts w:ascii="Calibri" w:hAnsi="Calibri" w:cs="Calibri"/>
          <w:b/>
          <w:bCs/>
          <w:sz w:val="24"/>
          <w:szCs w:val="24"/>
        </w:rPr>
        <w:t>Desreconhecimento</w:t>
      </w:r>
      <w:proofErr w:type="spellEnd"/>
      <w:r>
        <w:rPr>
          <w:rFonts w:ascii="Calibri" w:hAnsi="Calibri" w:cs="Calibri"/>
          <w:b/>
          <w:bCs/>
          <w:sz w:val="24"/>
          <w:szCs w:val="24"/>
        </w:rPr>
        <w:t xml:space="preserve"> dos Recursos Transferidos (itens 18 e 22)</w:t>
      </w:r>
    </w:p>
    <w:p w14:paraId="19803ECD"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A30.</w:t>
      </w:r>
      <w:r>
        <w:rPr>
          <w:rFonts w:ascii="Calibri" w:hAnsi="Calibri" w:cs="Calibri"/>
          <w:sz w:val="24"/>
          <w:szCs w:val="24"/>
        </w:rPr>
        <w:tab/>
        <w:t xml:space="preserve">Tanto nas transações de despesa de transferência sem acordos vinculantes quanto nas com acordos vinculantes: (a) antes da transferência de ativo não financeiro ao destinatário da transferência, a entidade deve considerar o item 27(d) da NBC TSP 09 – Redução ao Valor Recuperável de Ativo Não Gerador de Caixa, para determinar se houve mudança significativa no uso do ativo não financeiro, que pode indicar redução ao valor recuperável; (b) a avaliação prevista no item A30(a) não se aplica aos ativos financeiros a serem transferidos, pois a eventual redução ao valor recuperável de ativos financeiros é avaliada continuamente de acordo com os requisitos da NBC TSP 31 – Instrumentos </w:t>
      </w:r>
      <w:r>
        <w:rPr>
          <w:rFonts w:ascii="Calibri" w:hAnsi="Calibri" w:cs="Calibri"/>
          <w:sz w:val="24"/>
          <w:szCs w:val="24"/>
        </w:rPr>
        <w:lastRenderedPageBreak/>
        <w:t>Financeiros: Reconhecimento e Mensuração; e (c) quando os recursos transferidos forem baixados, a entidade deve aplicar as orientações de baixa das demais Normas aplicáveis aos ativos transferidos.</w:t>
      </w:r>
    </w:p>
    <w:p w14:paraId="67F6092D"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Identificação dos Direitos Decorrentes de Transferência (item 21)</w:t>
      </w:r>
    </w:p>
    <w:p w14:paraId="64CAE0DB"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A31.</w:t>
      </w:r>
      <w:r>
        <w:rPr>
          <w:rFonts w:ascii="Calibri" w:hAnsi="Calibri" w:cs="Calibri"/>
          <w:sz w:val="24"/>
          <w:szCs w:val="24"/>
        </w:rPr>
        <w:tab/>
        <w:t>Os direitos decorrentes de transferência fornecem a base para o momento do reconhecimento das despesas de transferência. Esta Norma exige que as despesas de transferência com acordos vinculantes sejam reconhecidas quando (ou à medida que) um direito decorrente de transferência é extinto e, por conseguinte, exige que a entidade aloque a contraprestação da transferência aos direitos decorrentes de transferência.</w:t>
      </w:r>
    </w:p>
    <w:p w14:paraId="562125C5"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A32.</w:t>
      </w:r>
      <w:r>
        <w:rPr>
          <w:rFonts w:ascii="Calibri" w:hAnsi="Calibri" w:cs="Calibri"/>
          <w:sz w:val="24"/>
          <w:szCs w:val="24"/>
        </w:rPr>
        <w:tab/>
        <w:t>O direito decorrente de transferência é identificado como direito distinto, cujo cumprimento pode ser exigido separadamente dos demais direitos do acordo vinculante. Tipicamente, na perspectiva da entidade, se o direito decorrente de transferência for distinto, ficará evidente nas negociações do acordo vinculante.</w:t>
      </w:r>
    </w:p>
    <w:p w14:paraId="50B2EC34"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A33.</w:t>
      </w:r>
      <w:r>
        <w:rPr>
          <w:rFonts w:ascii="Calibri" w:hAnsi="Calibri" w:cs="Calibri"/>
          <w:sz w:val="24"/>
          <w:szCs w:val="24"/>
        </w:rPr>
        <w:tab/>
        <w:t>A entidade deve agregar direitos relacionados até que a agregação produza direito distinto cujo cumprimento possa ser exigido separadamente. Essa agregação é identificada como direito decorrente de transferência.</w:t>
      </w:r>
    </w:p>
    <w:p w14:paraId="7B1C6778"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A34.</w:t>
      </w:r>
      <w:r>
        <w:rPr>
          <w:rFonts w:ascii="Calibri" w:hAnsi="Calibri" w:cs="Calibri"/>
          <w:sz w:val="24"/>
          <w:szCs w:val="24"/>
        </w:rPr>
        <w:tab/>
        <w:t>Em alguns acordos vinculantes, pode não ser possível identificar agregações distintas de direitos de que o destinatário da transferência satisfaça suas obrigações. Nesses casos, a entidade deve identificar o acordo vinculante como um único direito decorrente de transferência.</w:t>
      </w:r>
    </w:p>
    <w:p w14:paraId="0BBA6BF8"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Reconhecimento das Despesas de Transferência Decorrentes de Transações com Acordos Vinculantes (itens 22–25)</w:t>
      </w:r>
    </w:p>
    <w:p w14:paraId="09CCC8DD"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Reconhecimento no Início do Acordo Vinculante</w:t>
      </w:r>
    </w:p>
    <w:p w14:paraId="10426981"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A35.</w:t>
      </w:r>
      <w:r>
        <w:rPr>
          <w:rFonts w:ascii="Calibri" w:hAnsi="Calibri" w:cs="Calibri"/>
          <w:sz w:val="24"/>
          <w:szCs w:val="24"/>
        </w:rPr>
        <w:tab/>
        <w:t>De acordo com o item 15, no início do acordo vinculante e enquanto este estiver integralmente não satisfeito, a entidade não deve reconhecer ativo, passivo ou despesa a ele associados. Os direitos decorrentes de transferência e as obrigações de transferência de acordo vinculante integralmente não satisfeito são interdependentes e inseparáveis. Os direitos decorrentes de transferência e as obrigações de transferência, combinados, constituem um único ativo ou passivo mensurado a zero.</w:t>
      </w:r>
    </w:p>
    <w:p w14:paraId="5ED63B93"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A36.</w:t>
      </w:r>
      <w:r>
        <w:rPr>
          <w:rFonts w:ascii="Calibri" w:hAnsi="Calibri" w:cs="Calibri"/>
          <w:sz w:val="24"/>
          <w:szCs w:val="24"/>
        </w:rPr>
        <w:tab/>
        <w:t>Os direitos decorrentes de transferência e as obrigações de transferência individuais são reconhecidos como itens (ativos, passivos e despesas, conforme sua natureza) somente quando (ou à medida que) uma ou mais partes do acordo vinculante satisfizerem suas obrigações estabelecidas. A entidade deve contabilizar esses itens de acordo com os itens 22–25.</w:t>
      </w:r>
    </w:p>
    <w:p w14:paraId="5BB85BB4"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lastRenderedPageBreak/>
        <w:t>A37.</w:t>
      </w:r>
      <w:r>
        <w:rPr>
          <w:rFonts w:ascii="Calibri" w:hAnsi="Calibri" w:cs="Calibri"/>
          <w:sz w:val="24"/>
          <w:szCs w:val="24"/>
        </w:rPr>
        <w:tab/>
        <w:t>Quando partes do acordo vinculante permanecerem igualmente não satisfeitas, a entidade não deve reconhecer ativo, passivo ou despesa relativos a essas partes. Tais partes igualmente não satisfeitas do acordo vinculante continuam a constituir um único ativo ou passivo mensurado a zero.</w:t>
      </w:r>
    </w:p>
    <w:p w14:paraId="4AA2F868"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Baixa do Ativo de Direito Decorrente de Transferência</w:t>
      </w:r>
    </w:p>
    <w:p w14:paraId="69209CD3"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A38.</w:t>
      </w:r>
      <w:r>
        <w:rPr>
          <w:rFonts w:ascii="Calibri" w:hAnsi="Calibri" w:cs="Calibri"/>
          <w:sz w:val="24"/>
          <w:szCs w:val="24"/>
        </w:rPr>
        <w:tab/>
        <w:t>Tipicamente, a satisfação (ou a não satisfação) das obrigações pelo destinatário da transferência pode servir de indicador de que a entidade continua a ter direitos exequíveis no acordo vinculante. Quando o destinatário da transferência satisfaz suas obrigações, o direito decorrente de transferência correspondente da entidade é extinto.</w:t>
      </w:r>
    </w:p>
    <w:p w14:paraId="232D2BD6"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A39.</w:t>
      </w:r>
      <w:r>
        <w:rPr>
          <w:rFonts w:ascii="Calibri" w:hAnsi="Calibri" w:cs="Calibri"/>
          <w:sz w:val="24"/>
          <w:szCs w:val="24"/>
        </w:rPr>
        <w:tab/>
        <w:t>O acordo vinculante pode especificar que, à medida que o destinatário da transferência satisfaça suas obrigações, os direitos decorrentes de transferência da entidade são reduzidos na mesma proporção. Isso resultará na baixa gradual do ativo de direito decorrente de transferência e no reconhecimento de despesa em padrão semelhante ao da satisfação das obrigações pelo destinatário da transferência. Nessas situações, a entidade deve avaliar se consegue estimar de forma confiável o progresso do destinatário da transferência para a satisfação integral de suas obrigações no acordo vinculante. Se a entidade não conseguir estimar de forma confiável esse progresso, o ativo de direito decorrente de transferência deve ser reconhecido como despesa imediatamente.</w:t>
      </w:r>
    </w:p>
    <w:p w14:paraId="16F77AC6"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A40.</w:t>
      </w:r>
      <w:r>
        <w:rPr>
          <w:rFonts w:ascii="Calibri" w:hAnsi="Calibri" w:cs="Calibri"/>
          <w:sz w:val="24"/>
          <w:szCs w:val="24"/>
        </w:rPr>
        <w:tab/>
        <w:t>Os métodos de mensuração do progresso para a extinção integral do direito decorrente de transferência podem incluir levantamentos de desempenho realizada até a data, avaliações dos resultados alcançados, marcos atingidos, tempo transcorrido e unidades produzidas ou entregues. Ao avaliar se deve aplicar determinado método para mensurar o progresso para a extinção integral do direito decorrente de transferência, a entidade deve considerar se o método selecionado representaria fidedignamente a redução do direito decorrente de transferência nos termos do acordo vinculante. O método não representaria fidedignamente o progresso para a extinção integral do direito decorrente de transferência se deixasse de mensurar alguns aspectos do acordo vinculante. Por exemplo, nos acordos em que o direito decorrente de transferência se extingue à medida que o destinatário da transferência satisfaça suas obrigações, os métodos baseados no tempo transcorrido não representariam fidedignamente a satisfação das obrigações pelo destinatário da transferência se seu desempenho envolvesse bens ou serviços não entregues de forma uniforme ao longo do tempo. Ao avaliar se deve aplicar determinado método para mensurar o progresso do destinatário da transferência, a entidade deve exercer julgamento.</w:t>
      </w:r>
    </w:p>
    <w:p w14:paraId="2F2DC317"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A41.</w:t>
      </w:r>
      <w:r>
        <w:rPr>
          <w:rFonts w:ascii="Calibri" w:hAnsi="Calibri" w:cs="Calibri"/>
          <w:sz w:val="24"/>
          <w:szCs w:val="24"/>
        </w:rPr>
        <w:tab/>
        <w:t>Em algumas situações, o ativo de direito decorrente de transferência pode ser baixado quando o destinatário da transferência for incapaz de satisfazer suas obrigações no acordo vinculante, ou deixar de estar disposto a fazê-lo (ver item 26). O ativo de direito decorrente de transferência também pode ser baixado se mudanças nos fatos e circunstâncias indicarem que o acordo deixou de ser vinculante (ver item A15).</w:t>
      </w:r>
    </w:p>
    <w:p w14:paraId="09A215F0"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lastRenderedPageBreak/>
        <w:t>A42.</w:t>
      </w:r>
      <w:r>
        <w:rPr>
          <w:rFonts w:ascii="Calibri" w:hAnsi="Calibri" w:cs="Calibri"/>
          <w:sz w:val="24"/>
          <w:szCs w:val="24"/>
        </w:rPr>
        <w:tab/>
        <w:t>Se a entidade e o destinatário da transferência satisfizerem ao mesmo tempo suas obrigações decorrentes do acordo vinculante, o direito decorrente de transferência da entidade deixará de existir no momento da transferência, e a despesa é reconhecida quando da transferência dos recursos.</w:t>
      </w:r>
    </w:p>
    <w:p w14:paraId="2A303DBA"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Reconhecimento do Passivo de Obrigação de Transferência</w:t>
      </w:r>
    </w:p>
    <w:p w14:paraId="17BCE27D"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A43.</w:t>
      </w:r>
      <w:r>
        <w:rPr>
          <w:rFonts w:ascii="Calibri" w:hAnsi="Calibri" w:cs="Calibri"/>
          <w:sz w:val="24"/>
          <w:szCs w:val="24"/>
        </w:rPr>
        <w:tab/>
        <w:t>Se o destinatário da transferência tiver satisfeito suas obrigações e a entidade ainda não tiver transferido os recursos, conforme exigido pelo acordo vinculante, a entidade tipicamente deixa de ter direitos exequíveis no acordo vinculante. Nessas situações, os termos do acordo vinculante, bem como as leis e os regulamentos que lhe são aplicáveis, conferirão ao destinatário da transferência o direito exequível ao pagamento pela satisfação da obrigação concluída até a data. Como o destinatário da transferência já satisfez suas obrigações, a obrigação de transferir recursos é incondicional e a natureza do passivo é semelhante à de contas a pagar. Por conseguinte, a entidade reconhece um passivo de obrigação de transferência e uma despesa por sua obrigação de transferência, e a transferência subsequente de recursos constitui liquidação do passivo reconhecido.</w:t>
      </w:r>
    </w:p>
    <w:p w14:paraId="444987B0" w14:textId="5FCC76AF"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A44.</w:t>
      </w:r>
      <w:r>
        <w:rPr>
          <w:rFonts w:ascii="Calibri" w:hAnsi="Calibri" w:cs="Calibri"/>
          <w:sz w:val="24"/>
          <w:szCs w:val="24"/>
        </w:rPr>
        <w:tab/>
        <w:t xml:space="preserve">Em muitos casos, o destinatário da transferência terá direito incondicional ao pagamento somente ao atingir o marco acordado ou com a satisfação integral da obrigação. Ao avaliar se o destinatário da transferência tem direito ao pagamento pela satisfação da obrigação concluída até a data, a entidade deve considerar se ele teria direito exequível de </w:t>
      </w:r>
      <w:r w:rsidR="005F2E07">
        <w:rPr>
          <w:rFonts w:ascii="Calibri" w:hAnsi="Calibri" w:cs="Calibri"/>
          <w:sz w:val="24"/>
          <w:szCs w:val="24"/>
        </w:rPr>
        <w:t>exigir ou reter</w:t>
      </w:r>
      <w:r>
        <w:rPr>
          <w:rFonts w:ascii="Calibri" w:hAnsi="Calibri" w:cs="Calibri"/>
          <w:sz w:val="24"/>
          <w:szCs w:val="24"/>
        </w:rPr>
        <w:t xml:space="preserve"> o pagamento relativo à satisfação de sua obrigação concluída até a data, caso o acordo vinculante fosse rescindido antes da conclusão, por motivos que não sejam a falha do destinatário da transferência em satisfazer suas obrigações conforme prometido.</w:t>
      </w:r>
    </w:p>
    <w:p w14:paraId="53E74034"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A45.</w:t>
      </w:r>
      <w:r>
        <w:rPr>
          <w:rFonts w:ascii="Calibri" w:hAnsi="Calibri" w:cs="Calibri"/>
          <w:sz w:val="24"/>
          <w:szCs w:val="24"/>
        </w:rPr>
        <w:tab/>
        <w:t>Em alguns acordos vinculantes, a entidade pode ou não ter o direito de rescindir o acordo vinculante apenas em determinados momentos de sua vigência. Se a entidade agir para rescindir o acordo vinculante sem ter, naquele momento, o direito de fazê-lo (inclusive quando o destinatário da transferência deixar de satisfazer suas obrigações conforme prometido), o acordo vinculante (ou outras leis) pode conferir ao destinatário da transferência o direito de continuar a satisfazer suas obrigações e de exigir que a entidade pague a contraprestação prometida em troca da satisfação dessas obrigações. Nessas circunstâncias, o destinatário da transferência tem direito ao pagamento pela satisfação de suas obrigações concluídas até a data, porque tem o direito de continuar a satisfazer suas obrigações de acordo com o acordo vinculante e de exigir que a entidade satisfaça suas obrigações de transferência.</w:t>
      </w:r>
    </w:p>
    <w:p w14:paraId="6996FFDA"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A46.</w:t>
      </w:r>
      <w:r>
        <w:rPr>
          <w:rFonts w:ascii="Calibri" w:hAnsi="Calibri" w:cs="Calibri"/>
          <w:sz w:val="24"/>
          <w:szCs w:val="24"/>
        </w:rPr>
        <w:tab/>
        <w:t>Ao avaliar a existência e a exequibilidade do direito ao pagamento pelo desempenho concluído até a data, a entidade deve considerar os termos do acordo vinculante, bem como qualquer norma legal ou precedente judicial que possa complementá-los ou prevalecer sobre eles.</w:t>
      </w:r>
    </w:p>
    <w:p w14:paraId="60E23CCA"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A47.</w:t>
      </w:r>
      <w:r>
        <w:rPr>
          <w:rFonts w:ascii="Calibri" w:hAnsi="Calibri" w:cs="Calibri"/>
          <w:sz w:val="24"/>
          <w:szCs w:val="24"/>
        </w:rPr>
        <w:tab/>
        <w:t xml:space="preserve">O cronograma de pagamentos especificado no acordo vinculante não indica necessariamente se o destinatário da transferência tem direito exequível ao pagamento pela satisfação de suas </w:t>
      </w:r>
      <w:r>
        <w:rPr>
          <w:rFonts w:ascii="Calibri" w:hAnsi="Calibri" w:cs="Calibri"/>
          <w:sz w:val="24"/>
          <w:szCs w:val="24"/>
        </w:rPr>
        <w:lastRenderedPageBreak/>
        <w:t>obrigações concluídas até a data. Embora o cronograma de pagamentos do acordo vinculante especifique o momento e o montante da contraprestação devida pela entidade, ele pode não necessariamente proporcionar evidência do direito do destinatário da transferência ao pagamento pela satisfação de suas obrigações concluídas até a data. Isso porque, por exemplo, o acordo vinculante pode especificar que a contraprestação transferida pela entidade é reembolsável por motivos que não sejam a falha do destinatário da transferência em satisfazer suas obrigações conforme prometido no acordo vinculante.</w:t>
      </w:r>
    </w:p>
    <w:p w14:paraId="6242EF1E"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Interação entre Ativos de Direito Decorrente de Transferência e Passivos de Obrigação de Transferência</w:t>
      </w:r>
    </w:p>
    <w:p w14:paraId="3CDC34A8"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A48.</w:t>
      </w:r>
      <w:r>
        <w:rPr>
          <w:rFonts w:ascii="Calibri" w:hAnsi="Calibri" w:cs="Calibri"/>
          <w:sz w:val="24"/>
          <w:szCs w:val="24"/>
        </w:rPr>
        <w:tab/>
        <w:t>Após o reconhecimento, o ativo de direito decorrente de transferência deve ser aumentado pelo valor contábil dos recursos adicionais transferidos e reduzido pelo montante das despesas ou de qualquer redução ao valor recuperável reconhecida, até que seu valor contábil seja zero. A partir desse ponto, qualquer satisfação adicional das obrigações de cumprimento pelo destinatário da transferência resultará no reconhecimento de despesa e de passivo de obrigação de transferência.</w:t>
      </w:r>
    </w:p>
    <w:p w14:paraId="66DCD3F1"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A49.</w:t>
      </w:r>
      <w:r>
        <w:rPr>
          <w:rFonts w:ascii="Calibri" w:hAnsi="Calibri" w:cs="Calibri"/>
          <w:sz w:val="24"/>
          <w:szCs w:val="24"/>
        </w:rPr>
        <w:tab/>
        <w:t>Após o reconhecimento, o passivo de obrigação de transferência deve ser aumentado pelo montante das despesas adicionais reconhecidas e reduzido pelo valor contábil dos recursos transferidos ao destinatário da transferência, até que seu valor contábil seja zero. Qualquer transferência adicional de recursos ao destinatário da transferência, a partir desse ponto, deve ser reconhecida como ativo de direito decorrente de transferência.</w:t>
      </w:r>
    </w:p>
    <w:p w14:paraId="40BBA642"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Alocação da Contraprestação da Transferência aos Direitos Decorrentes de Transferência (itens 38–39)</w:t>
      </w:r>
    </w:p>
    <w:p w14:paraId="79E6066B"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A50.</w:t>
      </w:r>
      <w:r>
        <w:rPr>
          <w:rFonts w:ascii="Calibri" w:hAnsi="Calibri" w:cs="Calibri"/>
          <w:sz w:val="24"/>
          <w:szCs w:val="24"/>
        </w:rPr>
        <w:tab/>
        <w:t>Quando o acordo vinculante especificar o montante da contraprestação individual de cada direito decorrente de transferência, a contraprestação da transferência deve ser alocada aos direitos decorrentes de transferência de acordo com o acordo vinculante (ajustada, quando necessário, pelos montantes de contraprestação variável).</w:t>
      </w:r>
    </w:p>
    <w:p w14:paraId="08912BEA"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A51.</w:t>
      </w:r>
      <w:r>
        <w:rPr>
          <w:rFonts w:ascii="Calibri" w:hAnsi="Calibri" w:cs="Calibri"/>
          <w:sz w:val="24"/>
          <w:szCs w:val="24"/>
        </w:rPr>
        <w:tab/>
        <w:t>Quando o acordo vinculante não especificar o montante da contraprestação da transferência de cada direito decorrente de transferência, a entidade deve determinar os montantes a alocar a cada direito decorrente de transferência com base em suas melhores estimativas dos montantes destinados a compensar o destinatário da transferência pela satisfação de suas obrigações, quando da negociação do acordo vinculante.</w:t>
      </w:r>
    </w:p>
    <w:p w14:paraId="444E58FE"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Apresentação: Exposição nas Demonstrações Contábeis e Divulgação (itens 44–61)</w:t>
      </w:r>
    </w:p>
    <w:p w14:paraId="0CB8EFD4"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A52.</w:t>
      </w:r>
      <w:r>
        <w:rPr>
          <w:rFonts w:ascii="Calibri" w:hAnsi="Calibri" w:cs="Calibri"/>
          <w:sz w:val="24"/>
          <w:szCs w:val="24"/>
        </w:rPr>
        <w:tab/>
        <w:t xml:space="preserve">O item 49 exige que as despesas de transferência sejam incluídas na análise das despesas, apresentada na demonstração do resultado ou divulgada em notas explicativas. Para atender a essa exigência e ao objetivo de divulgação do item 50, a entidade deve fornecer informações suficientes na análise das despesas, juntamente com a descrição da natureza de suas operações e de suas principais atividades como exigido pelo item 150 da NBC TSP 11 – Apresentação das Demonstrações </w:t>
      </w:r>
      <w:r>
        <w:rPr>
          <w:rFonts w:ascii="Calibri" w:hAnsi="Calibri" w:cs="Calibri"/>
          <w:sz w:val="24"/>
          <w:szCs w:val="24"/>
        </w:rPr>
        <w:lastRenderedPageBreak/>
        <w:t>Contábeis, de modo a permitir que os usuários compreendam como os recursos da entidade são aplicados em seus programas, atividades e serviços.</w:t>
      </w:r>
    </w:p>
    <w:p w14:paraId="2DD54C8B"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Aplicação dos Princípios a Transações Específicas</w:t>
      </w:r>
    </w:p>
    <w:p w14:paraId="6AE630A2" w14:textId="77777777" w:rsidR="000B1EC4" w:rsidRDefault="00057616">
      <w:pPr>
        <w:pStyle w:val="IASBNormalnpara"/>
        <w:keepNext/>
        <w:spacing w:before="0" w:after="240"/>
        <w:ind w:left="0" w:firstLine="0"/>
        <w:rPr>
          <w:rFonts w:ascii="Calibri" w:hAnsi="Calibri" w:cs="Calibri"/>
          <w:b/>
          <w:bCs/>
          <w:sz w:val="24"/>
          <w:szCs w:val="24"/>
        </w:rPr>
      </w:pPr>
      <w:r>
        <w:rPr>
          <w:rFonts w:ascii="Calibri" w:hAnsi="Calibri" w:cs="Calibri"/>
          <w:b/>
          <w:bCs/>
          <w:sz w:val="24"/>
          <w:szCs w:val="24"/>
        </w:rPr>
        <w:t>Transferências de Capital</w:t>
      </w:r>
    </w:p>
    <w:p w14:paraId="1BE4A346"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A53.</w:t>
      </w:r>
      <w:r>
        <w:rPr>
          <w:rFonts w:ascii="Calibri" w:hAnsi="Calibri" w:cs="Calibri"/>
          <w:sz w:val="24"/>
          <w:szCs w:val="24"/>
        </w:rPr>
        <w:tab/>
        <w:t>Esta Norma define transferência de capital como a transação que decorre de acordo vinculante em que a entidade fornece caixa ou outro ativo com a especificação de que o destinatário da transferência adquira ou construa ativo não financeiro que será por ele controlado. A transferência de capital dá origem a pelo menos um direito decorrente de transferência da entidade, para que o destinatário da transferência satisfaça sua obrigação de adquirir ou construir o ativo não financeiro ou cumpra com as exigências decorrentes de não cumprimento conforme especificado no acordo vinculante.</w:t>
      </w:r>
    </w:p>
    <w:p w14:paraId="2D5887FA"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A54.</w:t>
      </w:r>
      <w:r>
        <w:rPr>
          <w:rFonts w:ascii="Calibri" w:hAnsi="Calibri" w:cs="Calibri"/>
          <w:sz w:val="24"/>
          <w:szCs w:val="24"/>
        </w:rPr>
        <w:tab/>
        <w:t>A entidade deve contabilizar a transação de transferência de capital pela aplicação dos itens 21–25. A entidade deve identificar os direitos decorrentes de transferência do acordo vinculante de acordo com o item 21 e, em seguida, contabilizar separadamente cada direito decorrente de transferência pela aplicação dos itens 22–25. Nas situações em que a entidade transfere recursos antes da aquisição ou construção do ativo não financeiro pelo destinatário da transferência, quando da transferência dos recursos, a entidade tipicamente reconhece um ativo de direito decorrente de transferência, que é então reconhecido como despesa quando o ativo não financeiro for adquirido ou à medida que for construído pelo destinatário da transferência.</w:t>
      </w:r>
    </w:p>
    <w:p w14:paraId="3865499A" w14:textId="77777777" w:rsidR="000B1EC4" w:rsidRDefault="00057616">
      <w:pPr>
        <w:pStyle w:val="IASBNormalnpara"/>
        <w:spacing w:before="0" w:after="240"/>
        <w:ind w:left="567" w:hanging="567"/>
        <w:rPr>
          <w:rFonts w:ascii="Calibri" w:hAnsi="Calibri" w:cs="Calibri"/>
          <w:sz w:val="24"/>
          <w:szCs w:val="24"/>
        </w:rPr>
      </w:pPr>
      <w:r>
        <w:rPr>
          <w:rFonts w:ascii="Calibri" w:hAnsi="Calibri" w:cs="Calibri"/>
          <w:sz w:val="24"/>
          <w:szCs w:val="24"/>
        </w:rPr>
        <w:t>A55.</w:t>
      </w:r>
      <w:r>
        <w:rPr>
          <w:rFonts w:ascii="Calibri" w:hAnsi="Calibri" w:cs="Calibri"/>
          <w:sz w:val="24"/>
          <w:szCs w:val="24"/>
        </w:rPr>
        <w:tab/>
        <w:t>Alguns acordos vinculantes de transferência de capital podem incluir direito decorrente de transferência relativo à aquisição ou construção de ativo não financeiro, que atende à definição de transferência de capital, e direitos decorrentes de transferência separados relativos à operação do ativo, que não atenderiam a essa definição. A entidade determina se o acordo vinculante inclui um ou mais direitos decorrentes de transferência relativos à operação do ativo ao avaliar se a contraprestação da transferência se destina a compensar o destinatário da transferência pela operação do ativo, uma vez construído ou adquirido.</w:t>
      </w:r>
    </w:p>
    <w:sectPr w:rsidR="000B1EC4" w:rsidSect="0022322B">
      <w:headerReference w:type="even" r:id="rId10"/>
      <w:headerReference w:type="default" r:id="rId11"/>
      <w:footerReference w:type="even" r:id="rId12"/>
      <w:footerReference w:type="default" r:id="rId13"/>
      <w:headerReference w:type="first" r:id="rId14"/>
      <w:footerReference w:type="first" r:id="rId15"/>
      <w:pgSz w:w="11907" w:h="16840" w:code="9"/>
      <w:pgMar w:top="2835" w:right="567" w:bottom="1418" w:left="1134" w:header="0"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3CC43" w14:textId="77777777" w:rsidR="005E6B3A" w:rsidRDefault="005E6B3A">
      <w:r>
        <w:separator/>
      </w:r>
    </w:p>
  </w:endnote>
  <w:endnote w:type="continuationSeparator" w:id="0">
    <w:p w14:paraId="01F5EA1E" w14:textId="77777777" w:rsidR="005E6B3A" w:rsidRDefault="005E6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06A06" w14:textId="77777777" w:rsidR="006269B5" w:rsidRDefault="006269B5">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5CC031AF" w14:textId="77777777" w:rsidR="006269B5" w:rsidRDefault="006269B5">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AE7A3" w14:textId="77777777" w:rsidR="005D395C" w:rsidRDefault="001E5248" w:rsidP="0086559C">
    <w:pPr>
      <w:pStyle w:val="Rodap"/>
      <w:spacing w:after="0"/>
      <w:jc w:val="center"/>
      <w:rPr>
        <w:rFonts w:asciiTheme="majorHAnsi" w:hAnsiTheme="majorHAnsi" w:cstheme="majorHAnsi"/>
        <w:color w:val="1D2644"/>
        <w:sz w:val="16"/>
      </w:rPr>
    </w:pPr>
    <w:r>
      <w:rPr>
        <w:noProof/>
      </w:rPr>
      <mc:AlternateContent>
        <mc:Choice Requires="wps">
          <w:drawing>
            <wp:anchor distT="0" distB="0" distL="114300" distR="114300" simplePos="0" relativeHeight="251679232" behindDoc="0" locked="0" layoutInCell="1" allowOverlap="1" wp14:anchorId="69E2F5BC" wp14:editId="29D1D28A">
              <wp:simplePos x="0" y="0"/>
              <wp:positionH relativeFrom="margin">
                <wp:posOffset>0</wp:posOffset>
              </wp:positionH>
              <wp:positionV relativeFrom="paragraph">
                <wp:posOffset>-635</wp:posOffset>
              </wp:positionV>
              <wp:extent cx="6454140" cy="22860"/>
              <wp:effectExtent l="0" t="0" r="22860" b="34290"/>
              <wp:wrapNone/>
              <wp:docPr id="2" name="Conector reto 2"/>
              <wp:cNvGraphicFramePr/>
              <a:graphic xmlns:a="http://schemas.openxmlformats.org/drawingml/2006/main">
                <a:graphicData uri="http://schemas.microsoft.com/office/word/2010/wordprocessingShape">
                  <wps:wsp>
                    <wps:cNvCnPr/>
                    <wps:spPr>
                      <a:xfrm flipV="1">
                        <a:off x="0" y="0"/>
                        <a:ext cx="6454140" cy="22860"/>
                      </a:xfrm>
                      <a:prstGeom prst="line">
                        <a:avLst/>
                      </a:prstGeom>
                      <a:ln>
                        <a:solidFill>
                          <a:schemeClr val="tx2">
                            <a:lumMod val="50000"/>
                          </a:schemeClr>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D072B3" id="Conector reto 2" o:spid="_x0000_s1026" style="position:absolute;flip:y;z-index:251679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508.2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" strokecolor="#0f243e [1615]">
              <w10:wrap anchorx="margin"/>
            </v:line>
          </w:pict>
        </mc:Fallback>
      </mc:AlternateContent>
    </w:r>
  </w:p>
  <w:p w14:paraId="30A5217F" w14:textId="77777777" w:rsidR="005D395C" w:rsidRPr="005A0077" w:rsidRDefault="005D395C" w:rsidP="0086559C">
    <w:pPr>
      <w:pStyle w:val="Rodap"/>
      <w:spacing w:after="0"/>
      <w:jc w:val="center"/>
      <w:rPr>
        <w:rFonts w:asciiTheme="majorHAnsi" w:hAnsiTheme="majorHAnsi" w:cstheme="majorHAnsi"/>
        <w:color w:val="1D2644"/>
        <w:sz w:val="16"/>
      </w:rPr>
    </w:pPr>
    <w:r w:rsidRPr="005A0077">
      <w:rPr>
        <w:rFonts w:asciiTheme="majorHAnsi" w:hAnsiTheme="majorHAnsi" w:cstheme="majorHAnsi"/>
        <w:color w:val="1D2644"/>
        <w:sz w:val="16"/>
      </w:rPr>
      <w:t>SAUS – Quadra 5 – Lote 3 – Bloco J – Edifício CFC</w:t>
    </w:r>
  </w:p>
  <w:p w14:paraId="4A02D157" w14:textId="77777777" w:rsidR="005D395C" w:rsidRPr="005A0077" w:rsidRDefault="005D395C" w:rsidP="0086559C">
    <w:pPr>
      <w:pStyle w:val="Rodap"/>
      <w:spacing w:after="0"/>
      <w:jc w:val="center"/>
      <w:rPr>
        <w:rFonts w:asciiTheme="majorHAnsi" w:hAnsiTheme="majorHAnsi" w:cstheme="majorHAnsi"/>
        <w:color w:val="1D2644"/>
        <w:sz w:val="16"/>
      </w:rPr>
    </w:pPr>
    <w:r w:rsidRPr="005A0077">
      <w:rPr>
        <w:rFonts w:asciiTheme="majorHAnsi" w:hAnsiTheme="majorHAnsi" w:cstheme="majorHAnsi"/>
        <w:color w:val="1D2644"/>
        <w:sz w:val="16"/>
      </w:rPr>
      <w:t>Telefone: (61) 3314-9600 – CEP: 70070-920 – Brasília/DF</w:t>
    </w:r>
  </w:p>
  <w:p w14:paraId="6925C607" w14:textId="77777777" w:rsidR="005D395C" w:rsidRPr="005A0077" w:rsidRDefault="005D395C" w:rsidP="006C2B51">
    <w:pPr>
      <w:pStyle w:val="Rodap"/>
      <w:spacing w:after="100"/>
      <w:jc w:val="center"/>
      <w:rPr>
        <w:rFonts w:asciiTheme="majorHAnsi" w:hAnsiTheme="majorHAnsi" w:cstheme="majorHAnsi"/>
        <w:color w:val="1D2644"/>
      </w:rPr>
    </w:pPr>
    <w:r w:rsidRPr="005A0077">
      <w:rPr>
        <w:rFonts w:asciiTheme="majorHAnsi" w:hAnsiTheme="majorHAnsi" w:cstheme="majorHAnsi"/>
        <w:color w:val="1D2644"/>
        <w:sz w:val="16"/>
      </w:rPr>
      <w:t>cfc@cfc.org.br – www.cfc.org.br</w:t>
    </w:r>
  </w:p>
  <w:sdt>
    <w:sdtPr>
      <w:id w:val="1386671364"/>
      <w:docPartObj>
        <w:docPartGallery w:val="Page Numbers (Bottom of Page)"/>
        <w:docPartUnique/>
      </w:docPartObj>
    </w:sdtPr>
    <w:sdtEndPr/>
    <w:sdtContent>
      <w:p w14:paraId="692AE90F" w14:textId="77777777" w:rsidR="00857A2D" w:rsidRDefault="00BF5A40" w:rsidP="00857A2D">
        <w:pPr>
          <w:pStyle w:val="Rodap"/>
          <w:jc w:val="center"/>
        </w:pPr>
        <w:r>
          <w:rPr>
            <w:noProof/>
          </w:rPr>
          <w:drawing>
            <wp:anchor distT="0" distB="0" distL="114300" distR="114300" simplePos="0" relativeHeight="251701760" behindDoc="1" locked="0" layoutInCell="1" allowOverlap="1" wp14:anchorId="180B59B5" wp14:editId="27984D08">
              <wp:simplePos x="0" y="0"/>
              <wp:positionH relativeFrom="margin">
                <wp:align>center</wp:align>
              </wp:positionH>
              <wp:positionV relativeFrom="paragraph">
                <wp:posOffset>391886</wp:posOffset>
              </wp:positionV>
              <wp:extent cx="8948420" cy="123823"/>
              <wp:effectExtent l="0" t="0" r="0" b="0"/>
              <wp:wrapNone/>
              <wp:docPr id="1540446990"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722157" name=""/>
                      <pic:cNvPicPr/>
                    </pic:nvPicPr>
                    <pic:blipFill>
                      <a:blip r:embed="rId1">
                        <a:extLst>
                          <a:ext uri="{96DAC541-7B7A-43D3-8B79-37D633B846F1}">
                            <asvg:svgBlip xmlns:asvg="http://schemas.microsoft.com/office/drawing/2016/SVG/main" r:embed="rId2"/>
                          </a:ext>
                        </a:extLst>
                      </a:blip>
                      <a:stretch>
                        <a:fillRect/>
                      </a:stretch>
                    </pic:blipFill>
                    <pic:spPr>
                      <a:xfrm>
                        <a:off x="0" y="0"/>
                        <a:ext cx="8948420" cy="123823"/>
                      </a:xfrm>
                      <a:prstGeom prst="rect">
                        <a:avLst/>
                      </a:prstGeom>
                    </pic:spPr>
                  </pic:pic>
                </a:graphicData>
              </a:graphic>
              <wp14:sizeRelH relativeFrom="page">
                <wp14:pctWidth>0</wp14:pctWidth>
              </wp14:sizeRelH>
              <wp14:sizeRelV relativeFrom="page">
                <wp14:pctHeight>0</wp14:pctHeight>
              </wp14:sizeRelV>
            </wp:anchor>
          </w:drawing>
        </w:r>
        <w:r w:rsidR="00857A2D">
          <w:fldChar w:fldCharType="begin"/>
        </w:r>
        <w:r w:rsidR="00857A2D">
          <w:instrText>PAGE   \* MERGEFORMAT</w:instrText>
        </w:r>
        <w:r w:rsidR="00857A2D">
          <w:fldChar w:fldCharType="separate"/>
        </w:r>
        <w:r w:rsidR="00857A2D">
          <w:t>2</w:t>
        </w:r>
        <w:r w:rsidR="00857A2D">
          <w:fldChar w:fldCharType="end"/>
        </w:r>
      </w:p>
    </w:sdtContent>
  </w:sdt>
  <w:p w14:paraId="2E3BE195" w14:textId="77777777" w:rsidR="005D395C" w:rsidRPr="005D395C" w:rsidRDefault="005D395C" w:rsidP="0086559C">
    <w:pPr>
      <w:pStyle w:val="Rodap"/>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6ADE8" w14:textId="77777777" w:rsidR="005D7DA5" w:rsidRDefault="005D7DA5" w:rsidP="00604561">
    <w:pPr>
      <w:pStyle w:val="Rodap"/>
      <w:spacing w:after="0"/>
      <w:jc w:val="center"/>
      <w:rPr>
        <w:rFonts w:asciiTheme="majorHAnsi" w:hAnsiTheme="majorHAnsi" w:cstheme="majorHAnsi"/>
        <w:color w:val="1D2644"/>
        <w:sz w:val="16"/>
      </w:rPr>
    </w:pPr>
  </w:p>
  <w:p w14:paraId="5EDA9072" w14:textId="77777777" w:rsidR="00690FCD" w:rsidRDefault="00604561" w:rsidP="00604561">
    <w:pPr>
      <w:pStyle w:val="Rodap"/>
      <w:spacing w:after="0"/>
      <w:jc w:val="center"/>
      <w:rPr>
        <w:rFonts w:asciiTheme="majorHAnsi" w:hAnsiTheme="majorHAnsi" w:cstheme="majorHAnsi"/>
        <w:color w:val="1D2644"/>
        <w:sz w:val="16"/>
      </w:rPr>
    </w:pPr>
    <w:r>
      <w:rPr>
        <w:noProof/>
      </w:rPr>
      <mc:AlternateContent>
        <mc:Choice Requires="wps">
          <w:drawing>
            <wp:anchor distT="0" distB="0" distL="114300" distR="114300" simplePos="0" relativeHeight="251703808" behindDoc="0" locked="0" layoutInCell="1" allowOverlap="1" wp14:anchorId="3946AB64" wp14:editId="6729F64A">
              <wp:simplePos x="0" y="0"/>
              <wp:positionH relativeFrom="margin">
                <wp:posOffset>0</wp:posOffset>
              </wp:positionH>
              <wp:positionV relativeFrom="paragraph">
                <wp:posOffset>-635</wp:posOffset>
              </wp:positionV>
              <wp:extent cx="6454140" cy="22860"/>
              <wp:effectExtent l="0" t="0" r="22860" b="34290"/>
              <wp:wrapNone/>
              <wp:docPr id="2116333292" name="Conector reto 2116333292"/>
              <wp:cNvGraphicFramePr/>
              <a:graphic xmlns:a="http://schemas.openxmlformats.org/drawingml/2006/main">
                <a:graphicData uri="http://schemas.microsoft.com/office/word/2010/wordprocessingShape">
                  <wps:wsp>
                    <wps:cNvCnPr/>
                    <wps:spPr>
                      <a:xfrm flipV="1">
                        <a:off x="0" y="0"/>
                        <a:ext cx="6454140" cy="22860"/>
                      </a:xfrm>
                      <a:prstGeom prst="line">
                        <a:avLst/>
                      </a:prstGeom>
                      <a:ln>
                        <a:solidFill>
                          <a:schemeClr val="tx2">
                            <a:lumMod val="50000"/>
                          </a:schemeClr>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892122" id="Conector reto 2116333292" o:spid="_x0000_s1026" style="position:absolute;flip:y;z-index:251703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508.2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" strokecolor="#0f243e [1615]">
              <w10:wrap anchorx="margin"/>
            </v:line>
          </w:pict>
        </mc:Fallback>
      </mc:AlternateContent>
    </w:r>
  </w:p>
  <w:p w14:paraId="01E4464D" w14:textId="77777777" w:rsidR="00604561" w:rsidRPr="005A0077" w:rsidRDefault="00604561" w:rsidP="00604561">
    <w:pPr>
      <w:pStyle w:val="Rodap"/>
      <w:spacing w:after="0"/>
      <w:jc w:val="center"/>
      <w:rPr>
        <w:rFonts w:asciiTheme="majorHAnsi" w:hAnsiTheme="majorHAnsi" w:cstheme="majorHAnsi"/>
        <w:color w:val="1D2644"/>
        <w:sz w:val="16"/>
      </w:rPr>
    </w:pPr>
    <w:r w:rsidRPr="005A0077">
      <w:rPr>
        <w:rFonts w:asciiTheme="majorHAnsi" w:hAnsiTheme="majorHAnsi" w:cstheme="majorHAnsi"/>
        <w:color w:val="1D2644"/>
        <w:sz w:val="16"/>
      </w:rPr>
      <w:t>SAUS – Quadra 5 – Lote 3 – Bloco J – Edifício CFC</w:t>
    </w:r>
  </w:p>
  <w:p w14:paraId="2D69A621" w14:textId="77777777" w:rsidR="00604561" w:rsidRPr="005A0077" w:rsidRDefault="00604561" w:rsidP="00604561">
    <w:pPr>
      <w:pStyle w:val="Rodap"/>
      <w:spacing w:after="0"/>
      <w:jc w:val="center"/>
      <w:rPr>
        <w:rFonts w:asciiTheme="majorHAnsi" w:hAnsiTheme="majorHAnsi" w:cstheme="majorHAnsi"/>
        <w:color w:val="1D2644"/>
        <w:sz w:val="16"/>
      </w:rPr>
    </w:pPr>
    <w:r w:rsidRPr="005A0077">
      <w:rPr>
        <w:rFonts w:asciiTheme="majorHAnsi" w:hAnsiTheme="majorHAnsi" w:cstheme="majorHAnsi"/>
        <w:color w:val="1D2644"/>
        <w:sz w:val="16"/>
      </w:rPr>
      <w:t>Telefone: (61) 3314-9600 – CEP: 70070-920 – Brasília/DF</w:t>
    </w:r>
  </w:p>
  <w:p w14:paraId="491715A2" w14:textId="77777777" w:rsidR="00604561" w:rsidRPr="005A0077" w:rsidRDefault="00604561" w:rsidP="00604561">
    <w:pPr>
      <w:pStyle w:val="Rodap"/>
      <w:spacing w:after="100"/>
      <w:jc w:val="center"/>
      <w:rPr>
        <w:rFonts w:asciiTheme="majorHAnsi" w:hAnsiTheme="majorHAnsi" w:cstheme="majorHAnsi"/>
        <w:color w:val="1D2644"/>
      </w:rPr>
    </w:pPr>
    <w:r w:rsidRPr="005A0077">
      <w:rPr>
        <w:rFonts w:asciiTheme="majorHAnsi" w:hAnsiTheme="majorHAnsi" w:cstheme="majorHAnsi"/>
        <w:color w:val="1D2644"/>
        <w:sz w:val="16"/>
      </w:rPr>
      <w:t>cfc@cfc.org.br – www.cfc.org.br</w:t>
    </w:r>
  </w:p>
  <w:sdt>
    <w:sdtPr>
      <w:id w:val="-513993113"/>
      <w:docPartObj>
        <w:docPartGallery w:val="Page Numbers (Bottom of Page)"/>
        <w:docPartUnique/>
      </w:docPartObj>
    </w:sdtPr>
    <w:sdtEndPr/>
    <w:sdtContent>
      <w:p w14:paraId="15A5C9F0" w14:textId="77777777" w:rsidR="00604561" w:rsidRDefault="00604561" w:rsidP="00604561">
        <w:pPr>
          <w:pStyle w:val="Rodap"/>
          <w:jc w:val="center"/>
        </w:pPr>
        <w:r>
          <w:rPr>
            <w:noProof/>
          </w:rPr>
          <w:drawing>
            <wp:anchor distT="0" distB="0" distL="114300" distR="114300" simplePos="0" relativeHeight="251704832" behindDoc="1" locked="0" layoutInCell="1" allowOverlap="1" wp14:anchorId="4FDA625A" wp14:editId="07FBFF00">
              <wp:simplePos x="0" y="0"/>
              <wp:positionH relativeFrom="margin">
                <wp:align>center</wp:align>
              </wp:positionH>
              <wp:positionV relativeFrom="paragraph">
                <wp:posOffset>391886</wp:posOffset>
              </wp:positionV>
              <wp:extent cx="8948420" cy="123823"/>
              <wp:effectExtent l="0" t="0" r="0" b="0"/>
              <wp:wrapNone/>
              <wp:docPr id="44076444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722157" name=""/>
                      <pic:cNvPicPr/>
                    </pic:nvPicPr>
                    <pic:blipFill>
                      <a:blip r:embed="rId1">
                        <a:extLst>
                          <a:ext uri="{96DAC541-7B7A-43D3-8B79-37D633B846F1}">
                            <asvg:svgBlip xmlns:asvg="http://schemas.microsoft.com/office/drawing/2016/SVG/main" r:embed="rId2"/>
                          </a:ext>
                        </a:extLst>
                      </a:blip>
                      <a:stretch>
                        <a:fillRect/>
                      </a:stretch>
                    </pic:blipFill>
                    <pic:spPr>
                      <a:xfrm>
                        <a:off x="0" y="0"/>
                        <a:ext cx="8948420" cy="123823"/>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t>2</w:t>
        </w:r>
        <w:r>
          <w:fldChar w:fldCharType="end"/>
        </w:r>
      </w:p>
    </w:sdtContent>
  </w:sdt>
  <w:p w14:paraId="1440A6C0" w14:textId="77777777" w:rsidR="00857A2D" w:rsidRDefault="00857A2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4B3F7" w14:textId="77777777" w:rsidR="005E6B3A" w:rsidRDefault="005E6B3A">
      <w:r>
        <w:separator/>
      </w:r>
    </w:p>
  </w:footnote>
  <w:footnote w:type="continuationSeparator" w:id="0">
    <w:p w14:paraId="242BD7A3" w14:textId="77777777" w:rsidR="005E6B3A" w:rsidRDefault="005E6B3A">
      <w:r>
        <w:continuationSeparator/>
      </w:r>
    </w:p>
  </w:footnote>
  <w:footnote w:id="1">
    <w:p w14:paraId="1716FC16" w14:textId="5E17EF65" w:rsidR="00811EAF" w:rsidRPr="00811EAF" w:rsidRDefault="00811EAF" w:rsidP="00811EAF">
      <w:pPr>
        <w:pStyle w:val="IASBNormalnpara"/>
        <w:spacing w:before="0" w:after="240"/>
        <w:ind w:left="567" w:firstLine="0"/>
        <w:rPr>
          <w:rFonts w:ascii="Calibri" w:hAnsi="Calibri" w:cs="Calibri"/>
          <w:sz w:val="16"/>
          <w:szCs w:val="16"/>
        </w:rPr>
      </w:pPr>
      <w:r>
        <w:rPr>
          <w:rStyle w:val="Refdenotaderodap"/>
        </w:rPr>
        <w:footnoteRef/>
      </w:r>
      <w:r>
        <w:t xml:space="preserve"> </w:t>
      </w:r>
      <w:r>
        <w:rPr>
          <w:rFonts w:ascii="Calibri" w:hAnsi="Calibri" w:cs="Calibri"/>
          <w:sz w:val="16"/>
          <w:szCs w:val="16"/>
        </w:rPr>
        <w:t>A expressão “norma contábil nacional relevante” referida nas alíneas (g), (h) e (i) corresponde, respectivamente, à NBC TG 50 – Contratos de Seguro, à NBC TG 10 – Pagamento Baseado em Ações e à NBC TG 32 – Tributos sobre o Lucro, ou às normas que vierem a substituí-las.</w:t>
      </w:r>
    </w:p>
  </w:footnote>
  <w:footnote w:id="2">
    <w:p w14:paraId="3DF394E8" w14:textId="061E143B" w:rsidR="00811EAF" w:rsidRDefault="00811EAF">
      <w:pPr>
        <w:pStyle w:val="Textodenotaderodap"/>
      </w:pPr>
      <w:r>
        <w:rPr>
          <w:rStyle w:val="Refdenotaderodap"/>
        </w:rPr>
        <w:footnoteRef/>
      </w:r>
      <w:r>
        <w:t xml:space="preserve"> </w:t>
      </w:r>
      <w:r>
        <w:rPr>
          <w:rFonts w:ascii="Calibri" w:hAnsi="Calibri" w:cs="Calibri"/>
          <w:sz w:val="16"/>
          <w:szCs w:val="16"/>
        </w:rPr>
        <w:t xml:space="preserve">Nesta norma, o termo </w:t>
      </w:r>
      <w:r>
        <w:rPr>
          <w:rFonts w:ascii="Calibri" w:hAnsi="Calibri" w:cs="Calibri"/>
          <w:i/>
          <w:iCs/>
          <w:sz w:val="16"/>
          <w:szCs w:val="16"/>
        </w:rPr>
        <w:t>recursos</w:t>
      </w:r>
      <w:r>
        <w:rPr>
          <w:rFonts w:ascii="Calibri" w:hAnsi="Calibri" w:cs="Calibri"/>
          <w:sz w:val="16"/>
          <w:szCs w:val="16"/>
        </w:rPr>
        <w:t xml:space="preserve"> </w:t>
      </w:r>
      <w:proofErr w:type="spellStart"/>
      <w:r>
        <w:rPr>
          <w:rFonts w:ascii="Calibri" w:hAnsi="Calibri" w:cs="Calibri"/>
          <w:sz w:val="16"/>
          <w:szCs w:val="16"/>
        </w:rPr>
        <w:t>inclui</w:t>
      </w:r>
      <w:proofErr w:type="spellEnd"/>
      <w:r>
        <w:rPr>
          <w:rFonts w:ascii="Calibri" w:hAnsi="Calibri" w:cs="Calibri"/>
          <w:sz w:val="16"/>
          <w:szCs w:val="16"/>
        </w:rPr>
        <w:t xml:space="preserve"> bens, serviços e outros ativos, podendo abranger caixa ou ativos não circulantes.</w:t>
      </w:r>
    </w:p>
  </w:footnote>
  <w:footnote w:id="3">
    <w:p w14:paraId="783D09D2" w14:textId="1F0EEAE9" w:rsidR="00811EAF" w:rsidRPr="00811EAF" w:rsidRDefault="00811EAF" w:rsidP="00811EAF">
      <w:pPr>
        <w:pStyle w:val="IASBNormalnpara"/>
        <w:spacing w:before="0" w:after="240"/>
        <w:ind w:left="567" w:firstLine="0"/>
        <w:rPr>
          <w:rFonts w:ascii="Calibri" w:hAnsi="Calibri" w:cs="Calibri"/>
          <w:sz w:val="16"/>
          <w:szCs w:val="16"/>
        </w:rPr>
      </w:pPr>
      <w:r>
        <w:rPr>
          <w:rStyle w:val="Refdenotaderodap"/>
        </w:rPr>
        <w:footnoteRef/>
      </w:r>
      <w:r>
        <w:t xml:space="preserve"> </w:t>
      </w:r>
      <w:r>
        <w:rPr>
          <w:rFonts w:ascii="Calibri" w:hAnsi="Calibri" w:cs="Calibri"/>
          <w:sz w:val="16"/>
          <w:szCs w:val="16"/>
        </w:rPr>
        <w:t xml:space="preserve">O ativo pode ser </w:t>
      </w:r>
      <w:proofErr w:type="spellStart"/>
      <w:r>
        <w:rPr>
          <w:rFonts w:ascii="Calibri" w:hAnsi="Calibri" w:cs="Calibri"/>
          <w:sz w:val="16"/>
          <w:szCs w:val="16"/>
        </w:rPr>
        <w:t>desreconhecido</w:t>
      </w:r>
      <w:proofErr w:type="spellEnd"/>
      <w:r>
        <w:rPr>
          <w:rFonts w:ascii="Calibri" w:hAnsi="Calibri" w:cs="Calibri"/>
          <w:sz w:val="16"/>
          <w:szCs w:val="16"/>
        </w:rPr>
        <w:t xml:space="preserve"> em momento determinado ou ao longo de um período, dependendo dos termos do acordo.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51AB" w14:textId="418EB2FE" w:rsidR="00990C2D" w:rsidRDefault="00990C2D">
    <w:pPr>
      <w:pStyle w:val="Cabealho"/>
    </w:pPr>
    <w:r>
      <w:rPr>
        <w:noProof/>
      </w:rPr>
      <w:pict w14:anchorId="3A9A03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844188" o:spid="_x0000_s1026" type="#_x0000_t136" style="position:absolute;margin-left:0;margin-top:0;width:503.6pt;height:215.8pt;rotation:315;z-index:-251607552;mso-position-horizontal:center;mso-position-horizontal-relative:margin;mso-position-vertical:center;mso-position-vertical-relative:margin" o:allowincell="f" fillcolor="silver" stroked="f">
          <v:fill opacity=".5"/>
          <v:textpath style="font-family:&quot;Calibri&quot;;font-size:1pt" string="MINUTA"/>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B7361" w14:textId="49FE65DD" w:rsidR="00D177CB" w:rsidRPr="00DA209E" w:rsidRDefault="00990C2D" w:rsidP="008A06AC">
    <w:pPr>
      <w:pStyle w:val="Cabealho"/>
      <w:widowControl w:val="0"/>
      <w:tabs>
        <w:tab w:val="clear" w:pos="4419"/>
        <w:tab w:val="clear" w:pos="8838"/>
        <w:tab w:val="center" w:pos="4677"/>
      </w:tabs>
      <w:spacing w:after="0"/>
      <w:jc w:val="center"/>
      <w:rPr>
        <w:noProof/>
        <w:color w:val="112143"/>
        <w:sz w:val="16"/>
        <w:szCs w:val="16"/>
      </w:rPr>
    </w:pPr>
    <w:r>
      <w:rPr>
        <w:noProof/>
      </w:rPr>
      <w:pict w14:anchorId="0CA5A6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844189" o:spid="_x0000_s1027" type="#_x0000_t136" style="position:absolute;left:0;text-align:left;margin-left:0;margin-top:0;width:503.6pt;height:215.8pt;rotation:315;z-index:-251605504;mso-position-horizontal:center;mso-position-horizontal-relative:margin;mso-position-vertical:center;mso-position-vertical-relative:margin" o:allowincell="f" fillcolor="silver" stroked="f">
          <v:fill opacity=".5"/>
          <v:textpath style="font-family:&quot;Calibri&quot;;font-size:1pt" string="MINUTA"/>
        </v:shape>
      </w:pict>
    </w:r>
    <w:r w:rsidR="008774FC">
      <w:rPr>
        <w:noProof/>
      </w:rPr>
      <w:drawing>
        <wp:anchor distT="0" distB="0" distL="114300" distR="114300" simplePos="0" relativeHeight="251678207" behindDoc="1" locked="0" layoutInCell="1" allowOverlap="1" wp14:anchorId="26174EDD" wp14:editId="42BD0405">
          <wp:simplePos x="0" y="0"/>
          <wp:positionH relativeFrom="margin">
            <wp:posOffset>-701040</wp:posOffset>
          </wp:positionH>
          <wp:positionV relativeFrom="paragraph">
            <wp:posOffset>-9525</wp:posOffset>
          </wp:positionV>
          <wp:extent cx="7816162" cy="1484413"/>
          <wp:effectExtent l="0" t="0" r="0" b="0"/>
          <wp:wrapNone/>
          <wp:docPr id="1569114525"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313092" name="Imagem 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816162" cy="148441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C697B" w14:textId="517ACC58" w:rsidR="00857A2D" w:rsidRDefault="00990C2D">
    <w:pPr>
      <w:pStyle w:val="Cabealho"/>
    </w:pPr>
    <w:r>
      <w:rPr>
        <w:noProof/>
      </w:rPr>
      <w:pict w14:anchorId="52F9BA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3844187" o:spid="_x0000_s1025" type="#_x0000_t136" style="position:absolute;margin-left:0;margin-top:0;width:503.6pt;height:215.8pt;rotation:315;z-index:-251609600;mso-position-horizontal:center;mso-position-horizontal-relative:margin;mso-position-vertical:center;mso-position-vertical-relative:margin" o:allowincell="f" fillcolor="silver" stroked="f">
          <v:fill opacity=".5"/>
          <v:textpath style="font-family:&quot;Calibri&quot;;font-size:1pt" string="MINUTA"/>
        </v:shape>
      </w:pict>
    </w:r>
    <w:r w:rsidR="00F06D7D">
      <w:rPr>
        <w:noProof/>
      </w:rPr>
      <w:drawing>
        <wp:anchor distT="0" distB="0" distL="114300" distR="114300" simplePos="0" relativeHeight="251692544" behindDoc="1" locked="0" layoutInCell="1" allowOverlap="1" wp14:anchorId="00F54D95" wp14:editId="0E6954D1">
          <wp:simplePos x="0" y="0"/>
          <wp:positionH relativeFrom="page">
            <wp:posOffset>19050</wp:posOffset>
          </wp:positionH>
          <wp:positionV relativeFrom="paragraph">
            <wp:posOffset>0</wp:posOffset>
          </wp:positionV>
          <wp:extent cx="7523058" cy="1428748"/>
          <wp:effectExtent l="0" t="0" r="1905" b="0"/>
          <wp:wrapNone/>
          <wp:docPr id="812379691"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682067" name="Imagem 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23058" cy="142874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D3A8B2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B11454"/>
    <w:multiLevelType w:val="hybridMultilevel"/>
    <w:tmpl w:val="2FD0CC92"/>
    <w:lvl w:ilvl="0" w:tplc="F4DC2606">
      <w:start w:val="1"/>
      <w:numFmt w:val="lowerLetter"/>
      <w:lvlText w:val="%1)"/>
      <w:lvlJc w:val="left"/>
      <w:pPr>
        <w:ind w:left="1637" w:hanging="360"/>
      </w:pPr>
      <w:rPr>
        <w:rFonts w:ascii="Calibri" w:hAnsi="Calibri" w:hint="default"/>
      </w:rPr>
    </w:lvl>
    <w:lvl w:ilvl="1" w:tplc="04160019" w:tentative="1">
      <w:start w:val="1"/>
      <w:numFmt w:val="lowerLetter"/>
      <w:lvlText w:val="%2."/>
      <w:lvlJc w:val="left"/>
      <w:pPr>
        <w:ind w:left="2357" w:hanging="360"/>
      </w:pPr>
    </w:lvl>
    <w:lvl w:ilvl="2" w:tplc="0416001B" w:tentative="1">
      <w:start w:val="1"/>
      <w:numFmt w:val="lowerRoman"/>
      <w:lvlText w:val="%3."/>
      <w:lvlJc w:val="right"/>
      <w:pPr>
        <w:ind w:left="3077" w:hanging="180"/>
      </w:pPr>
    </w:lvl>
    <w:lvl w:ilvl="3" w:tplc="0416000F" w:tentative="1">
      <w:start w:val="1"/>
      <w:numFmt w:val="decimal"/>
      <w:lvlText w:val="%4."/>
      <w:lvlJc w:val="left"/>
      <w:pPr>
        <w:ind w:left="3797" w:hanging="360"/>
      </w:pPr>
    </w:lvl>
    <w:lvl w:ilvl="4" w:tplc="04160019" w:tentative="1">
      <w:start w:val="1"/>
      <w:numFmt w:val="lowerLetter"/>
      <w:lvlText w:val="%5."/>
      <w:lvlJc w:val="left"/>
      <w:pPr>
        <w:ind w:left="4517" w:hanging="360"/>
      </w:pPr>
    </w:lvl>
    <w:lvl w:ilvl="5" w:tplc="0416001B" w:tentative="1">
      <w:start w:val="1"/>
      <w:numFmt w:val="lowerRoman"/>
      <w:lvlText w:val="%6."/>
      <w:lvlJc w:val="right"/>
      <w:pPr>
        <w:ind w:left="5237" w:hanging="180"/>
      </w:pPr>
    </w:lvl>
    <w:lvl w:ilvl="6" w:tplc="0416000F" w:tentative="1">
      <w:start w:val="1"/>
      <w:numFmt w:val="decimal"/>
      <w:lvlText w:val="%7."/>
      <w:lvlJc w:val="left"/>
      <w:pPr>
        <w:ind w:left="5957" w:hanging="360"/>
      </w:pPr>
    </w:lvl>
    <w:lvl w:ilvl="7" w:tplc="04160019" w:tentative="1">
      <w:start w:val="1"/>
      <w:numFmt w:val="lowerLetter"/>
      <w:lvlText w:val="%8."/>
      <w:lvlJc w:val="left"/>
      <w:pPr>
        <w:ind w:left="6677" w:hanging="360"/>
      </w:pPr>
    </w:lvl>
    <w:lvl w:ilvl="8" w:tplc="0416001B" w:tentative="1">
      <w:start w:val="1"/>
      <w:numFmt w:val="lowerRoman"/>
      <w:lvlText w:val="%9."/>
      <w:lvlJc w:val="right"/>
      <w:pPr>
        <w:ind w:left="7397" w:hanging="180"/>
      </w:pPr>
    </w:lvl>
  </w:abstractNum>
  <w:abstractNum w:abstractNumId="2" w15:restartNumberingAfterBreak="0">
    <w:nsid w:val="08E26C8C"/>
    <w:multiLevelType w:val="hybridMultilevel"/>
    <w:tmpl w:val="2FD0CC92"/>
    <w:lvl w:ilvl="0" w:tplc="FFFFFFFF">
      <w:start w:val="1"/>
      <w:numFmt w:val="lowerLetter"/>
      <w:lvlText w:val="%1)"/>
      <w:lvlJc w:val="left"/>
      <w:pPr>
        <w:ind w:left="1637" w:hanging="360"/>
      </w:pPr>
      <w:rPr>
        <w:rFonts w:ascii="Calibri" w:hAnsi="Calibri" w:hint="default"/>
      </w:rPr>
    </w:lvl>
    <w:lvl w:ilvl="1" w:tplc="FFFFFFFF" w:tentative="1">
      <w:start w:val="1"/>
      <w:numFmt w:val="lowerLetter"/>
      <w:lvlText w:val="%2."/>
      <w:lvlJc w:val="left"/>
      <w:pPr>
        <w:ind w:left="2357" w:hanging="360"/>
      </w:pPr>
    </w:lvl>
    <w:lvl w:ilvl="2" w:tplc="FFFFFFFF" w:tentative="1">
      <w:start w:val="1"/>
      <w:numFmt w:val="lowerRoman"/>
      <w:lvlText w:val="%3."/>
      <w:lvlJc w:val="right"/>
      <w:pPr>
        <w:ind w:left="3077" w:hanging="180"/>
      </w:pPr>
    </w:lvl>
    <w:lvl w:ilvl="3" w:tplc="FFFFFFFF" w:tentative="1">
      <w:start w:val="1"/>
      <w:numFmt w:val="decimal"/>
      <w:lvlText w:val="%4."/>
      <w:lvlJc w:val="left"/>
      <w:pPr>
        <w:ind w:left="3797" w:hanging="360"/>
      </w:pPr>
    </w:lvl>
    <w:lvl w:ilvl="4" w:tplc="FFFFFFFF" w:tentative="1">
      <w:start w:val="1"/>
      <w:numFmt w:val="lowerLetter"/>
      <w:lvlText w:val="%5."/>
      <w:lvlJc w:val="left"/>
      <w:pPr>
        <w:ind w:left="4517" w:hanging="360"/>
      </w:pPr>
    </w:lvl>
    <w:lvl w:ilvl="5" w:tplc="FFFFFFFF" w:tentative="1">
      <w:start w:val="1"/>
      <w:numFmt w:val="lowerRoman"/>
      <w:lvlText w:val="%6."/>
      <w:lvlJc w:val="right"/>
      <w:pPr>
        <w:ind w:left="5237" w:hanging="180"/>
      </w:pPr>
    </w:lvl>
    <w:lvl w:ilvl="6" w:tplc="FFFFFFFF" w:tentative="1">
      <w:start w:val="1"/>
      <w:numFmt w:val="decimal"/>
      <w:lvlText w:val="%7."/>
      <w:lvlJc w:val="left"/>
      <w:pPr>
        <w:ind w:left="5957" w:hanging="360"/>
      </w:pPr>
    </w:lvl>
    <w:lvl w:ilvl="7" w:tplc="FFFFFFFF" w:tentative="1">
      <w:start w:val="1"/>
      <w:numFmt w:val="lowerLetter"/>
      <w:lvlText w:val="%8."/>
      <w:lvlJc w:val="left"/>
      <w:pPr>
        <w:ind w:left="6677" w:hanging="360"/>
      </w:pPr>
    </w:lvl>
    <w:lvl w:ilvl="8" w:tplc="FFFFFFFF" w:tentative="1">
      <w:start w:val="1"/>
      <w:numFmt w:val="lowerRoman"/>
      <w:lvlText w:val="%9."/>
      <w:lvlJc w:val="right"/>
      <w:pPr>
        <w:ind w:left="7397" w:hanging="180"/>
      </w:pPr>
    </w:lvl>
  </w:abstractNum>
  <w:abstractNum w:abstractNumId="3" w15:restartNumberingAfterBreak="0">
    <w:nsid w:val="08F30DD9"/>
    <w:multiLevelType w:val="hybridMultilevel"/>
    <w:tmpl w:val="89BC6184"/>
    <w:lvl w:ilvl="0" w:tplc="611A9B26">
      <w:start w:val="1"/>
      <w:numFmt w:val="lowerRoman"/>
      <w:lvlText w:val="(%1)"/>
      <w:lvlJc w:val="left"/>
      <w:pPr>
        <w:ind w:left="1650" w:hanging="360"/>
      </w:pPr>
      <w:rPr>
        <w:rFonts w:hint="default"/>
      </w:rPr>
    </w:lvl>
    <w:lvl w:ilvl="1" w:tplc="FFFFFFFF" w:tentative="1">
      <w:start w:val="1"/>
      <w:numFmt w:val="lowerLetter"/>
      <w:lvlText w:val="%2."/>
      <w:lvlJc w:val="left"/>
      <w:pPr>
        <w:ind w:left="2370" w:hanging="360"/>
      </w:pPr>
    </w:lvl>
    <w:lvl w:ilvl="2" w:tplc="FFFFFFFF" w:tentative="1">
      <w:start w:val="1"/>
      <w:numFmt w:val="lowerRoman"/>
      <w:lvlText w:val="%3."/>
      <w:lvlJc w:val="right"/>
      <w:pPr>
        <w:ind w:left="3090" w:hanging="180"/>
      </w:pPr>
    </w:lvl>
    <w:lvl w:ilvl="3" w:tplc="FFFFFFFF" w:tentative="1">
      <w:start w:val="1"/>
      <w:numFmt w:val="decimal"/>
      <w:lvlText w:val="%4."/>
      <w:lvlJc w:val="left"/>
      <w:pPr>
        <w:ind w:left="3810" w:hanging="360"/>
      </w:pPr>
    </w:lvl>
    <w:lvl w:ilvl="4" w:tplc="FFFFFFFF" w:tentative="1">
      <w:start w:val="1"/>
      <w:numFmt w:val="lowerLetter"/>
      <w:lvlText w:val="%5."/>
      <w:lvlJc w:val="left"/>
      <w:pPr>
        <w:ind w:left="4530" w:hanging="360"/>
      </w:pPr>
    </w:lvl>
    <w:lvl w:ilvl="5" w:tplc="FFFFFFFF" w:tentative="1">
      <w:start w:val="1"/>
      <w:numFmt w:val="lowerRoman"/>
      <w:lvlText w:val="%6."/>
      <w:lvlJc w:val="right"/>
      <w:pPr>
        <w:ind w:left="5250" w:hanging="180"/>
      </w:pPr>
    </w:lvl>
    <w:lvl w:ilvl="6" w:tplc="FFFFFFFF" w:tentative="1">
      <w:start w:val="1"/>
      <w:numFmt w:val="decimal"/>
      <w:lvlText w:val="%7."/>
      <w:lvlJc w:val="left"/>
      <w:pPr>
        <w:ind w:left="5970" w:hanging="360"/>
      </w:pPr>
    </w:lvl>
    <w:lvl w:ilvl="7" w:tplc="FFFFFFFF" w:tentative="1">
      <w:start w:val="1"/>
      <w:numFmt w:val="lowerLetter"/>
      <w:lvlText w:val="%8."/>
      <w:lvlJc w:val="left"/>
      <w:pPr>
        <w:ind w:left="6690" w:hanging="360"/>
      </w:pPr>
    </w:lvl>
    <w:lvl w:ilvl="8" w:tplc="FFFFFFFF" w:tentative="1">
      <w:start w:val="1"/>
      <w:numFmt w:val="lowerRoman"/>
      <w:lvlText w:val="%9."/>
      <w:lvlJc w:val="right"/>
      <w:pPr>
        <w:ind w:left="7410" w:hanging="180"/>
      </w:pPr>
    </w:lvl>
  </w:abstractNum>
  <w:abstractNum w:abstractNumId="4" w15:restartNumberingAfterBreak="0">
    <w:nsid w:val="11813FFA"/>
    <w:multiLevelType w:val="hybridMultilevel"/>
    <w:tmpl w:val="822EBB4C"/>
    <w:lvl w:ilvl="0" w:tplc="FFFFFFFF">
      <w:start w:val="1"/>
      <w:numFmt w:val="lowerRoman"/>
      <w:lvlText w:val="(%1)"/>
      <w:lvlJc w:val="left"/>
      <w:pPr>
        <w:ind w:left="1650" w:hanging="360"/>
      </w:pPr>
      <w:rPr>
        <w:rFonts w:hint="default"/>
      </w:rPr>
    </w:lvl>
    <w:lvl w:ilvl="1" w:tplc="FFFFFFFF" w:tentative="1">
      <w:start w:val="1"/>
      <w:numFmt w:val="lowerLetter"/>
      <w:lvlText w:val="%2."/>
      <w:lvlJc w:val="left"/>
      <w:pPr>
        <w:ind w:left="2370" w:hanging="360"/>
      </w:pPr>
    </w:lvl>
    <w:lvl w:ilvl="2" w:tplc="FFFFFFFF" w:tentative="1">
      <w:start w:val="1"/>
      <w:numFmt w:val="lowerRoman"/>
      <w:lvlText w:val="%3."/>
      <w:lvlJc w:val="right"/>
      <w:pPr>
        <w:ind w:left="3090" w:hanging="180"/>
      </w:pPr>
    </w:lvl>
    <w:lvl w:ilvl="3" w:tplc="FFFFFFFF" w:tentative="1">
      <w:start w:val="1"/>
      <w:numFmt w:val="decimal"/>
      <w:lvlText w:val="%4."/>
      <w:lvlJc w:val="left"/>
      <w:pPr>
        <w:ind w:left="3810" w:hanging="360"/>
      </w:pPr>
    </w:lvl>
    <w:lvl w:ilvl="4" w:tplc="FFFFFFFF" w:tentative="1">
      <w:start w:val="1"/>
      <w:numFmt w:val="lowerLetter"/>
      <w:lvlText w:val="%5."/>
      <w:lvlJc w:val="left"/>
      <w:pPr>
        <w:ind w:left="4530" w:hanging="360"/>
      </w:pPr>
    </w:lvl>
    <w:lvl w:ilvl="5" w:tplc="FFFFFFFF" w:tentative="1">
      <w:start w:val="1"/>
      <w:numFmt w:val="lowerRoman"/>
      <w:lvlText w:val="%6."/>
      <w:lvlJc w:val="right"/>
      <w:pPr>
        <w:ind w:left="5250" w:hanging="180"/>
      </w:pPr>
    </w:lvl>
    <w:lvl w:ilvl="6" w:tplc="FFFFFFFF" w:tentative="1">
      <w:start w:val="1"/>
      <w:numFmt w:val="decimal"/>
      <w:lvlText w:val="%7."/>
      <w:lvlJc w:val="left"/>
      <w:pPr>
        <w:ind w:left="5970" w:hanging="360"/>
      </w:pPr>
    </w:lvl>
    <w:lvl w:ilvl="7" w:tplc="FFFFFFFF" w:tentative="1">
      <w:start w:val="1"/>
      <w:numFmt w:val="lowerLetter"/>
      <w:lvlText w:val="%8."/>
      <w:lvlJc w:val="left"/>
      <w:pPr>
        <w:ind w:left="6690" w:hanging="360"/>
      </w:pPr>
    </w:lvl>
    <w:lvl w:ilvl="8" w:tplc="FFFFFFFF" w:tentative="1">
      <w:start w:val="1"/>
      <w:numFmt w:val="lowerRoman"/>
      <w:lvlText w:val="%9."/>
      <w:lvlJc w:val="right"/>
      <w:pPr>
        <w:ind w:left="7410" w:hanging="180"/>
      </w:pPr>
    </w:lvl>
  </w:abstractNum>
  <w:abstractNum w:abstractNumId="5" w15:restartNumberingAfterBreak="0">
    <w:nsid w:val="14C1666D"/>
    <w:multiLevelType w:val="hybridMultilevel"/>
    <w:tmpl w:val="2FD0CC92"/>
    <w:lvl w:ilvl="0" w:tplc="FFFFFFFF">
      <w:start w:val="1"/>
      <w:numFmt w:val="lowerLetter"/>
      <w:lvlText w:val="%1)"/>
      <w:lvlJc w:val="left"/>
      <w:pPr>
        <w:ind w:left="1637" w:hanging="360"/>
      </w:pPr>
      <w:rPr>
        <w:rFonts w:ascii="Calibri" w:hAnsi="Calibri" w:hint="default"/>
      </w:rPr>
    </w:lvl>
    <w:lvl w:ilvl="1" w:tplc="FFFFFFFF" w:tentative="1">
      <w:start w:val="1"/>
      <w:numFmt w:val="lowerLetter"/>
      <w:lvlText w:val="%2."/>
      <w:lvlJc w:val="left"/>
      <w:pPr>
        <w:ind w:left="2357" w:hanging="360"/>
      </w:pPr>
    </w:lvl>
    <w:lvl w:ilvl="2" w:tplc="FFFFFFFF" w:tentative="1">
      <w:start w:val="1"/>
      <w:numFmt w:val="lowerRoman"/>
      <w:lvlText w:val="%3."/>
      <w:lvlJc w:val="right"/>
      <w:pPr>
        <w:ind w:left="3077" w:hanging="180"/>
      </w:pPr>
    </w:lvl>
    <w:lvl w:ilvl="3" w:tplc="FFFFFFFF" w:tentative="1">
      <w:start w:val="1"/>
      <w:numFmt w:val="decimal"/>
      <w:lvlText w:val="%4."/>
      <w:lvlJc w:val="left"/>
      <w:pPr>
        <w:ind w:left="3797" w:hanging="360"/>
      </w:pPr>
    </w:lvl>
    <w:lvl w:ilvl="4" w:tplc="FFFFFFFF" w:tentative="1">
      <w:start w:val="1"/>
      <w:numFmt w:val="lowerLetter"/>
      <w:lvlText w:val="%5."/>
      <w:lvlJc w:val="left"/>
      <w:pPr>
        <w:ind w:left="4517" w:hanging="360"/>
      </w:pPr>
    </w:lvl>
    <w:lvl w:ilvl="5" w:tplc="FFFFFFFF" w:tentative="1">
      <w:start w:val="1"/>
      <w:numFmt w:val="lowerRoman"/>
      <w:lvlText w:val="%6."/>
      <w:lvlJc w:val="right"/>
      <w:pPr>
        <w:ind w:left="5237" w:hanging="180"/>
      </w:pPr>
    </w:lvl>
    <w:lvl w:ilvl="6" w:tplc="FFFFFFFF" w:tentative="1">
      <w:start w:val="1"/>
      <w:numFmt w:val="decimal"/>
      <w:lvlText w:val="%7."/>
      <w:lvlJc w:val="left"/>
      <w:pPr>
        <w:ind w:left="5957" w:hanging="360"/>
      </w:pPr>
    </w:lvl>
    <w:lvl w:ilvl="7" w:tplc="FFFFFFFF" w:tentative="1">
      <w:start w:val="1"/>
      <w:numFmt w:val="lowerLetter"/>
      <w:lvlText w:val="%8."/>
      <w:lvlJc w:val="left"/>
      <w:pPr>
        <w:ind w:left="6677" w:hanging="360"/>
      </w:pPr>
    </w:lvl>
    <w:lvl w:ilvl="8" w:tplc="FFFFFFFF" w:tentative="1">
      <w:start w:val="1"/>
      <w:numFmt w:val="lowerRoman"/>
      <w:lvlText w:val="%9."/>
      <w:lvlJc w:val="right"/>
      <w:pPr>
        <w:ind w:left="7397" w:hanging="180"/>
      </w:pPr>
    </w:lvl>
  </w:abstractNum>
  <w:abstractNum w:abstractNumId="6" w15:restartNumberingAfterBreak="0">
    <w:nsid w:val="14C86EB2"/>
    <w:multiLevelType w:val="singleLevel"/>
    <w:tmpl w:val="BC744DF4"/>
    <w:lvl w:ilvl="0">
      <w:start w:val="1"/>
      <w:numFmt w:val="lowerLetter"/>
      <w:lvlText w:val="%1)"/>
      <w:lvlJc w:val="left"/>
      <w:pPr>
        <w:tabs>
          <w:tab w:val="num" w:pos="1778"/>
        </w:tabs>
        <w:ind w:left="1778" w:hanging="360"/>
      </w:pPr>
      <w:rPr>
        <w:rFonts w:hint="default"/>
      </w:rPr>
    </w:lvl>
  </w:abstractNum>
  <w:abstractNum w:abstractNumId="7" w15:restartNumberingAfterBreak="0">
    <w:nsid w:val="16D04BA5"/>
    <w:multiLevelType w:val="hybridMultilevel"/>
    <w:tmpl w:val="73087EA8"/>
    <w:lvl w:ilvl="0" w:tplc="611A9B26">
      <w:start w:val="1"/>
      <w:numFmt w:val="lowerRoman"/>
      <w:lvlText w:val="(%1)"/>
      <w:lvlJc w:val="left"/>
      <w:pPr>
        <w:ind w:left="1650" w:hanging="720"/>
      </w:pPr>
      <w:rPr>
        <w:rFonts w:hint="default"/>
      </w:rPr>
    </w:lvl>
    <w:lvl w:ilvl="1" w:tplc="04160019" w:tentative="1">
      <w:start w:val="1"/>
      <w:numFmt w:val="lowerLetter"/>
      <w:lvlText w:val="%2."/>
      <w:lvlJc w:val="left"/>
      <w:pPr>
        <w:ind w:left="2010" w:hanging="360"/>
      </w:pPr>
    </w:lvl>
    <w:lvl w:ilvl="2" w:tplc="0416001B" w:tentative="1">
      <w:start w:val="1"/>
      <w:numFmt w:val="lowerRoman"/>
      <w:lvlText w:val="%3."/>
      <w:lvlJc w:val="right"/>
      <w:pPr>
        <w:ind w:left="2730" w:hanging="180"/>
      </w:pPr>
    </w:lvl>
    <w:lvl w:ilvl="3" w:tplc="0416000F" w:tentative="1">
      <w:start w:val="1"/>
      <w:numFmt w:val="decimal"/>
      <w:lvlText w:val="%4."/>
      <w:lvlJc w:val="left"/>
      <w:pPr>
        <w:ind w:left="3450" w:hanging="360"/>
      </w:pPr>
    </w:lvl>
    <w:lvl w:ilvl="4" w:tplc="04160019" w:tentative="1">
      <w:start w:val="1"/>
      <w:numFmt w:val="lowerLetter"/>
      <w:lvlText w:val="%5."/>
      <w:lvlJc w:val="left"/>
      <w:pPr>
        <w:ind w:left="4170" w:hanging="360"/>
      </w:pPr>
    </w:lvl>
    <w:lvl w:ilvl="5" w:tplc="0416001B" w:tentative="1">
      <w:start w:val="1"/>
      <w:numFmt w:val="lowerRoman"/>
      <w:lvlText w:val="%6."/>
      <w:lvlJc w:val="right"/>
      <w:pPr>
        <w:ind w:left="4890" w:hanging="180"/>
      </w:pPr>
    </w:lvl>
    <w:lvl w:ilvl="6" w:tplc="0416000F" w:tentative="1">
      <w:start w:val="1"/>
      <w:numFmt w:val="decimal"/>
      <w:lvlText w:val="%7."/>
      <w:lvlJc w:val="left"/>
      <w:pPr>
        <w:ind w:left="5610" w:hanging="360"/>
      </w:pPr>
    </w:lvl>
    <w:lvl w:ilvl="7" w:tplc="04160019" w:tentative="1">
      <w:start w:val="1"/>
      <w:numFmt w:val="lowerLetter"/>
      <w:lvlText w:val="%8."/>
      <w:lvlJc w:val="left"/>
      <w:pPr>
        <w:ind w:left="6330" w:hanging="360"/>
      </w:pPr>
    </w:lvl>
    <w:lvl w:ilvl="8" w:tplc="0416001B" w:tentative="1">
      <w:start w:val="1"/>
      <w:numFmt w:val="lowerRoman"/>
      <w:lvlText w:val="%9."/>
      <w:lvlJc w:val="right"/>
      <w:pPr>
        <w:ind w:left="7050" w:hanging="180"/>
      </w:pPr>
    </w:lvl>
  </w:abstractNum>
  <w:abstractNum w:abstractNumId="8" w15:restartNumberingAfterBreak="0">
    <w:nsid w:val="183F5EE2"/>
    <w:multiLevelType w:val="singleLevel"/>
    <w:tmpl w:val="7C843DA8"/>
    <w:lvl w:ilvl="0">
      <w:start w:val="8"/>
      <w:numFmt w:val="decimal"/>
      <w:lvlText w:val="%1."/>
      <w:lvlJc w:val="left"/>
      <w:pPr>
        <w:tabs>
          <w:tab w:val="num" w:pos="1425"/>
        </w:tabs>
        <w:ind w:left="1425" w:hanging="1425"/>
      </w:pPr>
      <w:rPr>
        <w:rFonts w:hint="default"/>
      </w:rPr>
    </w:lvl>
  </w:abstractNum>
  <w:abstractNum w:abstractNumId="9" w15:restartNumberingAfterBreak="0">
    <w:nsid w:val="186456F2"/>
    <w:multiLevelType w:val="hybridMultilevel"/>
    <w:tmpl w:val="D488F880"/>
    <w:lvl w:ilvl="0" w:tplc="EF9E1124">
      <w:start w:val="1"/>
      <w:numFmt w:val="lowerLetter"/>
      <w:lvlText w:val="%1)"/>
      <w:lvlJc w:val="left"/>
      <w:pPr>
        <w:ind w:left="1353" w:hanging="360"/>
      </w:pPr>
      <w:rPr>
        <w:rFonts w:hint="default"/>
      </w:rPr>
    </w:lvl>
    <w:lvl w:ilvl="1" w:tplc="04160019" w:tentative="1">
      <w:start w:val="1"/>
      <w:numFmt w:val="lowerLetter"/>
      <w:lvlText w:val="%2."/>
      <w:lvlJc w:val="left"/>
      <w:pPr>
        <w:ind w:left="2073" w:hanging="360"/>
      </w:pPr>
    </w:lvl>
    <w:lvl w:ilvl="2" w:tplc="0416001B" w:tentative="1">
      <w:start w:val="1"/>
      <w:numFmt w:val="lowerRoman"/>
      <w:lvlText w:val="%3."/>
      <w:lvlJc w:val="right"/>
      <w:pPr>
        <w:ind w:left="2793" w:hanging="180"/>
      </w:pPr>
    </w:lvl>
    <w:lvl w:ilvl="3" w:tplc="0416000F" w:tentative="1">
      <w:start w:val="1"/>
      <w:numFmt w:val="decimal"/>
      <w:lvlText w:val="%4."/>
      <w:lvlJc w:val="left"/>
      <w:pPr>
        <w:ind w:left="3513" w:hanging="360"/>
      </w:pPr>
    </w:lvl>
    <w:lvl w:ilvl="4" w:tplc="04160019" w:tentative="1">
      <w:start w:val="1"/>
      <w:numFmt w:val="lowerLetter"/>
      <w:lvlText w:val="%5."/>
      <w:lvlJc w:val="left"/>
      <w:pPr>
        <w:ind w:left="4233" w:hanging="360"/>
      </w:pPr>
    </w:lvl>
    <w:lvl w:ilvl="5" w:tplc="0416001B" w:tentative="1">
      <w:start w:val="1"/>
      <w:numFmt w:val="lowerRoman"/>
      <w:lvlText w:val="%6."/>
      <w:lvlJc w:val="right"/>
      <w:pPr>
        <w:ind w:left="4953" w:hanging="180"/>
      </w:pPr>
    </w:lvl>
    <w:lvl w:ilvl="6" w:tplc="0416000F" w:tentative="1">
      <w:start w:val="1"/>
      <w:numFmt w:val="decimal"/>
      <w:lvlText w:val="%7."/>
      <w:lvlJc w:val="left"/>
      <w:pPr>
        <w:ind w:left="5673" w:hanging="360"/>
      </w:pPr>
    </w:lvl>
    <w:lvl w:ilvl="7" w:tplc="04160019" w:tentative="1">
      <w:start w:val="1"/>
      <w:numFmt w:val="lowerLetter"/>
      <w:lvlText w:val="%8."/>
      <w:lvlJc w:val="left"/>
      <w:pPr>
        <w:ind w:left="6393" w:hanging="360"/>
      </w:pPr>
    </w:lvl>
    <w:lvl w:ilvl="8" w:tplc="0416001B" w:tentative="1">
      <w:start w:val="1"/>
      <w:numFmt w:val="lowerRoman"/>
      <w:lvlText w:val="%9."/>
      <w:lvlJc w:val="right"/>
      <w:pPr>
        <w:ind w:left="7113" w:hanging="180"/>
      </w:pPr>
    </w:lvl>
  </w:abstractNum>
  <w:abstractNum w:abstractNumId="10" w15:restartNumberingAfterBreak="0">
    <w:nsid w:val="1A614166"/>
    <w:multiLevelType w:val="hybridMultilevel"/>
    <w:tmpl w:val="E92AB702"/>
    <w:lvl w:ilvl="0" w:tplc="DD5A7ECC">
      <w:start w:val="1"/>
      <w:numFmt w:val="lowerLetter"/>
      <w:lvlText w:val="(%1)"/>
      <w:lvlJc w:val="left"/>
      <w:pPr>
        <w:ind w:left="1650" w:hanging="360"/>
      </w:pPr>
      <w:rPr>
        <w:rFonts w:hint="default"/>
      </w:rPr>
    </w:lvl>
    <w:lvl w:ilvl="1" w:tplc="F4DC2606">
      <w:start w:val="1"/>
      <w:numFmt w:val="lowerLetter"/>
      <w:lvlText w:val="%2)"/>
      <w:lvlJc w:val="left"/>
      <w:pPr>
        <w:ind w:left="2370" w:hanging="360"/>
      </w:pPr>
      <w:rPr>
        <w:rFonts w:ascii="Calibri" w:hAnsi="Calibri" w:hint="default"/>
      </w:rPr>
    </w:lvl>
    <w:lvl w:ilvl="2" w:tplc="0416001B" w:tentative="1">
      <w:start w:val="1"/>
      <w:numFmt w:val="lowerRoman"/>
      <w:lvlText w:val="%3."/>
      <w:lvlJc w:val="right"/>
      <w:pPr>
        <w:ind w:left="3090" w:hanging="180"/>
      </w:pPr>
    </w:lvl>
    <w:lvl w:ilvl="3" w:tplc="0416000F" w:tentative="1">
      <w:start w:val="1"/>
      <w:numFmt w:val="decimal"/>
      <w:lvlText w:val="%4."/>
      <w:lvlJc w:val="left"/>
      <w:pPr>
        <w:ind w:left="3810" w:hanging="360"/>
      </w:pPr>
    </w:lvl>
    <w:lvl w:ilvl="4" w:tplc="04160019" w:tentative="1">
      <w:start w:val="1"/>
      <w:numFmt w:val="lowerLetter"/>
      <w:lvlText w:val="%5."/>
      <w:lvlJc w:val="left"/>
      <w:pPr>
        <w:ind w:left="4530" w:hanging="360"/>
      </w:pPr>
    </w:lvl>
    <w:lvl w:ilvl="5" w:tplc="0416001B" w:tentative="1">
      <w:start w:val="1"/>
      <w:numFmt w:val="lowerRoman"/>
      <w:lvlText w:val="%6."/>
      <w:lvlJc w:val="right"/>
      <w:pPr>
        <w:ind w:left="5250" w:hanging="180"/>
      </w:pPr>
    </w:lvl>
    <w:lvl w:ilvl="6" w:tplc="0416000F" w:tentative="1">
      <w:start w:val="1"/>
      <w:numFmt w:val="decimal"/>
      <w:lvlText w:val="%7."/>
      <w:lvlJc w:val="left"/>
      <w:pPr>
        <w:ind w:left="5970" w:hanging="360"/>
      </w:pPr>
    </w:lvl>
    <w:lvl w:ilvl="7" w:tplc="04160019" w:tentative="1">
      <w:start w:val="1"/>
      <w:numFmt w:val="lowerLetter"/>
      <w:lvlText w:val="%8."/>
      <w:lvlJc w:val="left"/>
      <w:pPr>
        <w:ind w:left="6690" w:hanging="360"/>
      </w:pPr>
    </w:lvl>
    <w:lvl w:ilvl="8" w:tplc="0416001B" w:tentative="1">
      <w:start w:val="1"/>
      <w:numFmt w:val="lowerRoman"/>
      <w:lvlText w:val="%9."/>
      <w:lvlJc w:val="right"/>
      <w:pPr>
        <w:ind w:left="7410" w:hanging="180"/>
      </w:pPr>
    </w:lvl>
  </w:abstractNum>
  <w:abstractNum w:abstractNumId="11" w15:restartNumberingAfterBreak="0">
    <w:nsid w:val="1C465EBB"/>
    <w:multiLevelType w:val="hybridMultilevel"/>
    <w:tmpl w:val="97E83514"/>
    <w:lvl w:ilvl="0" w:tplc="C032DC9E">
      <w:start w:val="1"/>
      <w:numFmt w:val="lowerLetter"/>
      <w:lvlText w:val="%1)"/>
      <w:lvlJc w:val="left"/>
      <w:pPr>
        <w:ind w:left="1650" w:hanging="570"/>
      </w:pPr>
      <w:rPr>
        <w:rFonts w:ascii="Calibri" w:hAnsi="Calibri" w:hint="default"/>
        <w:b w:val="0"/>
        <w:bCs/>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1CA63114"/>
    <w:multiLevelType w:val="hybridMultilevel"/>
    <w:tmpl w:val="10BA1F1C"/>
    <w:lvl w:ilvl="0" w:tplc="F4DC2606">
      <w:start w:val="1"/>
      <w:numFmt w:val="lowerLetter"/>
      <w:lvlText w:val="%1)"/>
      <w:lvlJc w:val="left"/>
      <w:pPr>
        <w:ind w:left="1650" w:hanging="360"/>
      </w:pPr>
      <w:rPr>
        <w:rFonts w:ascii="Calibri" w:hAnsi="Calibri" w:hint="default"/>
      </w:rPr>
    </w:lvl>
    <w:lvl w:ilvl="1" w:tplc="04160019" w:tentative="1">
      <w:start w:val="1"/>
      <w:numFmt w:val="lowerLetter"/>
      <w:lvlText w:val="%2."/>
      <w:lvlJc w:val="left"/>
      <w:pPr>
        <w:ind w:left="2370" w:hanging="360"/>
      </w:pPr>
    </w:lvl>
    <w:lvl w:ilvl="2" w:tplc="0416001B" w:tentative="1">
      <w:start w:val="1"/>
      <w:numFmt w:val="lowerRoman"/>
      <w:lvlText w:val="%3."/>
      <w:lvlJc w:val="right"/>
      <w:pPr>
        <w:ind w:left="3090" w:hanging="180"/>
      </w:pPr>
    </w:lvl>
    <w:lvl w:ilvl="3" w:tplc="0416000F" w:tentative="1">
      <w:start w:val="1"/>
      <w:numFmt w:val="decimal"/>
      <w:lvlText w:val="%4."/>
      <w:lvlJc w:val="left"/>
      <w:pPr>
        <w:ind w:left="3810" w:hanging="360"/>
      </w:pPr>
    </w:lvl>
    <w:lvl w:ilvl="4" w:tplc="04160019" w:tentative="1">
      <w:start w:val="1"/>
      <w:numFmt w:val="lowerLetter"/>
      <w:lvlText w:val="%5."/>
      <w:lvlJc w:val="left"/>
      <w:pPr>
        <w:ind w:left="4530" w:hanging="360"/>
      </w:pPr>
    </w:lvl>
    <w:lvl w:ilvl="5" w:tplc="0416001B" w:tentative="1">
      <w:start w:val="1"/>
      <w:numFmt w:val="lowerRoman"/>
      <w:lvlText w:val="%6."/>
      <w:lvlJc w:val="right"/>
      <w:pPr>
        <w:ind w:left="5250" w:hanging="180"/>
      </w:pPr>
    </w:lvl>
    <w:lvl w:ilvl="6" w:tplc="0416000F" w:tentative="1">
      <w:start w:val="1"/>
      <w:numFmt w:val="decimal"/>
      <w:lvlText w:val="%7."/>
      <w:lvlJc w:val="left"/>
      <w:pPr>
        <w:ind w:left="5970" w:hanging="360"/>
      </w:pPr>
    </w:lvl>
    <w:lvl w:ilvl="7" w:tplc="04160019" w:tentative="1">
      <w:start w:val="1"/>
      <w:numFmt w:val="lowerLetter"/>
      <w:lvlText w:val="%8."/>
      <w:lvlJc w:val="left"/>
      <w:pPr>
        <w:ind w:left="6690" w:hanging="360"/>
      </w:pPr>
    </w:lvl>
    <w:lvl w:ilvl="8" w:tplc="0416001B" w:tentative="1">
      <w:start w:val="1"/>
      <w:numFmt w:val="lowerRoman"/>
      <w:lvlText w:val="%9."/>
      <w:lvlJc w:val="right"/>
      <w:pPr>
        <w:ind w:left="7410" w:hanging="180"/>
      </w:pPr>
    </w:lvl>
  </w:abstractNum>
  <w:abstractNum w:abstractNumId="13" w15:restartNumberingAfterBreak="0">
    <w:nsid w:val="1F5F281D"/>
    <w:multiLevelType w:val="hybridMultilevel"/>
    <w:tmpl w:val="2FD0CC92"/>
    <w:lvl w:ilvl="0" w:tplc="FFFFFFFF">
      <w:start w:val="1"/>
      <w:numFmt w:val="lowerLetter"/>
      <w:lvlText w:val="%1)"/>
      <w:lvlJc w:val="left"/>
      <w:pPr>
        <w:ind w:left="1637" w:hanging="360"/>
      </w:pPr>
      <w:rPr>
        <w:rFonts w:ascii="Calibri" w:hAnsi="Calibri" w:hint="default"/>
      </w:rPr>
    </w:lvl>
    <w:lvl w:ilvl="1" w:tplc="FFFFFFFF" w:tentative="1">
      <w:start w:val="1"/>
      <w:numFmt w:val="lowerLetter"/>
      <w:lvlText w:val="%2."/>
      <w:lvlJc w:val="left"/>
      <w:pPr>
        <w:ind w:left="2357" w:hanging="360"/>
      </w:pPr>
    </w:lvl>
    <w:lvl w:ilvl="2" w:tplc="FFFFFFFF" w:tentative="1">
      <w:start w:val="1"/>
      <w:numFmt w:val="lowerRoman"/>
      <w:lvlText w:val="%3."/>
      <w:lvlJc w:val="right"/>
      <w:pPr>
        <w:ind w:left="3077" w:hanging="180"/>
      </w:pPr>
    </w:lvl>
    <w:lvl w:ilvl="3" w:tplc="FFFFFFFF" w:tentative="1">
      <w:start w:val="1"/>
      <w:numFmt w:val="decimal"/>
      <w:lvlText w:val="%4."/>
      <w:lvlJc w:val="left"/>
      <w:pPr>
        <w:ind w:left="3797" w:hanging="360"/>
      </w:pPr>
    </w:lvl>
    <w:lvl w:ilvl="4" w:tplc="FFFFFFFF" w:tentative="1">
      <w:start w:val="1"/>
      <w:numFmt w:val="lowerLetter"/>
      <w:lvlText w:val="%5."/>
      <w:lvlJc w:val="left"/>
      <w:pPr>
        <w:ind w:left="4517" w:hanging="360"/>
      </w:pPr>
    </w:lvl>
    <w:lvl w:ilvl="5" w:tplc="FFFFFFFF" w:tentative="1">
      <w:start w:val="1"/>
      <w:numFmt w:val="lowerRoman"/>
      <w:lvlText w:val="%6."/>
      <w:lvlJc w:val="right"/>
      <w:pPr>
        <w:ind w:left="5237" w:hanging="180"/>
      </w:pPr>
    </w:lvl>
    <w:lvl w:ilvl="6" w:tplc="FFFFFFFF" w:tentative="1">
      <w:start w:val="1"/>
      <w:numFmt w:val="decimal"/>
      <w:lvlText w:val="%7."/>
      <w:lvlJc w:val="left"/>
      <w:pPr>
        <w:ind w:left="5957" w:hanging="360"/>
      </w:pPr>
    </w:lvl>
    <w:lvl w:ilvl="7" w:tplc="FFFFFFFF" w:tentative="1">
      <w:start w:val="1"/>
      <w:numFmt w:val="lowerLetter"/>
      <w:lvlText w:val="%8."/>
      <w:lvlJc w:val="left"/>
      <w:pPr>
        <w:ind w:left="6677" w:hanging="360"/>
      </w:pPr>
    </w:lvl>
    <w:lvl w:ilvl="8" w:tplc="FFFFFFFF" w:tentative="1">
      <w:start w:val="1"/>
      <w:numFmt w:val="lowerRoman"/>
      <w:lvlText w:val="%9."/>
      <w:lvlJc w:val="right"/>
      <w:pPr>
        <w:ind w:left="7397" w:hanging="180"/>
      </w:pPr>
    </w:lvl>
  </w:abstractNum>
  <w:abstractNum w:abstractNumId="14" w15:restartNumberingAfterBreak="0">
    <w:nsid w:val="222059B4"/>
    <w:multiLevelType w:val="hybridMultilevel"/>
    <w:tmpl w:val="2FD0CC92"/>
    <w:lvl w:ilvl="0" w:tplc="FFFFFFFF">
      <w:start w:val="1"/>
      <w:numFmt w:val="lowerLetter"/>
      <w:lvlText w:val="%1)"/>
      <w:lvlJc w:val="left"/>
      <w:pPr>
        <w:ind w:left="1637" w:hanging="360"/>
      </w:pPr>
      <w:rPr>
        <w:rFonts w:ascii="Calibri" w:hAnsi="Calibri" w:hint="default"/>
      </w:rPr>
    </w:lvl>
    <w:lvl w:ilvl="1" w:tplc="FFFFFFFF" w:tentative="1">
      <w:start w:val="1"/>
      <w:numFmt w:val="lowerLetter"/>
      <w:lvlText w:val="%2."/>
      <w:lvlJc w:val="left"/>
      <w:pPr>
        <w:ind w:left="2357" w:hanging="360"/>
      </w:pPr>
    </w:lvl>
    <w:lvl w:ilvl="2" w:tplc="FFFFFFFF" w:tentative="1">
      <w:start w:val="1"/>
      <w:numFmt w:val="lowerRoman"/>
      <w:lvlText w:val="%3."/>
      <w:lvlJc w:val="right"/>
      <w:pPr>
        <w:ind w:left="3077" w:hanging="180"/>
      </w:pPr>
    </w:lvl>
    <w:lvl w:ilvl="3" w:tplc="FFFFFFFF" w:tentative="1">
      <w:start w:val="1"/>
      <w:numFmt w:val="decimal"/>
      <w:lvlText w:val="%4."/>
      <w:lvlJc w:val="left"/>
      <w:pPr>
        <w:ind w:left="3797" w:hanging="360"/>
      </w:pPr>
    </w:lvl>
    <w:lvl w:ilvl="4" w:tplc="FFFFFFFF" w:tentative="1">
      <w:start w:val="1"/>
      <w:numFmt w:val="lowerLetter"/>
      <w:lvlText w:val="%5."/>
      <w:lvlJc w:val="left"/>
      <w:pPr>
        <w:ind w:left="4517" w:hanging="360"/>
      </w:pPr>
    </w:lvl>
    <w:lvl w:ilvl="5" w:tplc="FFFFFFFF" w:tentative="1">
      <w:start w:val="1"/>
      <w:numFmt w:val="lowerRoman"/>
      <w:lvlText w:val="%6."/>
      <w:lvlJc w:val="right"/>
      <w:pPr>
        <w:ind w:left="5237" w:hanging="180"/>
      </w:pPr>
    </w:lvl>
    <w:lvl w:ilvl="6" w:tplc="FFFFFFFF" w:tentative="1">
      <w:start w:val="1"/>
      <w:numFmt w:val="decimal"/>
      <w:lvlText w:val="%7."/>
      <w:lvlJc w:val="left"/>
      <w:pPr>
        <w:ind w:left="5957" w:hanging="360"/>
      </w:pPr>
    </w:lvl>
    <w:lvl w:ilvl="7" w:tplc="FFFFFFFF" w:tentative="1">
      <w:start w:val="1"/>
      <w:numFmt w:val="lowerLetter"/>
      <w:lvlText w:val="%8."/>
      <w:lvlJc w:val="left"/>
      <w:pPr>
        <w:ind w:left="6677" w:hanging="360"/>
      </w:pPr>
    </w:lvl>
    <w:lvl w:ilvl="8" w:tplc="FFFFFFFF" w:tentative="1">
      <w:start w:val="1"/>
      <w:numFmt w:val="lowerRoman"/>
      <w:lvlText w:val="%9."/>
      <w:lvlJc w:val="right"/>
      <w:pPr>
        <w:ind w:left="7397" w:hanging="180"/>
      </w:pPr>
    </w:lvl>
  </w:abstractNum>
  <w:abstractNum w:abstractNumId="15" w15:restartNumberingAfterBreak="0">
    <w:nsid w:val="24DA0774"/>
    <w:multiLevelType w:val="hybridMultilevel"/>
    <w:tmpl w:val="22D0E25C"/>
    <w:lvl w:ilvl="0" w:tplc="DD5A7ECC">
      <w:start w:val="1"/>
      <w:numFmt w:val="lowerLetter"/>
      <w:lvlText w:val="(%1)"/>
      <w:lvlJc w:val="left"/>
      <w:pPr>
        <w:ind w:left="1650" w:hanging="360"/>
      </w:pPr>
      <w:rPr>
        <w:rFonts w:hint="default"/>
      </w:rPr>
    </w:lvl>
    <w:lvl w:ilvl="1" w:tplc="04160019" w:tentative="1">
      <w:start w:val="1"/>
      <w:numFmt w:val="lowerLetter"/>
      <w:lvlText w:val="%2."/>
      <w:lvlJc w:val="left"/>
      <w:pPr>
        <w:ind w:left="2370" w:hanging="360"/>
      </w:pPr>
    </w:lvl>
    <w:lvl w:ilvl="2" w:tplc="0416001B" w:tentative="1">
      <w:start w:val="1"/>
      <w:numFmt w:val="lowerRoman"/>
      <w:lvlText w:val="%3."/>
      <w:lvlJc w:val="right"/>
      <w:pPr>
        <w:ind w:left="3090" w:hanging="180"/>
      </w:pPr>
    </w:lvl>
    <w:lvl w:ilvl="3" w:tplc="0416000F" w:tentative="1">
      <w:start w:val="1"/>
      <w:numFmt w:val="decimal"/>
      <w:lvlText w:val="%4."/>
      <w:lvlJc w:val="left"/>
      <w:pPr>
        <w:ind w:left="3810" w:hanging="360"/>
      </w:pPr>
    </w:lvl>
    <w:lvl w:ilvl="4" w:tplc="04160019" w:tentative="1">
      <w:start w:val="1"/>
      <w:numFmt w:val="lowerLetter"/>
      <w:lvlText w:val="%5."/>
      <w:lvlJc w:val="left"/>
      <w:pPr>
        <w:ind w:left="4530" w:hanging="360"/>
      </w:pPr>
    </w:lvl>
    <w:lvl w:ilvl="5" w:tplc="0416001B" w:tentative="1">
      <w:start w:val="1"/>
      <w:numFmt w:val="lowerRoman"/>
      <w:lvlText w:val="%6."/>
      <w:lvlJc w:val="right"/>
      <w:pPr>
        <w:ind w:left="5250" w:hanging="180"/>
      </w:pPr>
    </w:lvl>
    <w:lvl w:ilvl="6" w:tplc="0416000F" w:tentative="1">
      <w:start w:val="1"/>
      <w:numFmt w:val="decimal"/>
      <w:lvlText w:val="%7."/>
      <w:lvlJc w:val="left"/>
      <w:pPr>
        <w:ind w:left="5970" w:hanging="360"/>
      </w:pPr>
    </w:lvl>
    <w:lvl w:ilvl="7" w:tplc="04160019" w:tentative="1">
      <w:start w:val="1"/>
      <w:numFmt w:val="lowerLetter"/>
      <w:lvlText w:val="%8."/>
      <w:lvlJc w:val="left"/>
      <w:pPr>
        <w:ind w:left="6690" w:hanging="360"/>
      </w:pPr>
    </w:lvl>
    <w:lvl w:ilvl="8" w:tplc="0416001B" w:tentative="1">
      <w:start w:val="1"/>
      <w:numFmt w:val="lowerRoman"/>
      <w:lvlText w:val="%9."/>
      <w:lvlJc w:val="right"/>
      <w:pPr>
        <w:ind w:left="7410" w:hanging="180"/>
      </w:pPr>
    </w:lvl>
  </w:abstractNum>
  <w:abstractNum w:abstractNumId="16" w15:restartNumberingAfterBreak="0">
    <w:nsid w:val="28017760"/>
    <w:multiLevelType w:val="hybridMultilevel"/>
    <w:tmpl w:val="81F299BE"/>
    <w:lvl w:ilvl="0" w:tplc="DD5A7ECC">
      <w:start w:val="1"/>
      <w:numFmt w:val="lowerLetter"/>
      <w:lvlText w:val="(%1)"/>
      <w:lvlJc w:val="left"/>
      <w:pPr>
        <w:ind w:left="1290" w:hanging="360"/>
      </w:pPr>
      <w:rPr>
        <w:rFonts w:hint="default"/>
      </w:rPr>
    </w:lvl>
    <w:lvl w:ilvl="1" w:tplc="04160019">
      <w:start w:val="1"/>
      <w:numFmt w:val="lowerLetter"/>
      <w:lvlText w:val="%2."/>
      <w:lvlJc w:val="left"/>
      <w:pPr>
        <w:ind w:left="2010" w:hanging="360"/>
      </w:pPr>
    </w:lvl>
    <w:lvl w:ilvl="2" w:tplc="0416001B" w:tentative="1">
      <w:start w:val="1"/>
      <w:numFmt w:val="lowerRoman"/>
      <w:lvlText w:val="%3."/>
      <w:lvlJc w:val="right"/>
      <w:pPr>
        <w:ind w:left="2730" w:hanging="180"/>
      </w:pPr>
    </w:lvl>
    <w:lvl w:ilvl="3" w:tplc="0416000F" w:tentative="1">
      <w:start w:val="1"/>
      <w:numFmt w:val="decimal"/>
      <w:lvlText w:val="%4."/>
      <w:lvlJc w:val="left"/>
      <w:pPr>
        <w:ind w:left="3450" w:hanging="360"/>
      </w:pPr>
    </w:lvl>
    <w:lvl w:ilvl="4" w:tplc="04160019" w:tentative="1">
      <w:start w:val="1"/>
      <w:numFmt w:val="lowerLetter"/>
      <w:lvlText w:val="%5."/>
      <w:lvlJc w:val="left"/>
      <w:pPr>
        <w:ind w:left="4170" w:hanging="360"/>
      </w:pPr>
    </w:lvl>
    <w:lvl w:ilvl="5" w:tplc="0416001B" w:tentative="1">
      <w:start w:val="1"/>
      <w:numFmt w:val="lowerRoman"/>
      <w:lvlText w:val="%6."/>
      <w:lvlJc w:val="right"/>
      <w:pPr>
        <w:ind w:left="4890" w:hanging="180"/>
      </w:pPr>
    </w:lvl>
    <w:lvl w:ilvl="6" w:tplc="0416000F" w:tentative="1">
      <w:start w:val="1"/>
      <w:numFmt w:val="decimal"/>
      <w:lvlText w:val="%7."/>
      <w:lvlJc w:val="left"/>
      <w:pPr>
        <w:ind w:left="5610" w:hanging="360"/>
      </w:pPr>
    </w:lvl>
    <w:lvl w:ilvl="7" w:tplc="04160019" w:tentative="1">
      <w:start w:val="1"/>
      <w:numFmt w:val="lowerLetter"/>
      <w:lvlText w:val="%8."/>
      <w:lvlJc w:val="left"/>
      <w:pPr>
        <w:ind w:left="6330" w:hanging="360"/>
      </w:pPr>
    </w:lvl>
    <w:lvl w:ilvl="8" w:tplc="0416001B" w:tentative="1">
      <w:start w:val="1"/>
      <w:numFmt w:val="lowerRoman"/>
      <w:lvlText w:val="%9."/>
      <w:lvlJc w:val="right"/>
      <w:pPr>
        <w:ind w:left="7050" w:hanging="180"/>
      </w:pPr>
    </w:lvl>
  </w:abstractNum>
  <w:abstractNum w:abstractNumId="17" w15:restartNumberingAfterBreak="0">
    <w:nsid w:val="2BA63B91"/>
    <w:multiLevelType w:val="singleLevel"/>
    <w:tmpl w:val="E046733C"/>
    <w:lvl w:ilvl="0">
      <w:start w:val="1"/>
      <w:numFmt w:val="lowerLetter"/>
      <w:lvlText w:val="%1)"/>
      <w:lvlJc w:val="left"/>
      <w:pPr>
        <w:tabs>
          <w:tab w:val="num" w:pos="1778"/>
        </w:tabs>
        <w:ind w:left="1778" w:hanging="360"/>
      </w:pPr>
      <w:rPr>
        <w:rFonts w:hint="default"/>
      </w:rPr>
    </w:lvl>
  </w:abstractNum>
  <w:abstractNum w:abstractNumId="18" w15:restartNumberingAfterBreak="0">
    <w:nsid w:val="31CE6643"/>
    <w:multiLevelType w:val="hybridMultilevel"/>
    <w:tmpl w:val="EB1AE926"/>
    <w:lvl w:ilvl="0" w:tplc="FFFFFFFF">
      <w:start w:val="1"/>
      <w:numFmt w:val="decimal"/>
      <w:lvlText w:val="%1."/>
      <w:lvlJc w:val="left"/>
      <w:pPr>
        <w:ind w:left="1650" w:hanging="570"/>
      </w:pPr>
      <w:rPr>
        <w:rFonts w:hint="default"/>
        <w:b/>
        <w:bCs w:val="0"/>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9" w15:restartNumberingAfterBreak="0">
    <w:nsid w:val="35263294"/>
    <w:multiLevelType w:val="hybridMultilevel"/>
    <w:tmpl w:val="A4D2B2F0"/>
    <w:lvl w:ilvl="0" w:tplc="FFFFFFFF">
      <w:start w:val="1"/>
      <w:numFmt w:val="lowerLetter"/>
      <w:lvlText w:val="%1)"/>
      <w:lvlJc w:val="left"/>
      <w:pPr>
        <w:ind w:left="1637" w:hanging="360"/>
      </w:pPr>
      <w:rPr>
        <w:rFonts w:ascii="Calibri" w:hAnsi="Calibri" w:hint="default"/>
      </w:rPr>
    </w:lvl>
    <w:lvl w:ilvl="1" w:tplc="FFFFFFFF">
      <w:start w:val="1"/>
      <w:numFmt w:val="lowerRoman"/>
      <w:lvlText w:val="(%2)"/>
      <w:lvlJc w:val="left"/>
      <w:pPr>
        <w:ind w:left="2717" w:hanging="720"/>
      </w:pPr>
      <w:rPr>
        <w:rFonts w:hint="default"/>
      </w:rPr>
    </w:lvl>
    <w:lvl w:ilvl="2" w:tplc="FFFFFFFF" w:tentative="1">
      <w:start w:val="1"/>
      <w:numFmt w:val="lowerRoman"/>
      <w:lvlText w:val="%3."/>
      <w:lvlJc w:val="right"/>
      <w:pPr>
        <w:ind w:left="3077" w:hanging="180"/>
      </w:pPr>
    </w:lvl>
    <w:lvl w:ilvl="3" w:tplc="FFFFFFFF" w:tentative="1">
      <w:start w:val="1"/>
      <w:numFmt w:val="decimal"/>
      <w:lvlText w:val="%4."/>
      <w:lvlJc w:val="left"/>
      <w:pPr>
        <w:ind w:left="3797" w:hanging="360"/>
      </w:pPr>
    </w:lvl>
    <w:lvl w:ilvl="4" w:tplc="FFFFFFFF" w:tentative="1">
      <w:start w:val="1"/>
      <w:numFmt w:val="lowerLetter"/>
      <w:lvlText w:val="%5."/>
      <w:lvlJc w:val="left"/>
      <w:pPr>
        <w:ind w:left="4517" w:hanging="360"/>
      </w:pPr>
    </w:lvl>
    <w:lvl w:ilvl="5" w:tplc="FFFFFFFF" w:tentative="1">
      <w:start w:val="1"/>
      <w:numFmt w:val="lowerRoman"/>
      <w:lvlText w:val="%6."/>
      <w:lvlJc w:val="right"/>
      <w:pPr>
        <w:ind w:left="5237" w:hanging="180"/>
      </w:pPr>
    </w:lvl>
    <w:lvl w:ilvl="6" w:tplc="FFFFFFFF" w:tentative="1">
      <w:start w:val="1"/>
      <w:numFmt w:val="decimal"/>
      <w:lvlText w:val="%7."/>
      <w:lvlJc w:val="left"/>
      <w:pPr>
        <w:ind w:left="5957" w:hanging="360"/>
      </w:pPr>
    </w:lvl>
    <w:lvl w:ilvl="7" w:tplc="FFFFFFFF" w:tentative="1">
      <w:start w:val="1"/>
      <w:numFmt w:val="lowerLetter"/>
      <w:lvlText w:val="%8."/>
      <w:lvlJc w:val="left"/>
      <w:pPr>
        <w:ind w:left="6677" w:hanging="360"/>
      </w:pPr>
    </w:lvl>
    <w:lvl w:ilvl="8" w:tplc="FFFFFFFF" w:tentative="1">
      <w:start w:val="1"/>
      <w:numFmt w:val="lowerRoman"/>
      <w:lvlText w:val="%9."/>
      <w:lvlJc w:val="right"/>
      <w:pPr>
        <w:ind w:left="7397" w:hanging="180"/>
      </w:pPr>
    </w:lvl>
  </w:abstractNum>
  <w:abstractNum w:abstractNumId="20" w15:restartNumberingAfterBreak="0">
    <w:nsid w:val="37533C82"/>
    <w:multiLevelType w:val="hybridMultilevel"/>
    <w:tmpl w:val="A4D2B2F0"/>
    <w:lvl w:ilvl="0" w:tplc="FFFFFFFF">
      <w:start w:val="1"/>
      <w:numFmt w:val="lowerLetter"/>
      <w:lvlText w:val="%1)"/>
      <w:lvlJc w:val="left"/>
      <w:pPr>
        <w:ind w:left="1637" w:hanging="360"/>
      </w:pPr>
      <w:rPr>
        <w:rFonts w:ascii="Calibri" w:hAnsi="Calibri" w:hint="default"/>
      </w:rPr>
    </w:lvl>
    <w:lvl w:ilvl="1" w:tplc="3E243CD8">
      <w:start w:val="1"/>
      <w:numFmt w:val="lowerRoman"/>
      <w:lvlText w:val="(%2)"/>
      <w:lvlJc w:val="left"/>
      <w:pPr>
        <w:ind w:left="2717" w:hanging="720"/>
      </w:pPr>
      <w:rPr>
        <w:rFonts w:hint="default"/>
      </w:rPr>
    </w:lvl>
    <w:lvl w:ilvl="2" w:tplc="FFFFFFFF" w:tentative="1">
      <w:start w:val="1"/>
      <w:numFmt w:val="lowerRoman"/>
      <w:lvlText w:val="%3."/>
      <w:lvlJc w:val="right"/>
      <w:pPr>
        <w:ind w:left="3077" w:hanging="180"/>
      </w:pPr>
    </w:lvl>
    <w:lvl w:ilvl="3" w:tplc="FFFFFFFF" w:tentative="1">
      <w:start w:val="1"/>
      <w:numFmt w:val="decimal"/>
      <w:lvlText w:val="%4."/>
      <w:lvlJc w:val="left"/>
      <w:pPr>
        <w:ind w:left="3797" w:hanging="360"/>
      </w:pPr>
    </w:lvl>
    <w:lvl w:ilvl="4" w:tplc="FFFFFFFF" w:tentative="1">
      <w:start w:val="1"/>
      <w:numFmt w:val="lowerLetter"/>
      <w:lvlText w:val="%5."/>
      <w:lvlJc w:val="left"/>
      <w:pPr>
        <w:ind w:left="4517" w:hanging="360"/>
      </w:pPr>
    </w:lvl>
    <w:lvl w:ilvl="5" w:tplc="FFFFFFFF" w:tentative="1">
      <w:start w:val="1"/>
      <w:numFmt w:val="lowerRoman"/>
      <w:lvlText w:val="%6."/>
      <w:lvlJc w:val="right"/>
      <w:pPr>
        <w:ind w:left="5237" w:hanging="180"/>
      </w:pPr>
    </w:lvl>
    <w:lvl w:ilvl="6" w:tplc="FFFFFFFF" w:tentative="1">
      <w:start w:val="1"/>
      <w:numFmt w:val="decimal"/>
      <w:lvlText w:val="%7."/>
      <w:lvlJc w:val="left"/>
      <w:pPr>
        <w:ind w:left="5957" w:hanging="360"/>
      </w:pPr>
    </w:lvl>
    <w:lvl w:ilvl="7" w:tplc="FFFFFFFF" w:tentative="1">
      <w:start w:val="1"/>
      <w:numFmt w:val="lowerLetter"/>
      <w:lvlText w:val="%8."/>
      <w:lvlJc w:val="left"/>
      <w:pPr>
        <w:ind w:left="6677" w:hanging="360"/>
      </w:pPr>
    </w:lvl>
    <w:lvl w:ilvl="8" w:tplc="FFFFFFFF" w:tentative="1">
      <w:start w:val="1"/>
      <w:numFmt w:val="lowerRoman"/>
      <w:lvlText w:val="%9."/>
      <w:lvlJc w:val="right"/>
      <w:pPr>
        <w:ind w:left="7397" w:hanging="180"/>
      </w:pPr>
    </w:lvl>
  </w:abstractNum>
  <w:abstractNum w:abstractNumId="21" w15:restartNumberingAfterBreak="0">
    <w:nsid w:val="39720948"/>
    <w:multiLevelType w:val="hybridMultilevel"/>
    <w:tmpl w:val="2FD0CC92"/>
    <w:lvl w:ilvl="0" w:tplc="FFFFFFFF">
      <w:start w:val="1"/>
      <w:numFmt w:val="lowerLetter"/>
      <w:lvlText w:val="%1)"/>
      <w:lvlJc w:val="left"/>
      <w:pPr>
        <w:ind w:left="1637" w:hanging="360"/>
      </w:pPr>
      <w:rPr>
        <w:rFonts w:ascii="Calibri" w:hAnsi="Calibri" w:hint="default"/>
      </w:rPr>
    </w:lvl>
    <w:lvl w:ilvl="1" w:tplc="FFFFFFFF" w:tentative="1">
      <w:start w:val="1"/>
      <w:numFmt w:val="lowerLetter"/>
      <w:lvlText w:val="%2."/>
      <w:lvlJc w:val="left"/>
      <w:pPr>
        <w:ind w:left="2357" w:hanging="360"/>
      </w:pPr>
    </w:lvl>
    <w:lvl w:ilvl="2" w:tplc="FFFFFFFF" w:tentative="1">
      <w:start w:val="1"/>
      <w:numFmt w:val="lowerRoman"/>
      <w:lvlText w:val="%3."/>
      <w:lvlJc w:val="right"/>
      <w:pPr>
        <w:ind w:left="3077" w:hanging="180"/>
      </w:pPr>
    </w:lvl>
    <w:lvl w:ilvl="3" w:tplc="FFFFFFFF" w:tentative="1">
      <w:start w:val="1"/>
      <w:numFmt w:val="decimal"/>
      <w:lvlText w:val="%4."/>
      <w:lvlJc w:val="left"/>
      <w:pPr>
        <w:ind w:left="3797" w:hanging="360"/>
      </w:pPr>
    </w:lvl>
    <w:lvl w:ilvl="4" w:tplc="FFFFFFFF" w:tentative="1">
      <w:start w:val="1"/>
      <w:numFmt w:val="lowerLetter"/>
      <w:lvlText w:val="%5."/>
      <w:lvlJc w:val="left"/>
      <w:pPr>
        <w:ind w:left="4517" w:hanging="360"/>
      </w:pPr>
    </w:lvl>
    <w:lvl w:ilvl="5" w:tplc="FFFFFFFF" w:tentative="1">
      <w:start w:val="1"/>
      <w:numFmt w:val="lowerRoman"/>
      <w:lvlText w:val="%6."/>
      <w:lvlJc w:val="right"/>
      <w:pPr>
        <w:ind w:left="5237" w:hanging="180"/>
      </w:pPr>
    </w:lvl>
    <w:lvl w:ilvl="6" w:tplc="FFFFFFFF" w:tentative="1">
      <w:start w:val="1"/>
      <w:numFmt w:val="decimal"/>
      <w:lvlText w:val="%7."/>
      <w:lvlJc w:val="left"/>
      <w:pPr>
        <w:ind w:left="5957" w:hanging="360"/>
      </w:pPr>
    </w:lvl>
    <w:lvl w:ilvl="7" w:tplc="FFFFFFFF" w:tentative="1">
      <w:start w:val="1"/>
      <w:numFmt w:val="lowerLetter"/>
      <w:lvlText w:val="%8."/>
      <w:lvlJc w:val="left"/>
      <w:pPr>
        <w:ind w:left="6677" w:hanging="360"/>
      </w:pPr>
    </w:lvl>
    <w:lvl w:ilvl="8" w:tplc="FFFFFFFF" w:tentative="1">
      <w:start w:val="1"/>
      <w:numFmt w:val="lowerRoman"/>
      <w:lvlText w:val="%9."/>
      <w:lvlJc w:val="right"/>
      <w:pPr>
        <w:ind w:left="7397" w:hanging="180"/>
      </w:pPr>
    </w:lvl>
  </w:abstractNum>
  <w:abstractNum w:abstractNumId="22" w15:restartNumberingAfterBreak="0">
    <w:nsid w:val="3A186198"/>
    <w:multiLevelType w:val="hybridMultilevel"/>
    <w:tmpl w:val="2FD0CC92"/>
    <w:lvl w:ilvl="0" w:tplc="FFFFFFFF">
      <w:start w:val="1"/>
      <w:numFmt w:val="lowerLetter"/>
      <w:lvlText w:val="%1)"/>
      <w:lvlJc w:val="left"/>
      <w:pPr>
        <w:ind w:left="2370" w:hanging="360"/>
      </w:pPr>
      <w:rPr>
        <w:rFonts w:ascii="Calibri" w:hAnsi="Calibri" w:hint="default"/>
      </w:rPr>
    </w:lvl>
    <w:lvl w:ilvl="1" w:tplc="FFFFFFFF" w:tentative="1">
      <w:start w:val="1"/>
      <w:numFmt w:val="lowerLetter"/>
      <w:lvlText w:val="%2."/>
      <w:lvlJc w:val="left"/>
      <w:pPr>
        <w:ind w:left="3090" w:hanging="360"/>
      </w:pPr>
    </w:lvl>
    <w:lvl w:ilvl="2" w:tplc="FFFFFFFF" w:tentative="1">
      <w:start w:val="1"/>
      <w:numFmt w:val="lowerRoman"/>
      <w:lvlText w:val="%3."/>
      <w:lvlJc w:val="right"/>
      <w:pPr>
        <w:ind w:left="3810" w:hanging="180"/>
      </w:pPr>
    </w:lvl>
    <w:lvl w:ilvl="3" w:tplc="FFFFFFFF" w:tentative="1">
      <w:start w:val="1"/>
      <w:numFmt w:val="decimal"/>
      <w:lvlText w:val="%4."/>
      <w:lvlJc w:val="left"/>
      <w:pPr>
        <w:ind w:left="4530" w:hanging="360"/>
      </w:pPr>
    </w:lvl>
    <w:lvl w:ilvl="4" w:tplc="FFFFFFFF" w:tentative="1">
      <w:start w:val="1"/>
      <w:numFmt w:val="lowerLetter"/>
      <w:lvlText w:val="%5."/>
      <w:lvlJc w:val="left"/>
      <w:pPr>
        <w:ind w:left="5250" w:hanging="360"/>
      </w:pPr>
    </w:lvl>
    <w:lvl w:ilvl="5" w:tplc="FFFFFFFF" w:tentative="1">
      <w:start w:val="1"/>
      <w:numFmt w:val="lowerRoman"/>
      <w:lvlText w:val="%6."/>
      <w:lvlJc w:val="right"/>
      <w:pPr>
        <w:ind w:left="5970" w:hanging="180"/>
      </w:pPr>
    </w:lvl>
    <w:lvl w:ilvl="6" w:tplc="FFFFFFFF" w:tentative="1">
      <w:start w:val="1"/>
      <w:numFmt w:val="decimal"/>
      <w:lvlText w:val="%7."/>
      <w:lvlJc w:val="left"/>
      <w:pPr>
        <w:ind w:left="6690" w:hanging="360"/>
      </w:pPr>
    </w:lvl>
    <w:lvl w:ilvl="7" w:tplc="FFFFFFFF" w:tentative="1">
      <w:start w:val="1"/>
      <w:numFmt w:val="lowerLetter"/>
      <w:lvlText w:val="%8."/>
      <w:lvlJc w:val="left"/>
      <w:pPr>
        <w:ind w:left="7410" w:hanging="360"/>
      </w:pPr>
    </w:lvl>
    <w:lvl w:ilvl="8" w:tplc="FFFFFFFF" w:tentative="1">
      <w:start w:val="1"/>
      <w:numFmt w:val="lowerRoman"/>
      <w:lvlText w:val="%9."/>
      <w:lvlJc w:val="right"/>
      <w:pPr>
        <w:ind w:left="8130" w:hanging="180"/>
      </w:pPr>
    </w:lvl>
  </w:abstractNum>
  <w:abstractNum w:abstractNumId="23" w15:restartNumberingAfterBreak="0">
    <w:nsid w:val="3A1D2541"/>
    <w:multiLevelType w:val="hybridMultilevel"/>
    <w:tmpl w:val="AFE69CCA"/>
    <w:lvl w:ilvl="0" w:tplc="04160013">
      <w:start w:val="1"/>
      <w:numFmt w:val="upperRoman"/>
      <w:lvlText w:val="%1."/>
      <w:lvlJc w:val="right"/>
      <w:pPr>
        <w:ind w:left="1650" w:hanging="360"/>
      </w:pPr>
    </w:lvl>
    <w:lvl w:ilvl="1" w:tplc="04160019" w:tentative="1">
      <w:start w:val="1"/>
      <w:numFmt w:val="lowerLetter"/>
      <w:lvlText w:val="%2."/>
      <w:lvlJc w:val="left"/>
      <w:pPr>
        <w:ind w:left="2370" w:hanging="360"/>
      </w:pPr>
    </w:lvl>
    <w:lvl w:ilvl="2" w:tplc="0416001B" w:tentative="1">
      <w:start w:val="1"/>
      <w:numFmt w:val="lowerRoman"/>
      <w:lvlText w:val="%3."/>
      <w:lvlJc w:val="right"/>
      <w:pPr>
        <w:ind w:left="3090" w:hanging="180"/>
      </w:pPr>
    </w:lvl>
    <w:lvl w:ilvl="3" w:tplc="0416000F" w:tentative="1">
      <w:start w:val="1"/>
      <w:numFmt w:val="decimal"/>
      <w:lvlText w:val="%4."/>
      <w:lvlJc w:val="left"/>
      <w:pPr>
        <w:ind w:left="3810" w:hanging="360"/>
      </w:pPr>
    </w:lvl>
    <w:lvl w:ilvl="4" w:tplc="04160019" w:tentative="1">
      <w:start w:val="1"/>
      <w:numFmt w:val="lowerLetter"/>
      <w:lvlText w:val="%5."/>
      <w:lvlJc w:val="left"/>
      <w:pPr>
        <w:ind w:left="4530" w:hanging="360"/>
      </w:pPr>
    </w:lvl>
    <w:lvl w:ilvl="5" w:tplc="0416001B" w:tentative="1">
      <w:start w:val="1"/>
      <w:numFmt w:val="lowerRoman"/>
      <w:lvlText w:val="%6."/>
      <w:lvlJc w:val="right"/>
      <w:pPr>
        <w:ind w:left="5250" w:hanging="180"/>
      </w:pPr>
    </w:lvl>
    <w:lvl w:ilvl="6" w:tplc="0416000F" w:tentative="1">
      <w:start w:val="1"/>
      <w:numFmt w:val="decimal"/>
      <w:lvlText w:val="%7."/>
      <w:lvlJc w:val="left"/>
      <w:pPr>
        <w:ind w:left="5970" w:hanging="360"/>
      </w:pPr>
    </w:lvl>
    <w:lvl w:ilvl="7" w:tplc="04160019" w:tentative="1">
      <w:start w:val="1"/>
      <w:numFmt w:val="lowerLetter"/>
      <w:lvlText w:val="%8."/>
      <w:lvlJc w:val="left"/>
      <w:pPr>
        <w:ind w:left="6690" w:hanging="360"/>
      </w:pPr>
    </w:lvl>
    <w:lvl w:ilvl="8" w:tplc="0416001B" w:tentative="1">
      <w:start w:val="1"/>
      <w:numFmt w:val="lowerRoman"/>
      <w:lvlText w:val="%9."/>
      <w:lvlJc w:val="right"/>
      <w:pPr>
        <w:ind w:left="7410" w:hanging="180"/>
      </w:pPr>
    </w:lvl>
  </w:abstractNum>
  <w:abstractNum w:abstractNumId="24" w15:restartNumberingAfterBreak="0">
    <w:nsid w:val="3DC27A69"/>
    <w:multiLevelType w:val="hybridMultilevel"/>
    <w:tmpl w:val="822EBB4C"/>
    <w:lvl w:ilvl="0" w:tplc="FFFFFFFF">
      <w:start w:val="1"/>
      <w:numFmt w:val="lowerRoman"/>
      <w:lvlText w:val="(%1)"/>
      <w:lvlJc w:val="left"/>
      <w:pPr>
        <w:ind w:left="1650" w:hanging="360"/>
      </w:pPr>
      <w:rPr>
        <w:rFonts w:hint="default"/>
      </w:rPr>
    </w:lvl>
    <w:lvl w:ilvl="1" w:tplc="FFFFFFFF" w:tentative="1">
      <w:start w:val="1"/>
      <w:numFmt w:val="lowerLetter"/>
      <w:lvlText w:val="%2."/>
      <w:lvlJc w:val="left"/>
      <w:pPr>
        <w:ind w:left="2370" w:hanging="360"/>
      </w:pPr>
    </w:lvl>
    <w:lvl w:ilvl="2" w:tplc="FFFFFFFF" w:tentative="1">
      <w:start w:val="1"/>
      <w:numFmt w:val="lowerRoman"/>
      <w:lvlText w:val="%3."/>
      <w:lvlJc w:val="right"/>
      <w:pPr>
        <w:ind w:left="3090" w:hanging="180"/>
      </w:pPr>
    </w:lvl>
    <w:lvl w:ilvl="3" w:tplc="FFFFFFFF" w:tentative="1">
      <w:start w:val="1"/>
      <w:numFmt w:val="decimal"/>
      <w:lvlText w:val="%4."/>
      <w:lvlJc w:val="left"/>
      <w:pPr>
        <w:ind w:left="3810" w:hanging="360"/>
      </w:pPr>
    </w:lvl>
    <w:lvl w:ilvl="4" w:tplc="FFFFFFFF" w:tentative="1">
      <w:start w:val="1"/>
      <w:numFmt w:val="lowerLetter"/>
      <w:lvlText w:val="%5."/>
      <w:lvlJc w:val="left"/>
      <w:pPr>
        <w:ind w:left="4530" w:hanging="360"/>
      </w:pPr>
    </w:lvl>
    <w:lvl w:ilvl="5" w:tplc="FFFFFFFF" w:tentative="1">
      <w:start w:val="1"/>
      <w:numFmt w:val="lowerRoman"/>
      <w:lvlText w:val="%6."/>
      <w:lvlJc w:val="right"/>
      <w:pPr>
        <w:ind w:left="5250" w:hanging="180"/>
      </w:pPr>
    </w:lvl>
    <w:lvl w:ilvl="6" w:tplc="FFFFFFFF" w:tentative="1">
      <w:start w:val="1"/>
      <w:numFmt w:val="decimal"/>
      <w:lvlText w:val="%7."/>
      <w:lvlJc w:val="left"/>
      <w:pPr>
        <w:ind w:left="5970" w:hanging="360"/>
      </w:pPr>
    </w:lvl>
    <w:lvl w:ilvl="7" w:tplc="FFFFFFFF" w:tentative="1">
      <w:start w:val="1"/>
      <w:numFmt w:val="lowerLetter"/>
      <w:lvlText w:val="%8."/>
      <w:lvlJc w:val="left"/>
      <w:pPr>
        <w:ind w:left="6690" w:hanging="360"/>
      </w:pPr>
    </w:lvl>
    <w:lvl w:ilvl="8" w:tplc="FFFFFFFF" w:tentative="1">
      <w:start w:val="1"/>
      <w:numFmt w:val="lowerRoman"/>
      <w:lvlText w:val="%9."/>
      <w:lvlJc w:val="right"/>
      <w:pPr>
        <w:ind w:left="7410" w:hanging="180"/>
      </w:pPr>
    </w:lvl>
  </w:abstractNum>
  <w:abstractNum w:abstractNumId="25" w15:restartNumberingAfterBreak="0">
    <w:nsid w:val="49296B1E"/>
    <w:multiLevelType w:val="hybridMultilevel"/>
    <w:tmpl w:val="2FD0CC92"/>
    <w:lvl w:ilvl="0" w:tplc="FFFFFFFF">
      <w:start w:val="1"/>
      <w:numFmt w:val="lowerLetter"/>
      <w:lvlText w:val="%1)"/>
      <w:lvlJc w:val="left"/>
      <w:pPr>
        <w:ind w:left="1637" w:hanging="360"/>
      </w:pPr>
      <w:rPr>
        <w:rFonts w:ascii="Calibri" w:hAnsi="Calibri" w:hint="default"/>
      </w:rPr>
    </w:lvl>
    <w:lvl w:ilvl="1" w:tplc="FFFFFFFF" w:tentative="1">
      <w:start w:val="1"/>
      <w:numFmt w:val="lowerLetter"/>
      <w:lvlText w:val="%2."/>
      <w:lvlJc w:val="left"/>
      <w:pPr>
        <w:ind w:left="2357" w:hanging="360"/>
      </w:pPr>
    </w:lvl>
    <w:lvl w:ilvl="2" w:tplc="FFFFFFFF" w:tentative="1">
      <w:start w:val="1"/>
      <w:numFmt w:val="lowerRoman"/>
      <w:lvlText w:val="%3."/>
      <w:lvlJc w:val="right"/>
      <w:pPr>
        <w:ind w:left="3077" w:hanging="180"/>
      </w:pPr>
    </w:lvl>
    <w:lvl w:ilvl="3" w:tplc="FFFFFFFF" w:tentative="1">
      <w:start w:val="1"/>
      <w:numFmt w:val="decimal"/>
      <w:lvlText w:val="%4."/>
      <w:lvlJc w:val="left"/>
      <w:pPr>
        <w:ind w:left="3797" w:hanging="360"/>
      </w:pPr>
    </w:lvl>
    <w:lvl w:ilvl="4" w:tplc="FFFFFFFF" w:tentative="1">
      <w:start w:val="1"/>
      <w:numFmt w:val="lowerLetter"/>
      <w:lvlText w:val="%5."/>
      <w:lvlJc w:val="left"/>
      <w:pPr>
        <w:ind w:left="4517" w:hanging="360"/>
      </w:pPr>
    </w:lvl>
    <w:lvl w:ilvl="5" w:tplc="FFFFFFFF" w:tentative="1">
      <w:start w:val="1"/>
      <w:numFmt w:val="lowerRoman"/>
      <w:lvlText w:val="%6."/>
      <w:lvlJc w:val="right"/>
      <w:pPr>
        <w:ind w:left="5237" w:hanging="180"/>
      </w:pPr>
    </w:lvl>
    <w:lvl w:ilvl="6" w:tplc="FFFFFFFF" w:tentative="1">
      <w:start w:val="1"/>
      <w:numFmt w:val="decimal"/>
      <w:lvlText w:val="%7."/>
      <w:lvlJc w:val="left"/>
      <w:pPr>
        <w:ind w:left="5957" w:hanging="360"/>
      </w:pPr>
    </w:lvl>
    <w:lvl w:ilvl="7" w:tplc="FFFFFFFF" w:tentative="1">
      <w:start w:val="1"/>
      <w:numFmt w:val="lowerLetter"/>
      <w:lvlText w:val="%8."/>
      <w:lvlJc w:val="left"/>
      <w:pPr>
        <w:ind w:left="6677" w:hanging="360"/>
      </w:pPr>
    </w:lvl>
    <w:lvl w:ilvl="8" w:tplc="FFFFFFFF" w:tentative="1">
      <w:start w:val="1"/>
      <w:numFmt w:val="lowerRoman"/>
      <w:lvlText w:val="%9."/>
      <w:lvlJc w:val="right"/>
      <w:pPr>
        <w:ind w:left="7397" w:hanging="180"/>
      </w:pPr>
    </w:lvl>
  </w:abstractNum>
  <w:abstractNum w:abstractNumId="26" w15:restartNumberingAfterBreak="0">
    <w:nsid w:val="4DEC0F47"/>
    <w:multiLevelType w:val="hybridMultilevel"/>
    <w:tmpl w:val="D1BA72DA"/>
    <w:lvl w:ilvl="0" w:tplc="DD5A7ECC">
      <w:start w:val="1"/>
      <w:numFmt w:val="lowerLetter"/>
      <w:lvlText w:val="(%1)"/>
      <w:lvlJc w:val="left"/>
      <w:pPr>
        <w:ind w:left="1290" w:hanging="360"/>
      </w:pPr>
      <w:rPr>
        <w:rFonts w:hint="default"/>
      </w:rPr>
    </w:lvl>
    <w:lvl w:ilvl="1" w:tplc="04160019" w:tentative="1">
      <w:start w:val="1"/>
      <w:numFmt w:val="lowerLetter"/>
      <w:lvlText w:val="%2."/>
      <w:lvlJc w:val="left"/>
      <w:pPr>
        <w:ind w:left="2010" w:hanging="360"/>
      </w:pPr>
    </w:lvl>
    <w:lvl w:ilvl="2" w:tplc="0416001B" w:tentative="1">
      <w:start w:val="1"/>
      <w:numFmt w:val="lowerRoman"/>
      <w:lvlText w:val="%3."/>
      <w:lvlJc w:val="right"/>
      <w:pPr>
        <w:ind w:left="2730" w:hanging="180"/>
      </w:pPr>
    </w:lvl>
    <w:lvl w:ilvl="3" w:tplc="0416000F" w:tentative="1">
      <w:start w:val="1"/>
      <w:numFmt w:val="decimal"/>
      <w:lvlText w:val="%4."/>
      <w:lvlJc w:val="left"/>
      <w:pPr>
        <w:ind w:left="3450" w:hanging="360"/>
      </w:pPr>
    </w:lvl>
    <w:lvl w:ilvl="4" w:tplc="04160019" w:tentative="1">
      <w:start w:val="1"/>
      <w:numFmt w:val="lowerLetter"/>
      <w:lvlText w:val="%5."/>
      <w:lvlJc w:val="left"/>
      <w:pPr>
        <w:ind w:left="4170" w:hanging="360"/>
      </w:pPr>
    </w:lvl>
    <w:lvl w:ilvl="5" w:tplc="0416001B" w:tentative="1">
      <w:start w:val="1"/>
      <w:numFmt w:val="lowerRoman"/>
      <w:lvlText w:val="%6."/>
      <w:lvlJc w:val="right"/>
      <w:pPr>
        <w:ind w:left="4890" w:hanging="180"/>
      </w:pPr>
    </w:lvl>
    <w:lvl w:ilvl="6" w:tplc="0416000F" w:tentative="1">
      <w:start w:val="1"/>
      <w:numFmt w:val="decimal"/>
      <w:lvlText w:val="%7."/>
      <w:lvlJc w:val="left"/>
      <w:pPr>
        <w:ind w:left="5610" w:hanging="360"/>
      </w:pPr>
    </w:lvl>
    <w:lvl w:ilvl="7" w:tplc="04160019" w:tentative="1">
      <w:start w:val="1"/>
      <w:numFmt w:val="lowerLetter"/>
      <w:lvlText w:val="%8."/>
      <w:lvlJc w:val="left"/>
      <w:pPr>
        <w:ind w:left="6330" w:hanging="360"/>
      </w:pPr>
    </w:lvl>
    <w:lvl w:ilvl="8" w:tplc="0416001B" w:tentative="1">
      <w:start w:val="1"/>
      <w:numFmt w:val="lowerRoman"/>
      <w:lvlText w:val="%9."/>
      <w:lvlJc w:val="right"/>
      <w:pPr>
        <w:ind w:left="7050" w:hanging="180"/>
      </w:pPr>
    </w:lvl>
  </w:abstractNum>
  <w:abstractNum w:abstractNumId="27" w15:restartNumberingAfterBreak="0">
    <w:nsid w:val="51B97DAE"/>
    <w:multiLevelType w:val="hybridMultilevel"/>
    <w:tmpl w:val="8A28C3BC"/>
    <w:lvl w:ilvl="0" w:tplc="611A9B26">
      <w:start w:val="1"/>
      <w:numFmt w:val="lowerRoman"/>
      <w:lvlText w:val="(%1)"/>
      <w:lvlJc w:val="left"/>
      <w:pPr>
        <w:ind w:left="1920" w:hanging="360"/>
      </w:pPr>
      <w:rPr>
        <w:rFonts w:hint="default"/>
      </w:rPr>
    </w:lvl>
    <w:lvl w:ilvl="1" w:tplc="04160019" w:tentative="1">
      <w:start w:val="1"/>
      <w:numFmt w:val="lowerLetter"/>
      <w:lvlText w:val="%2."/>
      <w:lvlJc w:val="left"/>
      <w:pPr>
        <w:ind w:left="2640" w:hanging="360"/>
      </w:pPr>
    </w:lvl>
    <w:lvl w:ilvl="2" w:tplc="0416001B" w:tentative="1">
      <w:start w:val="1"/>
      <w:numFmt w:val="lowerRoman"/>
      <w:lvlText w:val="%3."/>
      <w:lvlJc w:val="right"/>
      <w:pPr>
        <w:ind w:left="3360" w:hanging="180"/>
      </w:pPr>
    </w:lvl>
    <w:lvl w:ilvl="3" w:tplc="0416000F" w:tentative="1">
      <w:start w:val="1"/>
      <w:numFmt w:val="decimal"/>
      <w:lvlText w:val="%4."/>
      <w:lvlJc w:val="left"/>
      <w:pPr>
        <w:ind w:left="4080" w:hanging="360"/>
      </w:pPr>
    </w:lvl>
    <w:lvl w:ilvl="4" w:tplc="04160019" w:tentative="1">
      <w:start w:val="1"/>
      <w:numFmt w:val="lowerLetter"/>
      <w:lvlText w:val="%5."/>
      <w:lvlJc w:val="left"/>
      <w:pPr>
        <w:ind w:left="4800" w:hanging="360"/>
      </w:pPr>
    </w:lvl>
    <w:lvl w:ilvl="5" w:tplc="0416001B" w:tentative="1">
      <w:start w:val="1"/>
      <w:numFmt w:val="lowerRoman"/>
      <w:lvlText w:val="%6."/>
      <w:lvlJc w:val="right"/>
      <w:pPr>
        <w:ind w:left="5520" w:hanging="180"/>
      </w:pPr>
    </w:lvl>
    <w:lvl w:ilvl="6" w:tplc="0416000F" w:tentative="1">
      <w:start w:val="1"/>
      <w:numFmt w:val="decimal"/>
      <w:lvlText w:val="%7."/>
      <w:lvlJc w:val="left"/>
      <w:pPr>
        <w:ind w:left="6240" w:hanging="360"/>
      </w:pPr>
    </w:lvl>
    <w:lvl w:ilvl="7" w:tplc="04160019" w:tentative="1">
      <w:start w:val="1"/>
      <w:numFmt w:val="lowerLetter"/>
      <w:lvlText w:val="%8."/>
      <w:lvlJc w:val="left"/>
      <w:pPr>
        <w:ind w:left="6960" w:hanging="360"/>
      </w:pPr>
    </w:lvl>
    <w:lvl w:ilvl="8" w:tplc="0416001B" w:tentative="1">
      <w:start w:val="1"/>
      <w:numFmt w:val="lowerRoman"/>
      <w:lvlText w:val="%9."/>
      <w:lvlJc w:val="right"/>
      <w:pPr>
        <w:ind w:left="7680" w:hanging="180"/>
      </w:pPr>
    </w:lvl>
  </w:abstractNum>
  <w:abstractNum w:abstractNumId="28" w15:restartNumberingAfterBreak="0">
    <w:nsid w:val="51E21671"/>
    <w:multiLevelType w:val="hybridMultilevel"/>
    <w:tmpl w:val="4D7632CA"/>
    <w:lvl w:ilvl="0" w:tplc="611A9B26">
      <w:start w:val="1"/>
      <w:numFmt w:val="lowerRoman"/>
      <w:lvlText w:val="(%1)"/>
      <w:lvlJc w:val="left"/>
      <w:pPr>
        <w:ind w:left="1996" w:hanging="360"/>
      </w:pPr>
      <w:rPr>
        <w:rFonts w:hint="default"/>
      </w:rPr>
    </w:lvl>
    <w:lvl w:ilvl="1" w:tplc="04160019">
      <w:start w:val="1"/>
      <w:numFmt w:val="lowerLetter"/>
      <w:lvlText w:val="%2."/>
      <w:lvlJc w:val="left"/>
      <w:pPr>
        <w:ind w:left="2716" w:hanging="360"/>
      </w:pPr>
    </w:lvl>
    <w:lvl w:ilvl="2" w:tplc="0416001B" w:tentative="1">
      <w:start w:val="1"/>
      <w:numFmt w:val="lowerRoman"/>
      <w:lvlText w:val="%3."/>
      <w:lvlJc w:val="right"/>
      <w:pPr>
        <w:ind w:left="3436" w:hanging="180"/>
      </w:pPr>
    </w:lvl>
    <w:lvl w:ilvl="3" w:tplc="0416000F" w:tentative="1">
      <w:start w:val="1"/>
      <w:numFmt w:val="decimal"/>
      <w:lvlText w:val="%4."/>
      <w:lvlJc w:val="left"/>
      <w:pPr>
        <w:ind w:left="4156" w:hanging="360"/>
      </w:pPr>
    </w:lvl>
    <w:lvl w:ilvl="4" w:tplc="04160019" w:tentative="1">
      <w:start w:val="1"/>
      <w:numFmt w:val="lowerLetter"/>
      <w:lvlText w:val="%5."/>
      <w:lvlJc w:val="left"/>
      <w:pPr>
        <w:ind w:left="4876" w:hanging="360"/>
      </w:pPr>
    </w:lvl>
    <w:lvl w:ilvl="5" w:tplc="0416001B" w:tentative="1">
      <w:start w:val="1"/>
      <w:numFmt w:val="lowerRoman"/>
      <w:lvlText w:val="%6."/>
      <w:lvlJc w:val="right"/>
      <w:pPr>
        <w:ind w:left="5596" w:hanging="180"/>
      </w:pPr>
    </w:lvl>
    <w:lvl w:ilvl="6" w:tplc="0416000F" w:tentative="1">
      <w:start w:val="1"/>
      <w:numFmt w:val="decimal"/>
      <w:lvlText w:val="%7."/>
      <w:lvlJc w:val="left"/>
      <w:pPr>
        <w:ind w:left="6316" w:hanging="360"/>
      </w:pPr>
    </w:lvl>
    <w:lvl w:ilvl="7" w:tplc="04160019" w:tentative="1">
      <w:start w:val="1"/>
      <w:numFmt w:val="lowerLetter"/>
      <w:lvlText w:val="%8."/>
      <w:lvlJc w:val="left"/>
      <w:pPr>
        <w:ind w:left="7036" w:hanging="360"/>
      </w:pPr>
    </w:lvl>
    <w:lvl w:ilvl="8" w:tplc="0416001B" w:tentative="1">
      <w:start w:val="1"/>
      <w:numFmt w:val="lowerRoman"/>
      <w:lvlText w:val="%9."/>
      <w:lvlJc w:val="right"/>
      <w:pPr>
        <w:ind w:left="7756" w:hanging="180"/>
      </w:pPr>
    </w:lvl>
  </w:abstractNum>
  <w:abstractNum w:abstractNumId="29" w15:restartNumberingAfterBreak="0">
    <w:nsid w:val="51E80A84"/>
    <w:multiLevelType w:val="hybridMultilevel"/>
    <w:tmpl w:val="2FD0CC92"/>
    <w:lvl w:ilvl="0" w:tplc="FFFFFFFF">
      <w:start w:val="1"/>
      <w:numFmt w:val="lowerLetter"/>
      <w:lvlText w:val="%1)"/>
      <w:lvlJc w:val="left"/>
      <w:pPr>
        <w:ind w:left="1637" w:hanging="360"/>
      </w:pPr>
      <w:rPr>
        <w:rFonts w:ascii="Calibri" w:hAnsi="Calibri" w:hint="default"/>
      </w:rPr>
    </w:lvl>
    <w:lvl w:ilvl="1" w:tplc="FFFFFFFF" w:tentative="1">
      <w:start w:val="1"/>
      <w:numFmt w:val="lowerLetter"/>
      <w:lvlText w:val="%2."/>
      <w:lvlJc w:val="left"/>
      <w:pPr>
        <w:ind w:left="2357" w:hanging="360"/>
      </w:pPr>
    </w:lvl>
    <w:lvl w:ilvl="2" w:tplc="FFFFFFFF" w:tentative="1">
      <w:start w:val="1"/>
      <w:numFmt w:val="lowerRoman"/>
      <w:lvlText w:val="%3."/>
      <w:lvlJc w:val="right"/>
      <w:pPr>
        <w:ind w:left="3077" w:hanging="180"/>
      </w:pPr>
    </w:lvl>
    <w:lvl w:ilvl="3" w:tplc="FFFFFFFF" w:tentative="1">
      <w:start w:val="1"/>
      <w:numFmt w:val="decimal"/>
      <w:lvlText w:val="%4."/>
      <w:lvlJc w:val="left"/>
      <w:pPr>
        <w:ind w:left="3797" w:hanging="360"/>
      </w:pPr>
    </w:lvl>
    <w:lvl w:ilvl="4" w:tplc="FFFFFFFF" w:tentative="1">
      <w:start w:val="1"/>
      <w:numFmt w:val="lowerLetter"/>
      <w:lvlText w:val="%5."/>
      <w:lvlJc w:val="left"/>
      <w:pPr>
        <w:ind w:left="4517" w:hanging="360"/>
      </w:pPr>
    </w:lvl>
    <w:lvl w:ilvl="5" w:tplc="FFFFFFFF" w:tentative="1">
      <w:start w:val="1"/>
      <w:numFmt w:val="lowerRoman"/>
      <w:lvlText w:val="%6."/>
      <w:lvlJc w:val="right"/>
      <w:pPr>
        <w:ind w:left="5237" w:hanging="180"/>
      </w:pPr>
    </w:lvl>
    <w:lvl w:ilvl="6" w:tplc="FFFFFFFF" w:tentative="1">
      <w:start w:val="1"/>
      <w:numFmt w:val="decimal"/>
      <w:lvlText w:val="%7."/>
      <w:lvlJc w:val="left"/>
      <w:pPr>
        <w:ind w:left="5957" w:hanging="360"/>
      </w:pPr>
    </w:lvl>
    <w:lvl w:ilvl="7" w:tplc="FFFFFFFF" w:tentative="1">
      <w:start w:val="1"/>
      <w:numFmt w:val="lowerLetter"/>
      <w:lvlText w:val="%8."/>
      <w:lvlJc w:val="left"/>
      <w:pPr>
        <w:ind w:left="6677" w:hanging="360"/>
      </w:pPr>
    </w:lvl>
    <w:lvl w:ilvl="8" w:tplc="FFFFFFFF" w:tentative="1">
      <w:start w:val="1"/>
      <w:numFmt w:val="lowerRoman"/>
      <w:lvlText w:val="%9."/>
      <w:lvlJc w:val="right"/>
      <w:pPr>
        <w:ind w:left="7397" w:hanging="180"/>
      </w:pPr>
    </w:lvl>
  </w:abstractNum>
  <w:abstractNum w:abstractNumId="30" w15:restartNumberingAfterBreak="0">
    <w:nsid w:val="533F4C79"/>
    <w:multiLevelType w:val="singleLevel"/>
    <w:tmpl w:val="EA04464A"/>
    <w:lvl w:ilvl="0">
      <w:start w:val="2"/>
      <w:numFmt w:val="decimal"/>
      <w:lvlText w:val="%1."/>
      <w:lvlJc w:val="left"/>
      <w:pPr>
        <w:tabs>
          <w:tab w:val="num" w:pos="1425"/>
        </w:tabs>
        <w:ind w:left="1425" w:hanging="1425"/>
      </w:pPr>
      <w:rPr>
        <w:rFonts w:hint="default"/>
      </w:rPr>
    </w:lvl>
  </w:abstractNum>
  <w:abstractNum w:abstractNumId="31" w15:restartNumberingAfterBreak="0">
    <w:nsid w:val="5740691E"/>
    <w:multiLevelType w:val="hybridMultilevel"/>
    <w:tmpl w:val="89BC6184"/>
    <w:lvl w:ilvl="0" w:tplc="FFFFFFFF">
      <w:start w:val="1"/>
      <w:numFmt w:val="lowerRoman"/>
      <w:lvlText w:val="(%1)"/>
      <w:lvlJc w:val="left"/>
      <w:pPr>
        <w:ind w:left="1650" w:hanging="360"/>
      </w:pPr>
      <w:rPr>
        <w:rFonts w:hint="default"/>
      </w:rPr>
    </w:lvl>
    <w:lvl w:ilvl="1" w:tplc="FFFFFFFF" w:tentative="1">
      <w:start w:val="1"/>
      <w:numFmt w:val="lowerLetter"/>
      <w:lvlText w:val="%2."/>
      <w:lvlJc w:val="left"/>
      <w:pPr>
        <w:ind w:left="2370" w:hanging="360"/>
      </w:pPr>
    </w:lvl>
    <w:lvl w:ilvl="2" w:tplc="FFFFFFFF" w:tentative="1">
      <w:start w:val="1"/>
      <w:numFmt w:val="lowerRoman"/>
      <w:lvlText w:val="%3."/>
      <w:lvlJc w:val="right"/>
      <w:pPr>
        <w:ind w:left="3090" w:hanging="180"/>
      </w:pPr>
    </w:lvl>
    <w:lvl w:ilvl="3" w:tplc="FFFFFFFF" w:tentative="1">
      <w:start w:val="1"/>
      <w:numFmt w:val="decimal"/>
      <w:lvlText w:val="%4."/>
      <w:lvlJc w:val="left"/>
      <w:pPr>
        <w:ind w:left="3810" w:hanging="360"/>
      </w:pPr>
    </w:lvl>
    <w:lvl w:ilvl="4" w:tplc="FFFFFFFF" w:tentative="1">
      <w:start w:val="1"/>
      <w:numFmt w:val="lowerLetter"/>
      <w:lvlText w:val="%5."/>
      <w:lvlJc w:val="left"/>
      <w:pPr>
        <w:ind w:left="4530" w:hanging="360"/>
      </w:pPr>
    </w:lvl>
    <w:lvl w:ilvl="5" w:tplc="FFFFFFFF" w:tentative="1">
      <w:start w:val="1"/>
      <w:numFmt w:val="lowerRoman"/>
      <w:lvlText w:val="%6."/>
      <w:lvlJc w:val="right"/>
      <w:pPr>
        <w:ind w:left="5250" w:hanging="180"/>
      </w:pPr>
    </w:lvl>
    <w:lvl w:ilvl="6" w:tplc="FFFFFFFF" w:tentative="1">
      <w:start w:val="1"/>
      <w:numFmt w:val="decimal"/>
      <w:lvlText w:val="%7."/>
      <w:lvlJc w:val="left"/>
      <w:pPr>
        <w:ind w:left="5970" w:hanging="360"/>
      </w:pPr>
    </w:lvl>
    <w:lvl w:ilvl="7" w:tplc="FFFFFFFF" w:tentative="1">
      <w:start w:val="1"/>
      <w:numFmt w:val="lowerLetter"/>
      <w:lvlText w:val="%8."/>
      <w:lvlJc w:val="left"/>
      <w:pPr>
        <w:ind w:left="6690" w:hanging="360"/>
      </w:pPr>
    </w:lvl>
    <w:lvl w:ilvl="8" w:tplc="FFFFFFFF" w:tentative="1">
      <w:start w:val="1"/>
      <w:numFmt w:val="lowerRoman"/>
      <w:lvlText w:val="%9."/>
      <w:lvlJc w:val="right"/>
      <w:pPr>
        <w:ind w:left="7410" w:hanging="180"/>
      </w:pPr>
    </w:lvl>
  </w:abstractNum>
  <w:abstractNum w:abstractNumId="32" w15:restartNumberingAfterBreak="0">
    <w:nsid w:val="5B39524A"/>
    <w:multiLevelType w:val="hybridMultilevel"/>
    <w:tmpl w:val="2FD0CC92"/>
    <w:lvl w:ilvl="0" w:tplc="FFFFFFFF">
      <w:start w:val="1"/>
      <w:numFmt w:val="lowerLetter"/>
      <w:lvlText w:val="%1)"/>
      <w:lvlJc w:val="left"/>
      <w:pPr>
        <w:ind w:left="1637" w:hanging="360"/>
      </w:pPr>
      <w:rPr>
        <w:rFonts w:ascii="Calibri" w:hAnsi="Calibri" w:hint="default"/>
      </w:rPr>
    </w:lvl>
    <w:lvl w:ilvl="1" w:tplc="FFFFFFFF" w:tentative="1">
      <w:start w:val="1"/>
      <w:numFmt w:val="lowerLetter"/>
      <w:lvlText w:val="%2."/>
      <w:lvlJc w:val="left"/>
      <w:pPr>
        <w:ind w:left="2357" w:hanging="360"/>
      </w:pPr>
    </w:lvl>
    <w:lvl w:ilvl="2" w:tplc="FFFFFFFF" w:tentative="1">
      <w:start w:val="1"/>
      <w:numFmt w:val="lowerRoman"/>
      <w:lvlText w:val="%3."/>
      <w:lvlJc w:val="right"/>
      <w:pPr>
        <w:ind w:left="3077" w:hanging="180"/>
      </w:pPr>
    </w:lvl>
    <w:lvl w:ilvl="3" w:tplc="FFFFFFFF" w:tentative="1">
      <w:start w:val="1"/>
      <w:numFmt w:val="decimal"/>
      <w:lvlText w:val="%4."/>
      <w:lvlJc w:val="left"/>
      <w:pPr>
        <w:ind w:left="3797" w:hanging="360"/>
      </w:pPr>
    </w:lvl>
    <w:lvl w:ilvl="4" w:tplc="FFFFFFFF" w:tentative="1">
      <w:start w:val="1"/>
      <w:numFmt w:val="lowerLetter"/>
      <w:lvlText w:val="%5."/>
      <w:lvlJc w:val="left"/>
      <w:pPr>
        <w:ind w:left="4517" w:hanging="360"/>
      </w:pPr>
    </w:lvl>
    <w:lvl w:ilvl="5" w:tplc="FFFFFFFF" w:tentative="1">
      <w:start w:val="1"/>
      <w:numFmt w:val="lowerRoman"/>
      <w:lvlText w:val="%6."/>
      <w:lvlJc w:val="right"/>
      <w:pPr>
        <w:ind w:left="5237" w:hanging="180"/>
      </w:pPr>
    </w:lvl>
    <w:lvl w:ilvl="6" w:tplc="FFFFFFFF" w:tentative="1">
      <w:start w:val="1"/>
      <w:numFmt w:val="decimal"/>
      <w:lvlText w:val="%7."/>
      <w:lvlJc w:val="left"/>
      <w:pPr>
        <w:ind w:left="5957" w:hanging="360"/>
      </w:pPr>
    </w:lvl>
    <w:lvl w:ilvl="7" w:tplc="FFFFFFFF" w:tentative="1">
      <w:start w:val="1"/>
      <w:numFmt w:val="lowerLetter"/>
      <w:lvlText w:val="%8."/>
      <w:lvlJc w:val="left"/>
      <w:pPr>
        <w:ind w:left="6677" w:hanging="360"/>
      </w:pPr>
    </w:lvl>
    <w:lvl w:ilvl="8" w:tplc="FFFFFFFF" w:tentative="1">
      <w:start w:val="1"/>
      <w:numFmt w:val="lowerRoman"/>
      <w:lvlText w:val="%9."/>
      <w:lvlJc w:val="right"/>
      <w:pPr>
        <w:ind w:left="7397" w:hanging="180"/>
      </w:pPr>
    </w:lvl>
  </w:abstractNum>
  <w:abstractNum w:abstractNumId="33" w15:restartNumberingAfterBreak="0">
    <w:nsid w:val="60D771DB"/>
    <w:multiLevelType w:val="hybridMultilevel"/>
    <w:tmpl w:val="2FD0CC92"/>
    <w:lvl w:ilvl="0" w:tplc="FFFFFFFF">
      <w:start w:val="1"/>
      <w:numFmt w:val="lowerLetter"/>
      <w:lvlText w:val="%1)"/>
      <w:lvlJc w:val="left"/>
      <w:pPr>
        <w:ind w:left="1637" w:hanging="360"/>
      </w:pPr>
      <w:rPr>
        <w:rFonts w:ascii="Calibri" w:hAnsi="Calibri" w:hint="default"/>
      </w:rPr>
    </w:lvl>
    <w:lvl w:ilvl="1" w:tplc="FFFFFFFF" w:tentative="1">
      <w:start w:val="1"/>
      <w:numFmt w:val="lowerLetter"/>
      <w:lvlText w:val="%2."/>
      <w:lvlJc w:val="left"/>
      <w:pPr>
        <w:ind w:left="2357" w:hanging="360"/>
      </w:pPr>
    </w:lvl>
    <w:lvl w:ilvl="2" w:tplc="FFFFFFFF" w:tentative="1">
      <w:start w:val="1"/>
      <w:numFmt w:val="lowerRoman"/>
      <w:lvlText w:val="%3."/>
      <w:lvlJc w:val="right"/>
      <w:pPr>
        <w:ind w:left="3077" w:hanging="180"/>
      </w:pPr>
    </w:lvl>
    <w:lvl w:ilvl="3" w:tplc="FFFFFFFF" w:tentative="1">
      <w:start w:val="1"/>
      <w:numFmt w:val="decimal"/>
      <w:lvlText w:val="%4."/>
      <w:lvlJc w:val="left"/>
      <w:pPr>
        <w:ind w:left="3797" w:hanging="360"/>
      </w:pPr>
    </w:lvl>
    <w:lvl w:ilvl="4" w:tplc="FFFFFFFF" w:tentative="1">
      <w:start w:val="1"/>
      <w:numFmt w:val="lowerLetter"/>
      <w:lvlText w:val="%5."/>
      <w:lvlJc w:val="left"/>
      <w:pPr>
        <w:ind w:left="4517" w:hanging="360"/>
      </w:pPr>
    </w:lvl>
    <w:lvl w:ilvl="5" w:tplc="FFFFFFFF" w:tentative="1">
      <w:start w:val="1"/>
      <w:numFmt w:val="lowerRoman"/>
      <w:lvlText w:val="%6."/>
      <w:lvlJc w:val="right"/>
      <w:pPr>
        <w:ind w:left="5237" w:hanging="180"/>
      </w:pPr>
    </w:lvl>
    <w:lvl w:ilvl="6" w:tplc="FFFFFFFF" w:tentative="1">
      <w:start w:val="1"/>
      <w:numFmt w:val="decimal"/>
      <w:lvlText w:val="%7."/>
      <w:lvlJc w:val="left"/>
      <w:pPr>
        <w:ind w:left="5957" w:hanging="360"/>
      </w:pPr>
    </w:lvl>
    <w:lvl w:ilvl="7" w:tplc="FFFFFFFF" w:tentative="1">
      <w:start w:val="1"/>
      <w:numFmt w:val="lowerLetter"/>
      <w:lvlText w:val="%8."/>
      <w:lvlJc w:val="left"/>
      <w:pPr>
        <w:ind w:left="6677" w:hanging="360"/>
      </w:pPr>
    </w:lvl>
    <w:lvl w:ilvl="8" w:tplc="FFFFFFFF" w:tentative="1">
      <w:start w:val="1"/>
      <w:numFmt w:val="lowerRoman"/>
      <w:lvlText w:val="%9."/>
      <w:lvlJc w:val="right"/>
      <w:pPr>
        <w:ind w:left="7397" w:hanging="180"/>
      </w:pPr>
    </w:lvl>
  </w:abstractNum>
  <w:abstractNum w:abstractNumId="34" w15:restartNumberingAfterBreak="0">
    <w:nsid w:val="616773FF"/>
    <w:multiLevelType w:val="hybridMultilevel"/>
    <w:tmpl w:val="20304A50"/>
    <w:lvl w:ilvl="0" w:tplc="FFFFFFFF">
      <w:start w:val="1"/>
      <w:numFmt w:val="decimal"/>
      <w:lvlText w:val="%1."/>
      <w:lvlJc w:val="left"/>
      <w:pPr>
        <w:ind w:left="930" w:hanging="570"/>
      </w:pPr>
      <w:rPr>
        <w:rFonts w:hint="default"/>
        <w:b/>
        <w:bCs w:val="0"/>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1B47910"/>
    <w:multiLevelType w:val="hybridMultilevel"/>
    <w:tmpl w:val="848EAB8E"/>
    <w:lvl w:ilvl="0" w:tplc="FFFFFFFF">
      <w:start w:val="1"/>
      <w:numFmt w:val="lowerRoman"/>
      <w:lvlText w:val="(%1)"/>
      <w:lvlJc w:val="left"/>
      <w:pPr>
        <w:ind w:left="1996" w:hanging="360"/>
      </w:pPr>
      <w:rPr>
        <w:rFonts w:hint="default"/>
      </w:rPr>
    </w:lvl>
    <w:lvl w:ilvl="1" w:tplc="611A9B26">
      <w:start w:val="1"/>
      <w:numFmt w:val="lowerRoman"/>
      <w:lvlText w:val="(%2)"/>
      <w:lvlJc w:val="left"/>
      <w:pPr>
        <w:ind w:left="2716" w:hanging="360"/>
      </w:pPr>
      <w:rPr>
        <w:rFonts w:hint="default"/>
      </w:r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36" w15:restartNumberingAfterBreak="0">
    <w:nsid w:val="693F76BC"/>
    <w:multiLevelType w:val="hybridMultilevel"/>
    <w:tmpl w:val="ABB81F40"/>
    <w:lvl w:ilvl="0" w:tplc="611A9B26">
      <w:start w:val="1"/>
      <w:numFmt w:val="lowerRoman"/>
      <w:lvlText w:val="(%1)"/>
      <w:lvlJc w:val="left"/>
      <w:pPr>
        <w:ind w:left="2716"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6A83702A"/>
    <w:multiLevelType w:val="hybridMultilevel"/>
    <w:tmpl w:val="2FD0CC92"/>
    <w:lvl w:ilvl="0" w:tplc="FFFFFFFF">
      <w:start w:val="1"/>
      <w:numFmt w:val="lowerLetter"/>
      <w:lvlText w:val="%1)"/>
      <w:lvlJc w:val="left"/>
      <w:pPr>
        <w:ind w:left="1637" w:hanging="360"/>
      </w:pPr>
      <w:rPr>
        <w:rFonts w:ascii="Calibri" w:hAnsi="Calibri" w:hint="default"/>
      </w:rPr>
    </w:lvl>
    <w:lvl w:ilvl="1" w:tplc="FFFFFFFF" w:tentative="1">
      <w:start w:val="1"/>
      <w:numFmt w:val="lowerLetter"/>
      <w:lvlText w:val="%2."/>
      <w:lvlJc w:val="left"/>
      <w:pPr>
        <w:ind w:left="2357" w:hanging="360"/>
      </w:pPr>
    </w:lvl>
    <w:lvl w:ilvl="2" w:tplc="FFFFFFFF" w:tentative="1">
      <w:start w:val="1"/>
      <w:numFmt w:val="lowerRoman"/>
      <w:lvlText w:val="%3."/>
      <w:lvlJc w:val="right"/>
      <w:pPr>
        <w:ind w:left="3077" w:hanging="180"/>
      </w:pPr>
    </w:lvl>
    <w:lvl w:ilvl="3" w:tplc="FFFFFFFF" w:tentative="1">
      <w:start w:val="1"/>
      <w:numFmt w:val="decimal"/>
      <w:lvlText w:val="%4."/>
      <w:lvlJc w:val="left"/>
      <w:pPr>
        <w:ind w:left="3797" w:hanging="360"/>
      </w:pPr>
    </w:lvl>
    <w:lvl w:ilvl="4" w:tplc="FFFFFFFF" w:tentative="1">
      <w:start w:val="1"/>
      <w:numFmt w:val="lowerLetter"/>
      <w:lvlText w:val="%5."/>
      <w:lvlJc w:val="left"/>
      <w:pPr>
        <w:ind w:left="4517" w:hanging="360"/>
      </w:pPr>
    </w:lvl>
    <w:lvl w:ilvl="5" w:tplc="FFFFFFFF" w:tentative="1">
      <w:start w:val="1"/>
      <w:numFmt w:val="lowerRoman"/>
      <w:lvlText w:val="%6."/>
      <w:lvlJc w:val="right"/>
      <w:pPr>
        <w:ind w:left="5237" w:hanging="180"/>
      </w:pPr>
    </w:lvl>
    <w:lvl w:ilvl="6" w:tplc="FFFFFFFF" w:tentative="1">
      <w:start w:val="1"/>
      <w:numFmt w:val="decimal"/>
      <w:lvlText w:val="%7."/>
      <w:lvlJc w:val="left"/>
      <w:pPr>
        <w:ind w:left="5957" w:hanging="360"/>
      </w:pPr>
    </w:lvl>
    <w:lvl w:ilvl="7" w:tplc="FFFFFFFF" w:tentative="1">
      <w:start w:val="1"/>
      <w:numFmt w:val="lowerLetter"/>
      <w:lvlText w:val="%8."/>
      <w:lvlJc w:val="left"/>
      <w:pPr>
        <w:ind w:left="6677" w:hanging="360"/>
      </w:pPr>
    </w:lvl>
    <w:lvl w:ilvl="8" w:tplc="FFFFFFFF" w:tentative="1">
      <w:start w:val="1"/>
      <w:numFmt w:val="lowerRoman"/>
      <w:lvlText w:val="%9."/>
      <w:lvlJc w:val="right"/>
      <w:pPr>
        <w:ind w:left="7397" w:hanging="180"/>
      </w:pPr>
    </w:lvl>
  </w:abstractNum>
  <w:abstractNum w:abstractNumId="38" w15:restartNumberingAfterBreak="0">
    <w:nsid w:val="6DB8764A"/>
    <w:multiLevelType w:val="hybridMultilevel"/>
    <w:tmpl w:val="1A245E58"/>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9" w15:restartNumberingAfterBreak="0">
    <w:nsid w:val="712319BC"/>
    <w:multiLevelType w:val="hybridMultilevel"/>
    <w:tmpl w:val="DA3E2194"/>
    <w:lvl w:ilvl="0" w:tplc="611A9B26">
      <w:start w:val="1"/>
      <w:numFmt w:val="lowerRoman"/>
      <w:lvlText w:val="(%1)"/>
      <w:lvlJc w:val="left"/>
      <w:pPr>
        <w:ind w:left="1650" w:hanging="360"/>
      </w:pPr>
      <w:rPr>
        <w:rFonts w:hint="default"/>
      </w:rPr>
    </w:lvl>
    <w:lvl w:ilvl="1" w:tplc="04160019" w:tentative="1">
      <w:start w:val="1"/>
      <w:numFmt w:val="lowerLetter"/>
      <w:lvlText w:val="%2."/>
      <w:lvlJc w:val="left"/>
      <w:pPr>
        <w:ind w:left="2370" w:hanging="360"/>
      </w:pPr>
    </w:lvl>
    <w:lvl w:ilvl="2" w:tplc="0416001B" w:tentative="1">
      <w:start w:val="1"/>
      <w:numFmt w:val="lowerRoman"/>
      <w:lvlText w:val="%3."/>
      <w:lvlJc w:val="right"/>
      <w:pPr>
        <w:ind w:left="3090" w:hanging="180"/>
      </w:pPr>
    </w:lvl>
    <w:lvl w:ilvl="3" w:tplc="0416000F" w:tentative="1">
      <w:start w:val="1"/>
      <w:numFmt w:val="decimal"/>
      <w:lvlText w:val="%4."/>
      <w:lvlJc w:val="left"/>
      <w:pPr>
        <w:ind w:left="3810" w:hanging="360"/>
      </w:pPr>
    </w:lvl>
    <w:lvl w:ilvl="4" w:tplc="04160019" w:tentative="1">
      <w:start w:val="1"/>
      <w:numFmt w:val="lowerLetter"/>
      <w:lvlText w:val="%5."/>
      <w:lvlJc w:val="left"/>
      <w:pPr>
        <w:ind w:left="4530" w:hanging="360"/>
      </w:pPr>
    </w:lvl>
    <w:lvl w:ilvl="5" w:tplc="0416001B" w:tentative="1">
      <w:start w:val="1"/>
      <w:numFmt w:val="lowerRoman"/>
      <w:lvlText w:val="%6."/>
      <w:lvlJc w:val="right"/>
      <w:pPr>
        <w:ind w:left="5250" w:hanging="180"/>
      </w:pPr>
    </w:lvl>
    <w:lvl w:ilvl="6" w:tplc="0416000F" w:tentative="1">
      <w:start w:val="1"/>
      <w:numFmt w:val="decimal"/>
      <w:lvlText w:val="%7."/>
      <w:lvlJc w:val="left"/>
      <w:pPr>
        <w:ind w:left="5970" w:hanging="360"/>
      </w:pPr>
    </w:lvl>
    <w:lvl w:ilvl="7" w:tplc="04160019" w:tentative="1">
      <w:start w:val="1"/>
      <w:numFmt w:val="lowerLetter"/>
      <w:lvlText w:val="%8."/>
      <w:lvlJc w:val="left"/>
      <w:pPr>
        <w:ind w:left="6690" w:hanging="360"/>
      </w:pPr>
    </w:lvl>
    <w:lvl w:ilvl="8" w:tplc="0416001B" w:tentative="1">
      <w:start w:val="1"/>
      <w:numFmt w:val="lowerRoman"/>
      <w:lvlText w:val="%9."/>
      <w:lvlJc w:val="right"/>
      <w:pPr>
        <w:ind w:left="7410" w:hanging="180"/>
      </w:pPr>
    </w:lvl>
  </w:abstractNum>
  <w:abstractNum w:abstractNumId="40" w15:restartNumberingAfterBreak="0">
    <w:nsid w:val="727F5028"/>
    <w:multiLevelType w:val="hybridMultilevel"/>
    <w:tmpl w:val="671870F8"/>
    <w:lvl w:ilvl="0" w:tplc="51C43AAA">
      <w:start w:val="1"/>
      <w:numFmt w:val="decimal"/>
      <w:lvlText w:val="%1."/>
      <w:lvlJc w:val="left"/>
      <w:pPr>
        <w:ind w:left="357" w:hanging="357"/>
      </w:pPr>
      <w:rPr>
        <w:rFonts w:hint="default"/>
        <w:b/>
        <w:bCs w:val="0"/>
      </w:rPr>
    </w:lvl>
    <w:lvl w:ilvl="1" w:tplc="C150C284">
      <w:start w:val="1"/>
      <w:numFmt w:val="lowerLetter"/>
      <w:lvlText w:val="(%2)"/>
      <w:lvlJc w:val="left"/>
      <w:pPr>
        <w:ind w:left="1440" w:hanging="360"/>
      </w:pPr>
      <w:rPr>
        <w:rFonts w:hint="default"/>
      </w:r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77792CA4"/>
    <w:multiLevelType w:val="singleLevel"/>
    <w:tmpl w:val="9A4CCEBE"/>
    <w:lvl w:ilvl="0">
      <w:start w:val="2"/>
      <w:numFmt w:val="decimal"/>
      <w:lvlText w:val="%1."/>
      <w:lvlJc w:val="left"/>
      <w:pPr>
        <w:tabs>
          <w:tab w:val="num" w:pos="1425"/>
        </w:tabs>
        <w:ind w:left="1425" w:hanging="1425"/>
      </w:pPr>
      <w:rPr>
        <w:rFonts w:hint="default"/>
      </w:rPr>
    </w:lvl>
  </w:abstractNum>
  <w:abstractNum w:abstractNumId="42" w15:restartNumberingAfterBreak="0">
    <w:nsid w:val="7E8874F4"/>
    <w:multiLevelType w:val="hybridMultilevel"/>
    <w:tmpl w:val="80AA9B50"/>
    <w:lvl w:ilvl="0" w:tplc="F4DC2606">
      <w:start w:val="1"/>
      <w:numFmt w:val="lowerLetter"/>
      <w:lvlText w:val="%1)"/>
      <w:lvlJc w:val="left"/>
      <w:pPr>
        <w:ind w:left="1650" w:hanging="360"/>
      </w:pPr>
      <w:rPr>
        <w:rFonts w:ascii="Calibri" w:hAnsi="Calibri" w:hint="default"/>
      </w:rPr>
    </w:lvl>
    <w:lvl w:ilvl="1" w:tplc="F4DC2606">
      <w:start w:val="1"/>
      <w:numFmt w:val="lowerLetter"/>
      <w:lvlText w:val="%2)"/>
      <w:lvlJc w:val="left"/>
      <w:pPr>
        <w:ind w:left="2370" w:hanging="360"/>
      </w:pPr>
      <w:rPr>
        <w:rFonts w:ascii="Calibri" w:hAnsi="Calibri" w:hint="default"/>
      </w:rPr>
    </w:lvl>
    <w:lvl w:ilvl="2" w:tplc="7C3EC376">
      <w:start w:val="1"/>
      <w:numFmt w:val="lowerLetter"/>
      <w:lvlText w:val="(%3)"/>
      <w:lvlJc w:val="left"/>
      <w:pPr>
        <w:ind w:left="3270" w:hanging="360"/>
      </w:pPr>
      <w:rPr>
        <w:rFonts w:hint="default"/>
      </w:rPr>
    </w:lvl>
    <w:lvl w:ilvl="3" w:tplc="C4AEFC08">
      <w:start w:val="3"/>
      <w:numFmt w:val="decimal"/>
      <w:lvlText w:val="%4"/>
      <w:lvlJc w:val="left"/>
      <w:pPr>
        <w:ind w:left="3810" w:hanging="360"/>
      </w:pPr>
      <w:rPr>
        <w:rFonts w:hint="default"/>
        <w:sz w:val="24"/>
        <w:vertAlign w:val="superscript"/>
      </w:rPr>
    </w:lvl>
    <w:lvl w:ilvl="4" w:tplc="04160019" w:tentative="1">
      <w:start w:val="1"/>
      <w:numFmt w:val="lowerLetter"/>
      <w:lvlText w:val="%5."/>
      <w:lvlJc w:val="left"/>
      <w:pPr>
        <w:ind w:left="4530" w:hanging="360"/>
      </w:pPr>
    </w:lvl>
    <w:lvl w:ilvl="5" w:tplc="0416001B" w:tentative="1">
      <w:start w:val="1"/>
      <w:numFmt w:val="lowerRoman"/>
      <w:lvlText w:val="%6."/>
      <w:lvlJc w:val="right"/>
      <w:pPr>
        <w:ind w:left="5250" w:hanging="180"/>
      </w:pPr>
    </w:lvl>
    <w:lvl w:ilvl="6" w:tplc="0416000F" w:tentative="1">
      <w:start w:val="1"/>
      <w:numFmt w:val="decimal"/>
      <w:lvlText w:val="%7."/>
      <w:lvlJc w:val="left"/>
      <w:pPr>
        <w:ind w:left="5970" w:hanging="360"/>
      </w:pPr>
    </w:lvl>
    <w:lvl w:ilvl="7" w:tplc="04160019" w:tentative="1">
      <w:start w:val="1"/>
      <w:numFmt w:val="lowerLetter"/>
      <w:lvlText w:val="%8."/>
      <w:lvlJc w:val="left"/>
      <w:pPr>
        <w:ind w:left="6690" w:hanging="360"/>
      </w:pPr>
    </w:lvl>
    <w:lvl w:ilvl="8" w:tplc="0416001B" w:tentative="1">
      <w:start w:val="1"/>
      <w:numFmt w:val="lowerRoman"/>
      <w:lvlText w:val="%9."/>
      <w:lvlJc w:val="right"/>
      <w:pPr>
        <w:ind w:left="7410" w:hanging="180"/>
      </w:pPr>
    </w:lvl>
  </w:abstractNum>
  <w:num w:numId="1" w16cid:durableId="2086802324">
    <w:abstractNumId w:val="17"/>
  </w:num>
  <w:num w:numId="2" w16cid:durableId="466092547">
    <w:abstractNumId w:val="6"/>
  </w:num>
  <w:num w:numId="3" w16cid:durableId="1570575179">
    <w:abstractNumId w:val="8"/>
  </w:num>
  <w:num w:numId="4" w16cid:durableId="1204708851">
    <w:abstractNumId w:val="30"/>
  </w:num>
  <w:num w:numId="5" w16cid:durableId="1472943979">
    <w:abstractNumId w:val="41"/>
  </w:num>
  <w:num w:numId="6" w16cid:durableId="890384081">
    <w:abstractNumId w:val="0"/>
  </w:num>
  <w:num w:numId="7" w16cid:durableId="10289239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468736">
    <w:abstractNumId w:val="40"/>
  </w:num>
  <w:num w:numId="9" w16cid:durableId="2058119451">
    <w:abstractNumId w:val="16"/>
  </w:num>
  <w:num w:numId="10" w16cid:durableId="57438250">
    <w:abstractNumId w:val="38"/>
  </w:num>
  <w:num w:numId="11" w16cid:durableId="1430009339">
    <w:abstractNumId w:val="15"/>
  </w:num>
  <w:num w:numId="12" w16cid:durableId="2126609789">
    <w:abstractNumId w:val="26"/>
  </w:num>
  <w:num w:numId="13" w16cid:durableId="425273801">
    <w:abstractNumId w:val="23"/>
  </w:num>
  <w:num w:numId="14" w16cid:durableId="1982728420">
    <w:abstractNumId w:val="7"/>
  </w:num>
  <w:num w:numId="15" w16cid:durableId="1677417819">
    <w:abstractNumId w:val="3"/>
  </w:num>
  <w:num w:numId="16" w16cid:durableId="1945529371">
    <w:abstractNumId w:val="31"/>
  </w:num>
  <w:num w:numId="17" w16cid:durableId="231819946">
    <w:abstractNumId w:val="4"/>
  </w:num>
  <w:num w:numId="18" w16cid:durableId="1302075547">
    <w:abstractNumId w:val="10"/>
  </w:num>
  <w:num w:numId="19" w16cid:durableId="140847339">
    <w:abstractNumId w:val="9"/>
  </w:num>
  <w:num w:numId="20" w16cid:durableId="137963028">
    <w:abstractNumId w:val="42"/>
  </w:num>
  <w:num w:numId="21" w16cid:durableId="1807819130">
    <w:abstractNumId w:val="1"/>
  </w:num>
  <w:num w:numId="22" w16cid:durableId="268510500">
    <w:abstractNumId w:val="12"/>
  </w:num>
  <w:num w:numId="23" w16cid:durableId="965281655">
    <w:abstractNumId w:val="5"/>
  </w:num>
  <w:num w:numId="24" w16cid:durableId="1267424710">
    <w:abstractNumId w:val="22"/>
  </w:num>
  <w:num w:numId="25" w16cid:durableId="2026050224">
    <w:abstractNumId w:val="2"/>
  </w:num>
  <w:num w:numId="26" w16cid:durableId="1173834157">
    <w:abstractNumId w:val="37"/>
  </w:num>
  <w:num w:numId="27" w16cid:durableId="776096524">
    <w:abstractNumId w:val="32"/>
  </w:num>
  <w:num w:numId="28" w16cid:durableId="767044229">
    <w:abstractNumId w:val="21"/>
  </w:num>
  <w:num w:numId="29" w16cid:durableId="756561307">
    <w:abstractNumId w:val="29"/>
  </w:num>
  <w:num w:numId="30" w16cid:durableId="271520588">
    <w:abstractNumId w:val="20"/>
  </w:num>
  <w:num w:numId="31" w16cid:durableId="2097170762">
    <w:abstractNumId w:val="28"/>
  </w:num>
  <w:num w:numId="32" w16cid:durableId="636834686">
    <w:abstractNumId w:val="35"/>
  </w:num>
  <w:num w:numId="33" w16cid:durableId="1416517823">
    <w:abstractNumId w:val="27"/>
  </w:num>
  <w:num w:numId="34" w16cid:durableId="1528367160">
    <w:abstractNumId w:val="39"/>
  </w:num>
  <w:num w:numId="35" w16cid:durableId="1349481201">
    <w:abstractNumId w:val="24"/>
  </w:num>
  <w:num w:numId="36" w16cid:durableId="659386245">
    <w:abstractNumId w:val="33"/>
  </w:num>
  <w:num w:numId="37" w16cid:durableId="264269752">
    <w:abstractNumId w:val="13"/>
  </w:num>
  <w:num w:numId="38" w16cid:durableId="671954469">
    <w:abstractNumId w:val="14"/>
  </w:num>
  <w:num w:numId="39" w16cid:durableId="448740453">
    <w:abstractNumId w:val="25"/>
  </w:num>
  <w:num w:numId="40" w16cid:durableId="1130244027">
    <w:abstractNumId w:val="34"/>
  </w:num>
  <w:num w:numId="41" w16cid:durableId="1072049053">
    <w:abstractNumId w:val="36"/>
  </w:num>
  <w:num w:numId="42" w16cid:durableId="582185801">
    <w:abstractNumId w:val="19"/>
  </w:num>
  <w:num w:numId="43" w16cid:durableId="1153638349">
    <w:abstractNumId w:val="18"/>
  </w:num>
  <w:num w:numId="44" w16cid:durableId="183586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501"/>
    <w:rsid w:val="0000444B"/>
    <w:rsid w:val="00004791"/>
    <w:rsid w:val="00015D42"/>
    <w:rsid w:val="00017BD7"/>
    <w:rsid w:val="00017FF5"/>
    <w:rsid w:val="00021899"/>
    <w:rsid w:val="000247CD"/>
    <w:rsid w:val="00035BF8"/>
    <w:rsid w:val="00041946"/>
    <w:rsid w:val="00057616"/>
    <w:rsid w:val="00066B1E"/>
    <w:rsid w:val="00073C49"/>
    <w:rsid w:val="00090FA9"/>
    <w:rsid w:val="000A1A23"/>
    <w:rsid w:val="000B1EC4"/>
    <w:rsid w:val="000B5137"/>
    <w:rsid w:val="000B757E"/>
    <w:rsid w:val="000C6E1C"/>
    <w:rsid w:val="000C7369"/>
    <w:rsid w:val="000D16B8"/>
    <w:rsid w:val="000D3F7C"/>
    <w:rsid w:val="000D50F9"/>
    <w:rsid w:val="000E03D1"/>
    <w:rsid w:val="000E3779"/>
    <w:rsid w:val="000E4188"/>
    <w:rsid w:val="000E5676"/>
    <w:rsid w:val="00107423"/>
    <w:rsid w:val="00113971"/>
    <w:rsid w:val="00113987"/>
    <w:rsid w:val="001208E0"/>
    <w:rsid w:val="001222D6"/>
    <w:rsid w:val="001453D3"/>
    <w:rsid w:val="00154763"/>
    <w:rsid w:val="00166BB5"/>
    <w:rsid w:val="00170C5D"/>
    <w:rsid w:val="00172900"/>
    <w:rsid w:val="0018697A"/>
    <w:rsid w:val="0019070E"/>
    <w:rsid w:val="001A0221"/>
    <w:rsid w:val="001B592B"/>
    <w:rsid w:val="001C0528"/>
    <w:rsid w:val="001C0AA6"/>
    <w:rsid w:val="001C13FA"/>
    <w:rsid w:val="001C1FE8"/>
    <w:rsid w:val="001C625A"/>
    <w:rsid w:val="001C6C98"/>
    <w:rsid w:val="001E5248"/>
    <w:rsid w:val="00200641"/>
    <w:rsid w:val="002006C1"/>
    <w:rsid w:val="002007B6"/>
    <w:rsid w:val="00203C9E"/>
    <w:rsid w:val="00205A86"/>
    <w:rsid w:val="0021173D"/>
    <w:rsid w:val="0021327A"/>
    <w:rsid w:val="00216F06"/>
    <w:rsid w:val="00217603"/>
    <w:rsid w:val="00222E21"/>
    <w:rsid w:val="0022322B"/>
    <w:rsid w:val="002232A8"/>
    <w:rsid w:val="00224C3E"/>
    <w:rsid w:val="002528D8"/>
    <w:rsid w:val="00254AE9"/>
    <w:rsid w:val="00260316"/>
    <w:rsid w:val="00260742"/>
    <w:rsid w:val="00263A41"/>
    <w:rsid w:val="00272F44"/>
    <w:rsid w:val="00275C7E"/>
    <w:rsid w:val="002774CA"/>
    <w:rsid w:val="002827B6"/>
    <w:rsid w:val="00282BC6"/>
    <w:rsid w:val="00291608"/>
    <w:rsid w:val="002A1E8E"/>
    <w:rsid w:val="002B06A8"/>
    <w:rsid w:val="002B078E"/>
    <w:rsid w:val="002B737B"/>
    <w:rsid w:val="002C1B82"/>
    <w:rsid w:val="002C4394"/>
    <w:rsid w:val="002C5705"/>
    <w:rsid w:val="002C58B2"/>
    <w:rsid w:val="002C7233"/>
    <w:rsid w:val="002E5893"/>
    <w:rsid w:val="002F06EA"/>
    <w:rsid w:val="002F11D1"/>
    <w:rsid w:val="002F3D19"/>
    <w:rsid w:val="002F7D79"/>
    <w:rsid w:val="00305F21"/>
    <w:rsid w:val="00307218"/>
    <w:rsid w:val="003245AA"/>
    <w:rsid w:val="00324878"/>
    <w:rsid w:val="00327512"/>
    <w:rsid w:val="0033061D"/>
    <w:rsid w:val="00330A89"/>
    <w:rsid w:val="0036169B"/>
    <w:rsid w:val="00364DBC"/>
    <w:rsid w:val="00365CA3"/>
    <w:rsid w:val="00366EB9"/>
    <w:rsid w:val="0036766C"/>
    <w:rsid w:val="00372326"/>
    <w:rsid w:val="00373C37"/>
    <w:rsid w:val="00386377"/>
    <w:rsid w:val="00395742"/>
    <w:rsid w:val="003971F2"/>
    <w:rsid w:val="003A4C75"/>
    <w:rsid w:val="003A5A37"/>
    <w:rsid w:val="003A64A0"/>
    <w:rsid w:val="003A6E65"/>
    <w:rsid w:val="003A7029"/>
    <w:rsid w:val="003B367A"/>
    <w:rsid w:val="003B497F"/>
    <w:rsid w:val="003C487B"/>
    <w:rsid w:val="003D40CD"/>
    <w:rsid w:val="003E12AC"/>
    <w:rsid w:val="003E6310"/>
    <w:rsid w:val="003F4D11"/>
    <w:rsid w:val="00400C63"/>
    <w:rsid w:val="00406DC8"/>
    <w:rsid w:val="00414CD4"/>
    <w:rsid w:val="00420404"/>
    <w:rsid w:val="004214B8"/>
    <w:rsid w:val="004226B1"/>
    <w:rsid w:val="0043284E"/>
    <w:rsid w:val="00433876"/>
    <w:rsid w:val="004408E4"/>
    <w:rsid w:val="00445FEA"/>
    <w:rsid w:val="004465F2"/>
    <w:rsid w:val="004562FB"/>
    <w:rsid w:val="00456DD0"/>
    <w:rsid w:val="00472F42"/>
    <w:rsid w:val="0049439C"/>
    <w:rsid w:val="0049705D"/>
    <w:rsid w:val="004A0998"/>
    <w:rsid w:val="004B43C4"/>
    <w:rsid w:val="004C249B"/>
    <w:rsid w:val="004C3DFB"/>
    <w:rsid w:val="004C4638"/>
    <w:rsid w:val="004D095A"/>
    <w:rsid w:val="004D10F0"/>
    <w:rsid w:val="004D55E2"/>
    <w:rsid w:val="004D652A"/>
    <w:rsid w:val="004E507E"/>
    <w:rsid w:val="004E7E3C"/>
    <w:rsid w:val="004F3913"/>
    <w:rsid w:val="00514277"/>
    <w:rsid w:val="00514404"/>
    <w:rsid w:val="00514BDC"/>
    <w:rsid w:val="00516DD0"/>
    <w:rsid w:val="005256D6"/>
    <w:rsid w:val="00551C48"/>
    <w:rsid w:val="00552200"/>
    <w:rsid w:val="005569B1"/>
    <w:rsid w:val="00566380"/>
    <w:rsid w:val="0057572A"/>
    <w:rsid w:val="005A0077"/>
    <w:rsid w:val="005A0BD7"/>
    <w:rsid w:val="005A1B86"/>
    <w:rsid w:val="005A34BB"/>
    <w:rsid w:val="005B2C5D"/>
    <w:rsid w:val="005C5D4E"/>
    <w:rsid w:val="005D395C"/>
    <w:rsid w:val="005D6A44"/>
    <w:rsid w:val="005D7DA5"/>
    <w:rsid w:val="005E07AA"/>
    <w:rsid w:val="005E6B3A"/>
    <w:rsid w:val="005F2E07"/>
    <w:rsid w:val="005F2F9F"/>
    <w:rsid w:val="00602DB5"/>
    <w:rsid w:val="00604561"/>
    <w:rsid w:val="00604E57"/>
    <w:rsid w:val="00606F34"/>
    <w:rsid w:val="00607A38"/>
    <w:rsid w:val="006154BA"/>
    <w:rsid w:val="00615DD7"/>
    <w:rsid w:val="006269B5"/>
    <w:rsid w:val="00627036"/>
    <w:rsid w:val="00647F20"/>
    <w:rsid w:val="00650A2C"/>
    <w:rsid w:val="00654DC0"/>
    <w:rsid w:val="00657BA6"/>
    <w:rsid w:val="0066212E"/>
    <w:rsid w:val="00666D03"/>
    <w:rsid w:val="00667526"/>
    <w:rsid w:val="006741BC"/>
    <w:rsid w:val="00674B5F"/>
    <w:rsid w:val="00681A8D"/>
    <w:rsid w:val="00690923"/>
    <w:rsid w:val="00690FCD"/>
    <w:rsid w:val="00691956"/>
    <w:rsid w:val="00692564"/>
    <w:rsid w:val="00692CF6"/>
    <w:rsid w:val="006930B6"/>
    <w:rsid w:val="006949EC"/>
    <w:rsid w:val="00694B48"/>
    <w:rsid w:val="006A3807"/>
    <w:rsid w:val="006A7BE6"/>
    <w:rsid w:val="006B1C72"/>
    <w:rsid w:val="006B45AF"/>
    <w:rsid w:val="006C2B51"/>
    <w:rsid w:val="006C706D"/>
    <w:rsid w:val="006D16EC"/>
    <w:rsid w:val="006D30E3"/>
    <w:rsid w:val="006E2A7B"/>
    <w:rsid w:val="006F45C5"/>
    <w:rsid w:val="006F6BF4"/>
    <w:rsid w:val="007318AD"/>
    <w:rsid w:val="0073260D"/>
    <w:rsid w:val="00733306"/>
    <w:rsid w:val="00733382"/>
    <w:rsid w:val="00740194"/>
    <w:rsid w:val="0074778C"/>
    <w:rsid w:val="007541E4"/>
    <w:rsid w:val="007609E9"/>
    <w:rsid w:val="00765F01"/>
    <w:rsid w:val="00766E01"/>
    <w:rsid w:val="007731D4"/>
    <w:rsid w:val="00773A20"/>
    <w:rsid w:val="00776F7D"/>
    <w:rsid w:val="007A5AC1"/>
    <w:rsid w:val="007A65F0"/>
    <w:rsid w:val="007B0416"/>
    <w:rsid w:val="007B2886"/>
    <w:rsid w:val="007B3009"/>
    <w:rsid w:val="007B5BAE"/>
    <w:rsid w:val="007C075F"/>
    <w:rsid w:val="007C5BB2"/>
    <w:rsid w:val="007D0439"/>
    <w:rsid w:val="007D6EB1"/>
    <w:rsid w:val="007D7C4A"/>
    <w:rsid w:val="007E00D9"/>
    <w:rsid w:val="007E377F"/>
    <w:rsid w:val="007F1105"/>
    <w:rsid w:val="007F3AAB"/>
    <w:rsid w:val="00800384"/>
    <w:rsid w:val="00802F34"/>
    <w:rsid w:val="00807407"/>
    <w:rsid w:val="00811EAF"/>
    <w:rsid w:val="0081560F"/>
    <w:rsid w:val="00824FAF"/>
    <w:rsid w:val="0082547F"/>
    <w:rsid w:val="00832AB2"/>
    <w:rsid w:val="00834A80"/>
    <w:rsid w:val="00836501"/>
    <w:rsid w:val="0084075A"/>
    <w:rsid w:val="00843DA4"/>
    <w:rsid w:val="00844890"/>
    <w:rsid w:val="008522B5"/>
    <w:rsid w:val="00853CBD"/>
    <w:rsid w:val="00857A2D"/>
    <w:rsid w:val="00863988"/>
    <w:rsid w:val="0086559C"/>
    <w:rsid w:val="00865AC0"/>
    <w:rsid w:val="00871B03"/>
    <w:rsid w:val="008762A6"/>
    <w:rsid w:val="008774FC"/>
    <w:rsid w:val="008A06AC"/>
    <w:rsid w:val="008A1F25"/>
    <w:rsid w:val="008B5741"/>
    <w:rsid w:val="008C4DEB"/>
    <w:rsid w:val="008C60B3"/>
    <w:rsid w:val="008C6BA4"/>
    <w:rsid w:val="008D6375"/>
    <w:rsid w:val="008F6D9B"/>
    <w:rsid w:val="00911FCC"/>
    <w:rsid w:val="009130C9"/>
    <w:rsid w:val="00920730"/>
    <w:rsid w:val="00926B67"/>
    <w:rsid w:val="00927E73"/>
    <w:rsid w:val="009302B8"/>
    <w:rsid w:val="009357E4"/>
    <w:rsid w:val="0094208C"/>
    <w:rsid w:val="0094722E"/>
    <w:rsid w:val="0094745F"/>
    <w:rsid w:val="009503F9"/>
    <w:rsid w:val="009526CA"/>
    <w:rsid w:val="00957C63"/>
    <w:rsid w:val="00962004"/>
    <w:rsid w:val="009633BD"/>
    <w:rsid w:val="00963E2E"/>
    <w:rsid w:val="00964F70"/>
    <w:rsid w:val="00971280"/>
    <w:rsid w:val="00990C2D"/>
    <w:rsid w:val="009946C7"/>
    <w:rsid w:val="009A521D"/>
    <w:rsid w:val="009A7F05"/>
    <w:rsid w:val="009B3CD5"/>
    <w:rsid w:val="009C621F"/>
    <w:rsid w:val="009D1A96"/>
    <w:rsid w:val="009D22A1"/>
    <w:rsid w:val="009E1339"/>
    <w:rsid w:val="009F6352"/>
    <w:rsid w:val="009F73ED"/>
    <w:rsid w:val="009F76D2"/>
    <w:rsid w:val="00A02BD3"/>
    <w:rsid w:val="00A032AA"/>
    <w:rsid w:val="00A112EE"/>
    <w:rsid w:val="00A17768"/>
    <w:rsid w:val="00A20D90"/>
    <w:rsid w:val="00A2156A"/>
    <w:rsid w:val="00A37D59"/>
    <w:rsid w:val="00A4152D"/>
    <w:rsid w:val="00A42363"/>
    <w:rsid w:val="00A52CD3"/>
    <w:rsid w:val="00A55DF2"/>
    <w:rsid w:val="00A647A7"/>
    <w:rsid w:val="00A70910"/>
    <w:rsid w:val="00A73530"/>
    <w:rsid w:val="00A74F78"/>
    <w:rsid w:val="00A75046"/>
    <w:rsid w:val="00A838F6"/>
    <w:rsid w:val="00A871A2"/>
    <w:rsid w:val="00A957F7"/>
    <w:rsid w:val="00A96139"/>
    <w:rsid w:val="00A96EE0"/>
    <w:rsid w:val="00AA05BB"/>
    <w:rsid w:val="00AA2CAE"/>
    <w:rsid w:val="00AA50E9"/>
    <w:rsid w:val="00AB0BE3"/>
    <w:rsid w:val="00AB4E97"/>
    <w:rsid w:val="00AC68B1"/>
    <w:rsid w:val="00AD30FC"/>
    <w:rsid w:val="00AD4F6F"/>
    <w:rsid w:val="00AE3B9E"/>
    <w:rsid w:val="00AF04A1"/>
    <w:rsid w:val="00B112CC"/>
    <w:rsid w:val="00B2081C"/>
    <w:rsid w:val="00B21E69"/>
    <w:rsid w:val="00B22ABE"/>
    <w:rsid w:val="00B25A1E"/>
    <w:rsid w:val="00B31633"/>
    <w:rsid w:val="00B3584A"/>
    <w:rsid w:val="00B46566"/>
    <w:rsid w:val="00B466B8"/>
    <w:rsid w:val="00B62F9F"/>
    <w:rsid w:val="00B67FFC"/>
    <w:rsid w:val="00B71165"/>
    <w:rsid w:val="00B7311F"/>
    <w:rsid w:val="00B73ADA"/>
    <w:rsid w:val="00B755A5"/>
    <w:rsid w:val="00B75E65"/>
    <w:rsid w:val="00B76D3B"/>
    <w:rsid w:val="00B802F8"/>
    <w:rsid w:val="00B82DAB"/>
    <w:rsid w:val="00BA2E78"/>
    <w:rsid w:val="00BB7230"/>
    <w:rsid w:val="00BC29B0"/>
    <w:rsid w:val="00BC3299"/>
    <w:rsid w:val="00BC7EE7"/>
    <w:rsid w:val="00BD23C6"/>
    <w:rsid w:val="00BF0E6C"/>
    <w:rsid w:val="00BF5A40"/>
    <w:rsid w:val="00C11AE1"/>
    <w:rsid w:val="00C13C80"/>
    <w:rsid w:val="00C256BC"/>
    <w:rsid w:val="00C342F3"/>
    <w:rsid w:val="00C46095"/>
    <w:rsid w:val="00C5328D"/>
    <w:rsid w:val="00C578E7"/>
    <w:rsid w:val="00C6282C"/>
    <w:rsid w:val="00C64CBE"/>
    <w:rsid w:val="00C671BA"/>
    <w:rsid w:val="00C73C61"/>
    <w:rsid w:val="00CA11CA"/>
    <w:rsid w:val="00CA3821"/>
    <w:rsid w:val="00CB7C27"/>
    <w:rsid w:val="00CC2A42"/>
    <w:rsid w:val="00CC432B"/>
    <w:rsid w:val="00CD1C2B"/>
    <w:rsid w:val="00CD282C"/>
    <w:rsid w:val="00CD3360"/>
    <w:rsid w:val="00CD6773"/>
    <w:rsid w:val="00CD67B5"/>
    <w:rsid w:val="00CE074F"/>
    <w:rsid w:val="00CE24C4"/>
    <w:rsid w:val="00CE472A"/>
    <w:rsid w:val="00CF1146"/>
    <w:rsid w:val="00CF1458"/>
    <w:rsid w:val="00D044AA"/>
    <w:rsid w:val="00D058F7"/>
    <w:rsid w:val="00D06B7A"/>
    <w:rsid w:val="00D07F42"/>
    <w:rsid w:val="00D11BEC"/>
    <w:rsid w:val="00D123C3"/>
    <w:rsid w:val="00D13B53"/>
    <w:rsid w:val="00D177CB"/>
    <w:rsid w:val="00D4269B"/>
    <w:rsid w:val="00D449B6"/>
    <w:rsid w:val="00D564B5"/>
    <w:rsid w:val="00D64225"/>
    <w:rsid w:val="00D77FDE"/>
    <w:rsid w:val="00D81C82"/>
    <w:rsid w:val="00D82138"/>
    <w:rsid w:val="00D82FA6"/>
    <w:rsid w:val="00D86A37"/>
    <w:rsid w:val="00D87A40"/>
    <w:rsid w:val="00D921D4"/>
    <w:rsid w:val="00D925F0"/>
    <w:rsid w:val="00D92DC0"/>
    <w:rsid w:val="00D95713"/>
    <w:rsid w:val="00DA209E"/>
    <w:rsid w:val="00DA6AB2"/>
    <w:rsid w:val="00DB1DAC"/>
    <w:rsid w:val="00DB33A6"/>
    <w:rsid w:val="00DB6067"/>
    <w:rsid w:val="00DD1D18"/>
    <w:rsid w:val="00DD5190"/>
    <w:rsid w:val="00DE40EC"/>
    <w:rsid w:val="00DE76AA"/>
    <w:rsid w:val="00DF7D94"/>
    <w:rsid w:val="00E01380"/>
    <w:rsid w:val="00E0162E"/>
    <w:rsid w:val="00E03866"/>
    <w:rsid w:val="00E046B1"/>
    <w:rsid w:val="00E21A26"/>
    <w:rsid w:val="00E24827"/>
    <w:rsid w:val="00E31755"/>
    <w:rsid w:val="00E32A01"/>
    <w:rsid w:val="00E4625F"/>
    <w:rsid w:val="00E47802"/>
    <w:rsid w:val="00E52268"/>
    <w:rsid w:val="00E624EB"/>
    <w:rsid w:val="00E638AB"/>
    <w:rsid w:val="00E75F08"/>
    <w:rsid w:val="00E84E0A"/>
    <w:rsid w:val="00E867EF"/>
    <w:rsid w:val="00EA4246"/>
    <w:rsid w:val="00EC19FD"/>
    <w:rsid w:val="00ED633B"/>
    <w:rsid w:val="00EE51FD"/>
    <w:rsid w:val="00EE5D63"/>
    <w:rsid w:val="00EE647E"/>
    <w:rsid w:val="00F06D7D"/>
    <w:rsid w:val="00F13D0D"/>
    <w:rsid w:val="00F24CE9"/>
    <w:rsid w:val="00F330E2"/>
    <w:rsid w:val="00F342A0"/>
    <w:rsid w:val="00F46F42"/>
    <w:rsid w:val="00F506BF"/>
    <w:rsid w:val="00F5446D"/>
    <w:rsid w:val="00F5776A"/>
    <w:rsid w:val="00F624BA"/>
    <w:rsid w:val="00F72CFE"/>
    <w:rsid w:val="00F75A94"/>
    <w:rsid w:val="00F76EA2"/>
    <w:rsid w:val="00F77B80"/>
    <w:rsid w:val="00F82161"/>
    <w:rsid w:val="00F83D65"/>
    <w:rsid w:val="00FA23D5"/>
    <w:rsid w:val="00FB17B3"/>
    <w:rsid w:val="00FB5535"/>
    <w:rsid w:val="00FB5539"/>
    <w:rsid w:val="00FD14D6"/>
    <w:rsid w:val="00FD17F7"/>
    <w:rsid w:val="00FE40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8AFD78"/>
  <w14:defaultImageDpi w14:val="330"/>
  <w15:docId w15:val="{ABA77CB6-A993-4300-8E22-7C38598D2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46D"/>
    <w:pPr>
      <w:spacing w:after="120"/>
    </w:pPr>
    <w:rPr>
      <w:rFonts w:ascii="Calibri" w:hAnsi="Calibri"/>
      <w:sz w:val="24"/>
      <w:lang w:val="pt-BR" w:eastAsia="pt-BR"/>
    </w:rPr>
  </w:style>
  <w:style w:type="paragraph" w:styleId="Ttulo1">
    <w:name w:val="heading 1"/>
    <w:basedOn w:val="Normal"/>
    <w:next w:val="Normal"/>
    <w:qFormat/>
    <w:pPr>
      <w:keepNext/>
      <w:jc w:val="center"/>
      <w:outlineLvl w:val="0"/>
    </w:pPr>
    <w:rPr>
      <w:i/>
    </w:rPr>
  </w:style>
  <w:style w:type="paragraph" w:styleId="Ttulo2">
    <w:name w:val="heading 2"/>
    <w:basedOn w:val="Normal"/>
    <w:next w:val="Normal"/>
    <w:qFormat/>
    <w:pPr>
      <w:keepNext/>
      <w:outlineLvl w:val="1"/>
    </w:pPr>
    <w:rPr>
      <w:b/>
      <w:i/>
      <w:sz w:val="28"/>
    </w:rPr>
  </w:style>
  <w:style w:type="paragraph" w:styleId="Ttulo3">
    <w:name w:val="heading 3"/>
    <w:basedOn w:val="Normal"/>
    <w:next w:val="Normal"/>
    <w:qFormat/>
    <w:pPr>
      <w:keepNext/>
      <w:jc w:val="center"/>
      <w:outlineLvl w:val="2"/>
    </w:pPr>
    <w:rPr>
      <w:b/>
      <w:i/>
      <w:sz w:val="26"/>
    </w:rPr>
  </w:style>
  <w:style w:type="paragraph" w:styleId="Ttulo4">
    <w:name w:val="heading 4"/>
    <w:basedOn w:val="Normal"/>
    <w:next w:val="Normal"/>
    <w:qFormat/>
    <w:pPr>
      <w:keepNext/>
      <w:outlineLvl w:val="3"/>
    </w:pPr>
    <w:rPr>
      <w:b/>
      <w:i/>
      <w:sz w:val="28"/>
      <w:u w:val="single"/>
    </w:rPr>
  </w:style>
  <w:style w:type="paragraph" w:styleId="Ttulo5">
    <w:name w:val="heading 5"/>
    <w:basedOn w:val="Normal"/>
    <w:next w:val="Normal"/>
    <w:qFormat/>
    <w:pPr>
      <w:keepNext/>
      <w:outlineLvl w:val="4"/>
    </w:pPr>
    <w:rPr>
      <w:i/>
      <w:sz w:val="16"/>
      <w:u w:val="single"/>
    </w:rPr>
  </w:style>
  <w:style w:type="paragraph" w:styleId="Ttulo6">
    <w:name w:val="heading 6"/>
    <w:basedOn w:val="Normal"/>
    <w:next w:val="Normal"/>
    <w:qFormat/>
    <w:pPr>
      <w:keepNext/>
      <w:outlineLvl w:val="5"/>
    </w:pPr>
    <w:rPr>
      <w:i/>
      <w:sz w:val="28"/>
      <w:u w:val="single"/>
    </w:rPr>
  </w:style>
  <w:style w:type="paragraph" w:styleId="Ttulo7">
    <w:name w:val="heading 7"/>
    <w:basedOn w:val="Normal"/>
    <w:next w:val="Normal"/>
    <w:qFormat/>
    <w:pPr>
      <w:keepNext/>
      <w:jc w:val="center"/>
      <w:outlineLvl w:val="6"/>
    </w:pPr>
    <w:rPr>
      <w:rFonts w:ascii="Arial" w:hAnsi="Arial"/>
    </w:rPr>
  </w:style>
  <w:style w:type="paragraph" w:styleId="Ttulo8">
    <w:name w:val="heading 8"/>
    <w:basedOn w:val="Normal"/>
    <w:next w:val="Normal"/>
    <w:qFormat/>
    <w:pPr>
      <w:keepNext/>
      <w:jc w:val="both"/>
      <w:outlineLvl w:val="7"/>
    </w:pPr>
    <w:rPr>
      <w:rFonts w:ascii="Arial" w:hAnsi="Arial"/>
      <w:b/>
      <w:sz w:val="28"/>
    </w:rPr>
  </w:style>
  <w:style w:type="paragraph" w:styleId="Ttulo9">
    <w:name w:val="heading 9"/>
    <w:basedOn w:val="Normal"/>
    <w:next w:val="Normal"/>
    <w:qFormat/>
    <w:pPr>
      <w:keepNext/>
      <w:jc w:val="right"/>
      <w:outlineLvl w:val="8"/>
    </w:pPr>
    <w:rPr>
      <w:rFonts w:ascii="Arial" w:hAnsi="Arial"/>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semiHidden/>
    <w:pPr>
      <w:ind w:firstLine="1418"/>
      <w:jc w:val="both"/>
    </w:pPr>
    <w:rPr>
      <w:i/>
      <w:sz w:val="28"/>
    </w:rPr>
  </w:style>
  <w:style w:type="paragraph" w:styleId="Cabealho">
    <w:name w:val="header"/>
    <w:basedOn w:val="Normal"/>
    <w:link w:val="CabealhoChar"/>
    <w:uiPriority w:val="99"/>
    <w:pPr>
      <w:tabs>
        <w:tab w:val="center" w:pos="4419"/>
        <w:tab w:val="right" w:pos="8838"/>
      </w:tabs>
    </w:pPr>
  </w:style>
  <w:style w:type="paragraph" w:styleId="Rodap">
    <w:name w:val="footer"/>
    <w:basedOn w:val="Normal"/>
    <w:link w:val="RodapChar"/>
    <w:pPr>
      <w:tabs>
        <w:tab w:val="center" w:pos="4419"/>
        <w:tab w:val="right" w:pos="8838"/>
      </w:tabs>
    </w:pPr>
  </w:style>
  <w:style w:type="paragraph" w:styleId="Recuodecorpodetexto2">
    <w:name w:val="Body Text Indent 2"/>
    <w:basedOn w:val="Normal"/>
    <w:link w:val="Recuodecorpodetexto2Char"/>
    <w:semiHidden/>
    <w:pPr>
      <w:ind w:firstLine="1701"/>
      <w:jc w:val="both"/>
    </w:pPr>
    <w:rPr>
      <w:sz w:val="28"/>
    </w:rPr>
  </w:style>
  <w:style w:type="paragraph" w:styleId="Recuodecorpodetexto3">
    <w:name w:val="Body Text Indent 3"/>
    <w:basedOn w:val="Normal"/>
    <w:semiHidden/>
    <w:pPr>
      <w:ind w:firstLine="1418"/>
      <w:jc w:val="both"/>
    </w:pPr>
    <w:rPr>
      <w:sz w:val="28"/>
    </w:rPr>
  </w:style>
  <w:style w:type="paragraph" w:styleId="Corpodetexto">
    <w:name w:val="Body Text"/>
    <w:basedOn w:val="Normal"/>
    <w:link w:val="CorpodetextoChar"/>
    <w:semiHidden/>
    <w:pPr>
      <w:tabs>
        <w:tab w:val="left" w:pos="1418"/>
      </w:tabs>
      <w:jc w:val="both"/>
    </w:pPr>
    <w:rPr>
      <w:rFonts w:ascii="Arial" w:hAnsi="Arial"/>
      <w:sz w:val="28"/>
    </w:rPr>
  </w:style>
  <w:style w:type="paragraph" w:styleId="Corpodetexto2">
    <w:name w:val="Body Text 2"/>
    <w:basedOn w:val="Normal"/>
    <w:semiHidden/>
    <w:pPr>
      <w:tabs>
        <w:tab w:val="left" w:pos="1418"/>
      </w:tabs>
      <w:ind w:right="-1"/>
      <w:jc w:val="both"/>
    </w:pPr>
    <w:rPr>
      <w:rFonts w:ascii="Arial" w:hAnsi="Arial"/>
      <w:sz w:val="26"/>
    </w:rPr>
  </w:style>
  <w:style w:type="character" w:styleId="Nmerodepgina">
    <w:name w:val="page number"/>
    <w:basedOn w:val="Fontepargpadro"/>
    <w:semiHidden/>
  </w:style>
  <w:style w:type="paragraph" w:styleId="Corpodetexto3">
    <w:name w:val="Body Text 3"/>
    <w:basedOn w:val="Normal"/>
    <w:semiHidden/>
    <w:pPr>
      <w:tabs>
        <w:tab w:val="left" w:pos="1701"/>
      </w:tabs>
      <w:jc w:val="both"/>
    </w:pPr>
    <w:rPr>
      <w:rFonts w:ascii="Arial" w:hAnsi="Arial" w:cs="Arial"/>
    </w:rPr>
  </w:style>
  <w:style w:type="paragraph" w:styleId="NormalWeb">
    <w:name w:val="Normal (Web)"/>
    <w:basedOn w:val="Normal"/>
    <w:uiPriority w:val="99"/>
    <w:semiHidden/>
    <w:unhideWhenUsed/>
    <w:rsid w:val="000D16B8"/>
    <w:pPr>
      <w:spacing w:before="100" w:beforeAutospacing="1" w:after="100" w:afterAutospacing="1"/>
    </w:pPr>
    <w:rPr>
      <w:rFonts w:eastAsia="Calibri"/>
      <w:szCs w:val="24"/>
    </w:rPr>
  </w:style>
  <w:style w:type="table" w:styleId="Tabelacomgrade">
    <w:name w:val="Table Grid"/>
    <w:basedOn w:val="Tabelanormal"/>
    <w:uiPriority w:val="59"/>
    <w:rsid w:val="00AE3B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bealhoChar">
    <w:name w:val="Cabeçalho Char"/>
    <w:basedOn w:val="Fontepargpadro"/>
    <w:link w:val="Cabealho"/>
    <w:uiPriority w:val="99"/>
    <w:rsid w:val="00386377"/>
  </w:style>
  <w:style w:type="character" w:customStyle="1" w:styleId="RodapChar">
    <w:name w:val="Rodapé Char"/>
    <w:basedOn w:val="Fontepargpadro"/>
    <w:link w:val="Rodap"/>
    <w:rsid w:val="00865AC0"/>
  </w:style>
  <w:style w:type="character" w:customStyle="1" w:styleId="apple-converted-space">
    <w:name w:val="apple-converted-space"/>
    <w:basedOn w:val="Fontepargpadro"/>
    <w:rsid w:val="00F82161"/>
  </w:style>
  <w:style w:type="character" w:customStyle="1" w:styleId="highlight">
    <w:name w:val="highlight"/>
    <w:basedOn w:val="Fontepargpadro"/>
    <w:rsid w:val="00F82161"/>
  </w:style>
  <w:style w:type="paragraph" w:styleId="Textodebalo">
    <w:name w:val="Balloon Text"/>
    <w:basedOn w:val="Normal"/>
    <w:link w:val="TextodebaloChar"/>
    <w:uiPriority w:val="99"/>
    <w:semiHidden/>
    <w:unhideWhenUsed/>
    <w:rsid w:val="005A34BB"/>
    <w:rPr>
      <w:rFonts w:ascii="Tahoma" w:hAnsi="Tahoma" w:cs="Tahoma"/>
      <w:sz w:val="16"/>
      <w:szCs w:val="16"/>
    </w:rPr>
  </w:style>
  <w:style w:type="character" w:customStyle="1" w:styleId="TextodebaloChar">
    <w:name w:val="Texto de balão Char"/>
    <w:basedOn w:val="Fontepargpadro"/>
    <w:link w:val="Textodebalo"/>
    <w:uiPriority w:val="99"/>
    <w:semiHidden/>
    <w:rsid w:val="005A34BB"/>
    <w:rPr>
      <w:rFonts w:ascii="Tahoma" w:hAnsi="Tahoma" w:cs="Tahoma"/>
      <w:sz w:val="16"/>
      <w:szCs w:val="16"/>
    </w:rPr>
  </w:style>
  <w:style w:type="character" w:styleId="Refdecomentrio">
    <w:name w:val="annotation reference"/>
    <w:basedOn w:val="Fontepargpadro"/>
    <w:uiPriority w:val="99"/>
    <w:semiHidden/>
    <w:unhideWhenUsed/>
    <w:rsid w:val="005A34BB"/>
    <w:rPr>
      <w:sz w:val="16"/>
      <w:szCs w:val="16"/>
    </w:rPr>
  </w:style>
  <w:style w:type="paragraph" w:styleId="Textodecomentrio">
    <w:name w:val="annotation text"/>
    <w:basedOn w:val="Normal"/>
    <w:link w:val="TextodecomentrioChar"/>
    <w:uiPriority w:val="99"/>
    <w:semiHidden/>
    <w:unhideWhenUsed/>
    <w:rsid w:val="005A34BB"/>
  </w:style>
  <w:style w:type="character" w:customStyle="1" w:styleId="TextodecomentrioChar">
    <w:name w:val="Texto de comentário Char"/>
    <w:basedOn w:val="Fontepargpadro"/>
    <w:link w:val="Textodecomentrio"/>
    <w:uiPriority w:val="99"/>
    <w:semiHidden/>
    <w:rsid w:val="005A34BB"/>
  </w:style>
  <w:style w:type="paragraph" w:styleId="Assuntodocomentrio">
    <w:name w:val="annotation subject"/>
    <w:basedOn w:val="Textodecomentrio"/>
    <w:next w:val="Textodecomentrio"/>
    <w:link w:val="AssuntodocomentrioChar"/>
    <w:uiPriority w:val="99"/>
    <w:semiHidden/>
    <w:unhideWhenUsed/>
    <w:rsid w:val="005A34BB"/>
    <w:rPr>
      <w:b/>
      <w:bCs/>
    </w:rPr>
  </w:style>
  <w:style w:type="character" w:customStyle="1" w:styleId="AssuntodocomentrioChar">
    <w:name w:val="Assunto do comentário Char"/>
    <w:basedOn w:val="TextodecomentrioChar"/>
    <w:link w:val="Assuntodocomentrio"/>
    <w:uiPriority w:val="99"/>
    <w:semiHidden/>
    <w:rsid w:val="005A34BB"/>
    <w:rPr>
      <w:b/>
      <w:bCs/>
    </w:rPr>
  </w:style>
  <w:style w:type="character" w:customStyle="1" w:styleId="Recuodecorpodetexto2Char">
    <w:name w:val="Recuo de corpo de texto 2 Char"/>
    <w:basedOn w:val="Fontepargpadro"/>
    <w:link w:val="Recuodecorpodetexto2"/>
    <w:semiHidden/>
    <w:rsid w:val="00964F70"/>
    <w:rPr>
      <w:sz w:val="28"/>
    </w:rPr>
  </w:style>
  <w:style w:type="character" w:styleId="Forte">
    <w:name w:val="Strong"/>
    <w:basedOn w:val="Fontepargpadro"/>
    <w:uiPriority w:val="22"/>
    <w:qFormat/>
    <w:rsid w:val="007A65F0"/>
    <w:rPr>
      <w:b/>
      <w:bCs/>
    </w:rPr>
  </w:style>
  <w:style w:type="character" w:styleId="Hyperlink">
    <w:name w:val="Hyperlink"/>
    <w:basedOn w:val="Fontepargpadro"/>
    <w:uiPriority w:val="99"/>
    <w:unhideWhenUsed/>
    <w:rsid w:val="007A65F0"/>
    <w:rPr>
      <w:color w:val="0000FF"/>
      <w:u w:val="single"/>
    </w:rPr>
  </w:style>
  <w:style w:type="paragraph" w:customStyle="1" w:styleId="Default">
    <w:name w:val="Default"/>
    <w:rsid w:val="001A0221"/>
    <w:pPr>
      <w:autoSpaceDE w:val="0"/>
      <w:autoSpaceDN w:val="0"/>
      <w:adjustRightInd w:val="0"/>
    </w:pPr>
    <w:rPr>
      <w:rFonts w:ascii="Arial" w:hAnsi="Arial" w:cs="Arial"/>
      <w:color w:val="000000"/>
      <w:sz w:val="24"/>
      <w:szCs w:val="24"/>
      <w:lang w:val="pt-BR"/>
    </w:rPr>
  </w:style>
  <w:style w:type="character" w:styleId="MenoPendente">
    <w:name w:val="Unresolved Mention"/>
    <w:basedOn w:val="Fontepargpadro"/>
    <w:uiPriority w:val="99"/>
    <w:semiHidden/>
    <w:unhideWhenUsed/>
    <w:rsid w:val="003A6E65"/>
    <w:rPr>
      <w:color w:val="605E5C"/>
      <w:shd w:val="clear" w:color="auto" w:fill="E1DFDD"/>
    </w:rPr>
  </w:style>
  <w:style w:type="character" w:customStyle="1" w:styleId="CorpodetextoChar">
    <w:name w:val="Corpo de texto Char"/>
    <w:basedOn w:val="Fontepargpadro"/>
    <w:link w:val="Corpodetexto"/>
    <w:semiHidden/>
    <w:rsid w:val="000E03D1"/>
    <w:rPr>
      <w:rFonts w:ascii="Arial" w:hAnsi="Arial"/>
      <w:sz w:val="28"/>
      <w:lang w:val="pt-BR" w:eastAsia="pt-BR"/>
    </w:rPr>
  </w:style>
  <w:style w:type="paragraph" w:styleId="Textodenotaderodap">
    <w:name w:val="footnote text"/>
    <w:basedOn w:val="Normal"/>
    <w:link w:val="TextodenotaderodapChar"/>
    <w:uiPriority w:val="99"/>
    <w:semiHidden/>
    <w:unhideWhenUsed/>
    <w:rsid w:val="000E03D1"/>
    <w:pPr>
      <w:spacing w:after="0"/>
    </w:pPr>
    <w:rPr>
      <w:rFonts w:ascii="Times New Roman" w:hAnsi="Times New Roman"/>
      <w:sz w:val="20"/>
    </w:rPr>
  </w:style>
  <w:style w:type="character" w:customStyle="1" w:styleId="TextodenotaderodapChar">
    <w:name w:val="Texto de nota de rodapé Char"/>
    <w:basedOn w:val="Fontepargpadro"/>
    <w:link w:val="Textodenotaderodap"/>
    <w:uiPriority w:val="99"/>
    <w:semiHidden/>
    <w:rsid w:val="000E03D1"/>
    <w:rPr>
      <w:lang w:val="pt-BR" w:eastAsia="pt-BR"/>
    </w:rPr>
  </w:style>
  <w:style w:type="character" w:styleId="Refdenotaderodap">
    <w:name w:val="footnote reference"/>
    <w:basedOn w:val="Fontepargpadro"/>
    <w:uiPriority w:val="99"/>
    <w:semiHidden/>
    <w:unhideWhenUsed/>
    <w:rsid w:val="000E03D1"/>
    <w:rPr>
      <w:vertAlign w:val="superscript"/>
    </w:rPr>
  </w:style>
  <w:style w:type="character" w:styleId="Nmerodelinha">
    <w:name w:val="line number"/>
    <w:basedOn w:val="Fontepargpadro"/>
    <w:uiPriority w:val="99"/>
    <w:semiHidden/>
    <w:unhideWhenUsed/>
    <w:rsid w:val="00857A2D"/>
  </w:style>
  <w:style w:type="paragraph" w:customStyle="1" w:styleId="IASBNormalnpara">
    <w:name w:val="IASB Normal npara"/>
    <w:basedOn w:val="Normal"/>
    <w:rsid w:val="00F5446D"/>
    <w:pPr>
      <w:spacing w:before="100" w:after="0"/>
      <w:ind w:left="782" w:hanging="782"/>
      <w:jc w:val="both"/>
    </w:pPr>
    <w:rPr>
      <w:rFonts w:ascii="Times New Roman" w:hAnsi="Times New Roman"/>
      <w:sz w:val="19"/>
    </w:rPr>
  </w:style>
  <w:style w:type="paragraph" w:customStyle="1" w:styleId="IASBSectionTitle1NonInd">
    <w:name w:val="IASB Section Title 1 NonInd"/>
    <w:basedOn w:val="Normal"/>
    <w:rsid w:val="00F5446D"/>
    <w:pPr>
      <w:keepNext/>
      <w:keepLines/>
      <w:pBdr>
        <w:bottom w:val="single" w:sz="4" w:space="0" w:color="auto"/>
      </w:pBdr>
      <w:spacing w:before="400" w:after="200"/>
    </w:pPr>
    <w:rPr>
      <w:rFonts w:ascii="Arial" w:hAnsi="Arial" w:cs="Arial"/>
      <w:b/>
      <w:sz w:val="26"/>
    </w:rPr>
  </w:style>
  <w:style w:type="paragraph" w:customStyle="1" w:styleId="IASBTableBoldArial">
    <w:name w:val="IASB Table Bold Arial"/>
    <w:basedOn w:val="Normal"/>
    <w:qFormat/>
    <w:rsid w:val="00F5446D"/>
    <w:pPr>
      <w:spacing w:before="120" w:after="0"/>
    </w:pPr>
    <w:rPr>
      <w:rFonts w:ascii="Arial" w:hAnsi="Arial"/>
      <w:b/>
      <w:sz w:val="18"/>
    </w:rPr>
  </w:style>
  <w:style w:type="paragraph" w:styleId="PargrafodaLista">
    <w:name w:val="List Paragraph"/>
    <w:basedOn w:val="Normal"/>
    <w:uiPriority w:val="72"/>
    <w:rsid w:val="00224C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285096">
      <w:bodyDiv w:val="1"/>
      <w:marLeft w:val="0"/>
      <w:marRight w:val="0"/>
      <w:marTop w:val="0"/>
      <w:marBottom w:val="0"/>
      <w:divBdr>
        <w:top w:val="none" w:sz="0" w:space="0" w:color="auto"/>
        <w:left w:val="none" w:sz="0" w:space="0" w:color="auto"/>
        <w:bottom w:val="none" w:sz="0" w:space="0" w:color="auto"/>
        <w:right w:val="none" w:sz="0" w:space="0" w:color="auto"/>
      </w:divBdr>
    </w:div>
    <w:div w:id="1736388247">
      <w:bodyDiv w:val="1"/>
      <w:marLeft w:val="0"/>
      <w:marRight w:val="0"/>
      <w:marTop w:val="0"/>
      <w:marBottom w:val="0"/>
      <w:divBdr>
        <w:top w:val="none" w:sz="0" w:space="0" w:color="auto"/>
        <w:left w:val="none" w:sz="0" w:space="0" w:color="auto"/>
        <w:bottom w:val="none" w:sz="0" w:space="0" w:color="auto"/>
        <w:right w:val="none" w:sz="0" w:space="0" w:color="auto"/>
      </w:divBdr>
    </w:div>
    <w:div w:id="19653102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20219-54AC-4934-A6FC-7C1203ED7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27</Pages>
  <Words>10006</Words>
  <Characters>54034</Characters>
  <Application>Microsoft Office Word</Application>
  <DocSecurity>0</DocSecurity>
  <Lines>450</Lines>
  <Paragraphs>127</Paragraphs>
  <ScaleCrop>false</ScaleCrop>
  <HeadingPairs>
    <vt:vector size="2" baseType="variant">
      <vt:variant>
        <vt:lpstr>Título</vt:lpstr>
      </vt:variant>
      <vt:variant>
        <vt:i4>1</vt:i4>
      </vt:variant>
    </vt:vector>
  </HeadingPairs>
  <TitlesOfParts>
    <vt:vector size="1" baseType="lpstr">
      <vt:lpstr>PROC</vt:lpstr>
    </vt:vector>
  </TitlesOfParts>
  <Company>CFC</Company>
  <LinksUpToDate>false</LinksUpToDate>
  <CharactersWithSpaces>63913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dc:title>
  <dc:subject/>
  <dc:creator>Thiago Luis Gomes</dc:creator>
  <cp:keywords/>
  <cp:lastModifiedBy>Cintia Pimentel Pereira</cp:lastModifiedBy>
  <cp:revision>4</cp:revision>
  <cp:lastPrinted>2026-08-17T19:04:00Z</cp:lastPrinted>
  <dcterms:created xsi:type="dcterms:W3CDTF">2026-10-01T13:25:00Z</dcterms:created>
  <dcterms:modified xsi:type="dcterms:W3CDTF">2026-10-02T13:43:00Z</dcterms:modified>
</cp:coreProperties>
</file>