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723EB" w14:textId="6103B22C" w:rsidR="00F5446D" w:rsidRPr="00D81CAD" w:rsidRDefault="00F5446D" w:rsidP="00F5446D">
      <w:pPr>
        <w:jc w:val="center"/>
        <w:rPr>
          <w:rFonts w:cs="Calibri"/>
          <w:b/>
          <w:bCs/>
        </w:rPr>
      </w:pPr>
      <w:r w:rsidRPr="00D81CAD">
        <w:rPr>
          <w:rFonts w:cs="Calibri"/>
          <w:b/>
          <w:bCs/>
        </w:rPr>
        <w:t xml:space="preserve">NORMA BRASILEIRA DE CONTABILIDADE, </w:t>
      </w:r>
      <w:bookmarkStart w:id="0" w:name="_Hlk236901813"/>
      <w:r w:rsidRPr="00D81CAD">
        <w:rPr>
          <w:rFonts w:cs="Calibri"/>
          <w:b/>
          <w:bCs/>
        </w:rPr>
        <w:t xml:space="preserve">NBC </w:t>
      </w:r>
      <w:r w:rsidR="00224C3E" w:rsidRPr="00D81CAD">
        <w:rPr>
          <w:rFonts w:cs="Calibri"/>
          <w:b/>
          <w:bCs/>
        </w:rPr>
        <w:t>TSP 3</w:t>
      </w:r>
      <w:bookmarkEnd w:id="0"/>
      <w:r w:rsidR="00D81CAD" w:rsidRPr="00D81CAD">
        <w:rPr>
          <w:rFonts w:cs="Calibri"/>
          <w:b/>
          <w:bCs/>
        </w:rPr>
        <w:t>9</w:t>
      </w:r>
      <w:r w:rsidRPr="00D81CAD">
        <w:rPr>
          <w:rFonts w:cs="Calibri"/>
          <w:b/>
          <w:bCs/>
        </w:rPr>
        <w:t xml:space="preserve">, DE </w:t>
      </w:r>
      <w:r w:rsidR="00D1518A">
        <w:rPr>
          <w:rFonts w:cs="Calibri"/>
          <w:b/>
          <w:bCs/>
        </w:rPr>
        <w:t>XX</w:t>
      </w:r>
      <w:r w:rsidRPr="00D81CAD">
        <w:rPr>
          <w:rFonts w:cs="Calibri"/>
          <w:b/>
          <w:bCs/>
        </w:rPr>
        <w:t xml:space="preserve"> DE</w:t>
      </w:r>
      <w:r w:rsidR="00957C63" w:rsidRPr="00D81CAD">
        <w:rPr>
          <w:rFonts w:cs="Calibri"/>
          <w:b/>
          <w:bCs/>
        </w:rPr>
        <w:t xml:space="preserve"> </w:t>
      </w:r>
      <w:r w:rsidR="00D1518A">
        <w:rPr>
          <w:rFonts w:cs="Calibri"/>
          <w:b/>
          <w:bCs/>
        </w:rPr>
        <w:t>OUTUBRO</w:t>
      </w:r>
      <w:r w:rsidRPr="00D81CAD">
        <w:rPr>
          <w:rFonts w:cs="Calibri"/>
          <w:b/>
          <w:bCs/>
        </w:rPr>
        <w:t xml:space="preserve"> DE 202</w:t>
      </w:r>
      <w:r w:rsidR="00957C63" w:rsidRPr="00D81CAD">
        <w:rPr>
          <w:rFonts w:cs="Calibri"/>
          <w:b/>
          <w:bCs/>
        </w:rPr>
        <w:t>6</w:t>
      </w:r>
    </w:p>
    <w:p w14:paraId="0C19C3B8" w14:textId="77777777" w:rsidR="00F5446D" w:rsidRPr="00D81CAD" w:rsidRDefault="00F5446D" w:rsidP="00F5446D">
      <w:pPr>
        <w:jc w:val="center"/>
        <w:rPr>
          <w:rFonts w:cs="Calibri"/>
          <w:b/>
          <w:bCs/>
          <w:color w:val="EE0000"/>
        </w:rPr>
      </w:pPr>
    </w:p>
    <w:p w14:paraId="5376190C" w14:textId="34205DCC" w:rsidR="00F5446D" w:rsidRPr="00D81CAD" w:rsidRDefault="00F5446D" w:rsidP="00224C3E">
      <w:pPr>
        <w:ind w:left="3119" w:firstLine="1701"/>
        <w:jc w:val="right"/>
        <w:rPr>
          <w:rFonts w:cs="Calibri"/>
          <w:b/>
          <w:bCs/>
        </w:rPr>
      </w:pPr>
      <w:r w:rsidRPr="00D81CAD">
        <w:rPr>
          <w:rFonts w:cs="Calibri"/>
          <w:b/>
          <w:bCs/>
        </w:rPr>
        <w:t xml:space="preserve">Aprova a </w:t>
      </w:r>
      <w:r w:rsidR="00224C3E" w:rsidRPr="00D81CAD">
        <w:rPr>
          <w:rFonts w:cs="Calibri"/>
          <w:b/>
          <w:bCs/>
        </w:rPr>
        <w:t>NBC TSP 3</w:t>
      </w:r>
      <w:r w:rsidR="00D81CAD" w:rsidRPr="00D81CAD">
        <w:rPr>
          <w:rFonts w:cs="Calibri"/>
          <w:b/>
          <w:bCs/>
        </w:rPr>
        <w:t>9</w:t>
      </w:r>
      <w:r w:rsidR="00224C3E" w:rsidRPr="00D81CAD">
        <w:rPr>
          <w:rFonts w:cs="Calibri"/>
          <w:b/>
          <w:bCs/>
        </w:rPr>
        <w:t xml:space="preserve"> – </w:t>
      </w:r>
      <w:r w:rsidR="00D81CAD" w:rsidRPr="00D81CAD">
        <w:rPr>
          <w:rFonts w:cs="Calibri"/>
          <w:b/>
          <w:bCs/>
        </w:rPr>
        <w:t>Receita</w:t>
      </w:r>
    </w:p>
    <w:p w14:paraId="74ABCBD4" w14:textId="77777777" w:rsidR="00F5446D" w:rsidRPr="00D81CAD" w:rsidRDefault="00F5446D" w:rsidP="00F5446D">
      <w:pPr>
        <w:jc w:val="right"/>
        <w:rPr>
          <w:rFonts w:cs="Calibri"/>
          <w:i/>
          <w:iCs/>
          <w:color w:val="EE0000"/>
        </w:rPr>
      </w:pPr>
    </w:p>
    <w:p w14:paraId="04FC02A6" w14:textId="70D4CF50" w:rsidR="00F5446D" w:rsidRPr="00A32D72" w:rsidRDefault="00224C3E" w:rsidP="00957C63">
      <w:pPr>
        <w:ind w:firstLine="720"/>
        <w:jc w:val="both"/>
        <w:outlineLvl w:val="0"/>
        <w:rPr>
          <w:rFonts w:cs="Calibri"/>
          <w:b/>
          <w:bCs/>
        </w:rPr>
      </w:pPr>
      <w:r w:rsidRPr="00A32D72">
        <w:rPr>
          <w:rFonts w:asciiTheme="majorHAnsi" w:hAnsiTheme="majorHAnsi" w:cstheme="majorHAnsi"/>
          <w:szCs w:val="24"/>
        </w:rPr>
        <w:t xml:space="preserve">O </w:t>
      </w:r>
      <w:r w:rsidRPr="00A32D72">
        <w:rPr>
          <w:rFonts w:asciiTheme="majorHAnsi" w:hAnsiTheme="majorHAnsi" w:cstheme="majorHAnsi"/>
          <w:b/>
          <w:bCs/>
          <w:szCs w:val="24"/>
        </w:rPr>
        <w:t>CONSELHO FEDERAL DE CONTABILIDADE</w:t>
      </w:r>
      <w:r w:rsidRPr="00A32D72">
        <w:rPr>
          <w:rFonts w:asciiTheme="majorHAnsi" w:hAnsiTheme="majorHAnsi" w:cstheme="majorHAnsi"/>
          <w:szCs w:val="24"/>
        </w:rPr>
        <w:t>, considerando o processo de convergência das Normas Brasileiras de Contabilidade aos padrões internacionais e que, mediante acordo firmado com a Federação Internacional de Contadores (</w:t>
      </w:r>
      <w:r w:rsidR="00A32D72" w:rsidRPr="00A32D72">
        <w:rPr>
          <w:rFonts w:asciiTheme="majorHAnsi" w:hAnsiTheme="majorHAnsi" w:cstheme="majorHAnsi"/>
          <w:szCs w:val="24"/>
        </w:rPr>
        <w:t>IFAC</w:t>
      </w:r>
      <w:r w:rsidRPr="00A32D72">
        <w:rPr>
          <w:rFonts w:asciiTheme="majorHAnsi" w:hAnsiTheme="majorHAnsi" w:cstheme="majorHAnsi"/>
          <w:szCs w:val="24"/>
        </w:rPr>
        <w:t xml:space="preserve">), que autorizou, no Brasil, o CFC como um dos tradutores de suas normas e publicações, outorgando os direitos de realizar tradução, publicação e distribuição das normas internacionais e demais pronunciamentos em formato eletrônico, no exercício de suas atribuições legais e regimentais e com fundamento no disposto na alínea “f” do art. 6º do Decreto-Lei nº 9.295, de 27 de maio de 1946, alterado pela Lei nº 12.249, de 11 de junho de 2010, faz saber que foi aprovada, em seu Plenário, a seguinte Norma Brasileira de Contabilidade (NBC), elaborada de acordo com a IPSAS </w:t>
      </w:r>
      <w:r w:rsidR="006A2D38">
        <w:rPr>
          <w:rFonts w:asciiTheme="majorHAnsi" w:hAnsiTheme="majorHAnsi" w:cstheme="majorHAnsi"/>
          <w:szCs w:val="24"/>
        </w:rPr>
        <w:t>47</w:t>
      </w:r>
      <w:r w:rsidRPr="00A32D72">
        <w:rPr>
          <w:rFonts w:asciiTheme="majorHAnsi" w:hAnsiTheme="majorHAnsi" w:cstheme="majorHAnsi"/>
          <w:szCs w:val="24"/>
        </w:rPr>
        <w:t xml:space="preserve"> – </w:t>
      </w:r>
      <w:proofErr w:type="spellStart"/>
      <w:r w:rsidR="006A2D38">
        <w:rPr>
          <w:rFonts w:asciiTheme="majorHAnsi" w:hAnsiTheme="majorHAnsi" w:cstheme="majorHAnsi"/>
          <w:i/>
          <w:iCs/>
          <w:szCs w:val="24"/>
        </w:rPr>
        <w:t>Revenue</w:t>
      </w:r>
      <w:proofErr w:type="spellEnd"/>
      <w:r w:rsidRPr="00A32D72">
        <w:rPr>
          <w:rFonts w:asciiTheme="majorHAnsi" w:hAnsiTheme="majorHAnsi" w:cstheme="majorHAnsi"/>
          <w:i/>
          <w:iCs/>
          <w:szCs w:val="24"/>
        </w:rPr>
        <w:t xml:space="preserve">, </w:t>
      </w:r>
      <w:r w:rsidRPr="00A32D72">
        <w:rPr>
          <w:rFonts w:asciiTheme="majorHAnsi" w:hAnsiTheme="majorHAnsi" w:cstheme="majorHAnsi"/>
          <w:szCs w:val="24"/>
        </w:rPr>
        <w:t>editado pelo</w:t>
      </w:r>
      <w:r w:rsidRPr="00A32D72">
        <w:rPr>
          <w:rFonts w:asciiTheme="majorHAnsi" w:hAnsiTheme="majorHAnsi" w:cstheme="majorHAnsi"/>
          <w:i/>
          <w:iCs/>
          <w:szCs w:val="24"/>
        </w:rPr>
        <w:t xml:space="preserve"> </w:t>
      </w:r>
      <w:proofErr w:type="spellStart"/>
      <w:r w:rsidRPr="00A32D72">
        <w:rPr>
          <w:rFonts w:asciiTheme="majorHAnsi" w:hAnsiTheme="majorHAnsi" w:cstheme="majorHAnsi"/>
          <w:i/>
          <w:iCs/>
          <w:szCs w:val="24"/>
        </w:rPr>
        <w:t>International</w:t>
      </w:r>
      <w:proofErr w:type="spellEnd"/>
      <w:r w:rsidRPr="00A32D72">
        <w:rPr>
          <w:rFonts w:asciiTheme="majorHAnsi" w:hAnsiTheme="majorHAnsi" w:cstheme="majorHAnsi"/>
          <w:i/>
          <w:iCs/>
          <w:szCs w:val="24"/>
        </w:rPr>
        <w:t xml:space="preserve"> </w:t>
      </w:r>
      <w:proofErr w:type="spellStart"/>
      <w:r w:rsidRPr="00A32D72">
        <w:rPr>
          <w:rFonts w:asciiTheme="majorHAnsi" w:hAnsiTheme="majorHAnsi" w:cstheme="majorHAnsi"/>
          <w:i/>
          <w:iCs/>
          <w:szCs w:val="24"/>
        </w:rPr>
        <w:t>Public</w:t>
      </w:r>
      <w:proofErr w:type="spellEnd"/>
      <w:r w:rsidRPr="00A32D72">
        <w:rPr>
          <w:rFonts w:asciiTheme="majorHAnsi" w:hAnsiTheme="majorHAnsi" w:cstheme="majorHAnsi"/>
          <w:i/>
          <w:iCs/>
          <w:szCs w:val="24"/>
        </w:rPr>
        <w:t xml:space="preserve"> Sector </w:t>
      </w:r>
      <w:proofErr w:type="spellStart"/>
      <w:r w:rsidRPr="00A32D72">
        <w:rPr>
          <w:rFonts w:asciiTheme="majorHAnsi" w:hAnsiTheme="majorHAnsi" w:cstheme="majorHAnsi"/>
          <w:i/>
          <w:iCs/>
          <w:szCs w:val="24"/>
        </w:rPr>
        <w:t>Accounting</w:t>
      </w:r>
      <w:proofErr w:type="spellEnd"/>
      <w:r w:rsidRPr="00A32D72">
        <w:rPr>
          <w:rFonts w:asciiTheme="majorHAnsi" w:hAnsiTheme="majorHAnsi" w:cstheme="majorHAnsi"/>
          <w:i/>
          <w:iCs/>
          <w:szCs w:val="24"/>
        </w:rPr>
        <w:t xml:space="preserve"> Standards Board da </w:t>
      </w:r>
      <w:proofErr w:type="spellStart"/>
      <w:r w:rsidRPr="00A32D72">
        <w:rPr>
          <w:rFonts w:asciiTheme="majorHAnsi" w:hAnsiTheme="majorHAnsi" w:cstheme="majorHAnsi"/>
          <w:i/>
          <w:iCs/>
          <w:szCs w:val="24"/>
        </w:rPr>
        <w:t>International</w:t>
      </w:r>
      <w:proofErr w:type="spellEnd"/>
      <w:r w:rsidRPr="00A32D72">
        <w:rPr>
          <w:rFonts w:asciiTheme="majorHAnsi" w:hAnsiTheme="majorHAnsi" w:cstheme="majorHAnsi"/>
          <w:i/>
          <w:iCs/>
          <w:szCs w:val="24"/>
        </w:rPr>
        <w:t xml:space="preserve"> Federation </w:t>
      </w:r>
      <w:proofErr w:type="spellStart"/>
      <w:r w:rsidRPr="00A32D72">
        <w:rPr>
          <w:rFonts w:asciiTheme="majorHAnsi" w:hAnsiTheme="majorHAnsi" w:cstheme="majorHAnsi"/>
          <w:i/>
          <w:iCs/>
          <w:szCs w:val="24"/>
        </w:rPr>
        <w:t>of</w:t>
      </w:r>
      <w:proofErr w:type="spellEnd"/>
      <w:r w:rsidRPr="00A32D72">
        <w:rPr>
          <w:rFonts w:asciiTheme="majorHAnsi" w:hAnsiTheme="majorHAnsi" w:cstheme="majorHAnsi"/>
          <w:i/>
          <w:iCs/>
          <w:szCs w:val="24"/>
        </w:rPr>
        <w:t xml:space="preserve"> </w:t>
      </w:r>
      <w:proofErr w:type="spellStart"/>
      <w:r w:rsidRPr="00A32D72">
        <w:rPr>
          <w:rFonts w:asciiTheme="majorHAnsi" w:hAnsiTheme="majorHAnsi" w:cstheme="majorHAnsi"/>
          <w:i/>
          <w:iCs/>
          <w:szCs w:val="24"/>
        </w:rPr>
        <w:t>Accountants</w:t>
      </w:r>
      <w:proofErr w:type="spellEnd"/>
      <w:r w:rsidRPr="00A32D72">
        <w:rPr>
          <w:rFonts w:asciiTheme="majorHAnsi" w:hAnsiTheme="majorHAnsi" w:cstheme="majorHAnsi"/>
          <w:i/>
          <w:iCs/>
          <w:szCs w:val="24"/>
        </w:rPr>
        <w:t xml:space="preserve"> (IPSASB/</w:t>
      </w:r>
      <w:proofErr w:type="spellStart"/>
      <w:r w:rsidRPr="00A32D72">
        <w:rPr>
          <w:rFonts w:asciiTheme="majorHAnsi" w:hAnsiTheme="majorHAnsi" w:cstheme="majorHAnsi"/>
          <w:i/>
          <w:iCs/>
          <w:szCs w:val="24"/>
        </w:rPr>
        <w:t>Ifac</w:t>
      </w:r>
      <w:proofErr w:type="spellEnd"/>
      <w:r w:rsidRPr="00A32D72">
        <w:rPr>
          <w:rFonts w:asciiTheme="majorHAnsi" w:hAnsiTheme="majorHAnsi" w:cstheme="majorHAnsi"/>
          <w:i/>
          <w:iCs/>
          <w:szCs w:val="24"/>
        </w:rPr>
        <w:t>)</w:t>
      </w:r>
      <w:r w:rsidRPr="00A32D72">
        <w:rPr>
          <w:rFonts w:asciiTheme="majorHAnsi" w:hAnsiTheme="majorHAnsi" w:cstheme="majorHAnsi"/>
          <w:szCs w:val="24"/>
        </w:rPr>
        <w:t xml:space="preserve"> e revisada de acordo com o </w:t>
      </w:r>
      <w:r w:rsidRPr="00A32D72">
        <w:rPr>
          <w:rFonts w:asciiTheme="majorHAnsi" w:hAnsiTheme="majorHAnsi" w:cstheme="majorHAnsi"/>
          <w:i/>
          <w:iCs/>
          <w:szCs w:val="24"/>
        </w:rPr>
        <w:t>IPSASB-HANDBOOK 202</w:t>
      </w:r>
      <w:r w:rsidR="00A32D72">
        <w:rPr>
          <w:rFonts w:asciiTheme="majorHAnsi" w:hAnsiTheme="majorHAnsi" w:cstheme="majorHAnsi"/>
          <w:i/>
          <w:iCs/>
          <w:szCs w:val="24"/>
        </w:rPr>
        <w:t>5</w:t>
      </w:r>
      <w:r w:rsidRPr="00A32D72">
        <w:rPr>
          <w:rFonts w:asciiTheme="majorHAnsi" w:hAnsiTheme="majorHAnsi" w:cstheme="majorHAnsi"/>
          <w:szCs w:val="24"/>
        </w:rPr>
        <w:t>:</w:t>
      </w:r>
    </w:p>
    <w:p w14:paraId="0FEFD709" w14:textId="77777777" w:rsidR="000E4188" w:rsidRPr="00D81CAD" w:rsidRDefault="000E4188" w:rsidP="00F5446D">
      <w:pPr>
        <w:pStyle w:val="IASBNormalnpara"/>
        <w:spacing w:before="0" w:after="120"/>
        <w:jc w:val="center"/>
        <w:rPr>
          <w:rFonts w:ascii="Calibri" w:hAnsi="Calibri" w:cs="Calibri"/>
          <w:b/>
          <w:bCs/>
          <w:color w:val="EE0000"/>
          <w:sz w:val="24"/>
          <w:szCs w:val="24"/>
        </w:rPr>
      </w:pPr>
    </w:p>
    <w:p w14:paraId="52FE48AF" w14:textId="032440AB" w:rsidR="00F5446D" w:rsidRDefault="00224C3E" w:rsidP="00F5446D">
      <w:pPr>
        <w:pStyle w:val="IASBNormalnpara"/>
        <w:spacing w:before="0" w:after="120"/>
        <w:jc w:val="center"/>
        <w:rPr>
          <w:rFonts w:ascii="Calibri" w:hAnsi="Calibri" w:cs="Calibri"/>
          <w:b/>
          <w:bCs/>
          <w:sz w:val="24"/>
          <w:szCs w:val="24"/>
        </w:rPr>
      </w:pPr>
      <w:r w:rsidRPr="00D81CAD">
        <w:rPr>
          <w:rFonts w:ascii="Calibri" w:hAnsi="Calibri" w:cs="Calibri"/>
          <w:b/>
          <w:bCs/>
          <w:sz w:val="24"/>
          <w:szCs w:val="24"/>
        </w:rPr>
        <w:t>NBC TSP 3</w:t>
      </w:r>
      <w:r w:rsidR="00D81CAD" w:rsidRPr="00D81CAD">
        <w:rPr>
          <w:rFonts w:ascii="Calibri" w:hAnsi="Calibri" w:cs="Calibri"/>
          <w:b/>
          <w:bCs/>
          <w:sz w:val="24"/>
          <w:szCs w:val="24"/>
        </w:rPr>
        <w:t>9</w:t>
      </w:r>
      <w:r w:rsidRPr="00D81CAD">
        <w:rPr>
          <w:rFonts w:ascii="Calibri" w:hAnsi="Calibri" w:cs="Calibri"/>
          <w:b/>
          <w:bCs/>
          <w:sz w:val="24"/>
          <w:szCs w:val="24"/>
        </w:rPr>
        <w:t xml:space="preserve"> – </w:t>
      </w:r>
      <w:r w:rsidR="00D81CAD" w:rsidRPr="00D81CAD">
        <w:rPr>
          <w:rFonts w:ascii="Calibri" w:hAnsi="Calibri" w:cs="Calibri"/>
          <w:b/>
          <w:bCs/>
          <w:sz w:val="24"/>
          <w:szCs w:val="24"/>
        </w:rPr>
        <w:t>RECEITA</w:t>
      </w:r>
    </w:p>
    <w:p w14:paraId="7C8FA94A" w14:textId="77777777" w:rsidR="003E10FF" w:rsidRPr="00D81CAD" w:rsidRDefault="003E10FF" w:rsidP="00F5446D">
      <w:pPr>
        <w:pStyle w:val="IASBNormalnpara"/>
        <w:spacing w:before="0" w:after="120"/>
        <w:jc w:val="center"/>
        <w:rPr>
          <w:rFonts w:ascii="Calibri" w:hAnsi="Calibri" w:cs="Calibri"/>
          <w:b/>
          <w:bCs/>
          <w:sz w:val="24"/>
          <w:szCs w:val="24"/>
        </w:rPr>
      </w:pPr>
    </w:p>
    <w:tbl>
      <w:tblPr>
        <w:tblW w:w="10200" w:type="dxa"/>
        <w:tblLayout w:type="fixed"/>
        <w:tblLook w:val="04A0" w:firstRow="1" w:lastRow="0" w:firstColumn="1" w:lastColumn="0" w:noHBand="0" w:noVBand="1"/>
      </w:tblPr>
      <w:tblGrid>
        <w:gridCol w:w="236"/>
        <w:gridCol w:w="8123"/>
        <w:gridCol w:w="1841"/>
      </w:tblGrid>
      <w:tr w:rsidR="001571F2" w:rsidRPr="001571F2" w14:paraId="16523EDA" w14:textId="77777777" w:rsidTr="001571F2">
        <w:trPr>
          <w:cantSplit/>
        </w:trPr>
        <w:tc>
          <w:tcPr>
            <w:tcW w:w="236" w:type="dxa"/>
            <w:tcBorders>
              <w:top w:val="nil"/>
              <w:left w:val="nil"/>
              <w:bottom w:val="nil"/>
              <w:right w:val="single" w:sz="4" w:space="0" w:color="auto"/>
            </w:tcBorders>
            <w:vAlign w:val="bottom"/>
          </w:tcPr>
          <w:p w14:paraId="216D8C36"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02A8AC7E" w14:textId="77777777" w:rsidR="001571F2" w:rsidRPr="001571F2" w:rsidRDefault="001571F2" w:rsidP="001571F2">
            <w:pPr>
              <w:pStyle w:val="IASBNormalnpara"/>
              <w:spacing w:before="0" w:after="120"/>
              <w:rPr>
                <w:rFonts w:asciiTheme="majorHAnsi" w:hAnsiTheme="majorHAnsi" w:cstheme="majorHAnsi"/>
                <w:sz w:val="24"/>
                <w:szCs w:val="24"/>
              </w:rPr>
            </w:pPr>
            <w:r w:rsidRPr="001571F2">
              <w:rPr>
                <w:rFonts w:asciiTheme="majorHAnsi" w:hAnsiTheme="majorHAnsi" w:cstheme="majorHAnsi"/>
                <w:sz w:val="24"/>
                <w:szCs w:val="24"/>
              </w:rPr>
              <w:t>Sumário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1BEE0C15" w14:textId="77777777" w:rsidR="001571F2" w:rsidRPr="001571F2" w:rsidRDefault="001571F2" w:rsidP="001571F2">
            <w:pPr>
              <w:pStyle w:val="IASBNormalnpara"/>
              <w:spacing w:before="0" w:after="120"/>
              <w:jc w:val="center"/>
              <w:rPr>
                <w:rFonts w:asciiTheme="majorHAnsi" w:hAnsiTheme="majorHAnsi" w:cstheme="majorHAnsi"/>
                <w:sz w:val="24"/>
                <w:szCs w:val="24"/>
              </w:rPr>
            </w:pPr>
            <w:r w:rsidRPr="001571F2">
              <w:rPr>
                <w:rFonts w:asciiTheme="majorHAnsi" w:hAnsiTheme="majorHAnsi" w:cstheme="majorHAnsi"/>
                <w:sz w:val="24"/>
                <w:szCs w:val="24"/>
              </w:rPr>
              <w:t>Item</w:t>
            </w:r>
          </w:p>
        </w:tc>
      </w:tr>
      <w:tr w:rsidR="001571F2" w:rsidRPr="001571F2" w14:paraId="77E6D2B3" w14:textId="77777777" w:rsidTr="001571F2">
        <w:trPr>
          <w:cantSplit/>
          <w:trHeight w:val="305"/>
        </w:trPr>
        <w:tc>
          <w:tcPr>
            <w:tcW w:w="236" w:type="dxa"/>
            <w:tcBorders>
              <w:top w:val="nil"/>
              <w:left w:val="nil"/>
              <w:bottom w:val="nil"/>
              <w:right w:val="single" w:sz="4" w:space="0" w:color="auto"/>
            </w:tcBorders>
            <w:vAlign w:val="bottom"/>
          </w:tcPr>
          <w:p w14:paraId="6C41E4AB"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36EE6C28" w14:textId="50ED7D7E" w:rsidR="001571F2" w:rsidRPr="001571F2" w:rsidRDefault="001571F2" w:rsidP="001571F2">
            <w:pPr>
              <w:pStyle w:val="IASBNormalnpara"/>
              <w:spacing w:before="0" w:after="120"/>
              <w:rPr>
                <w:rFonts w:asciiTheme="majorHAnsi" w:hAnsiTheme="majorHAnsi" w:cstheme="majorHAnsi"/>
                <w:sz w:val="24"/>
                <w:szCs w:val="24"/>
              </w:rPr>
            </w:pPr>
            <w:r w:rsidRPr="001571F2">
              <w:rPr>
                <w:rFonts w:asciiTheme="majorHAnsi" w:hAnsiTheme="majorHAnsi" w:cstheme="majorHAnsi"/>
                <w:sz w:val="24"/>
                <w:szCs w:val="24"/>
              </w:rPr>
              <w:t>Objetivo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73B81411" w14:textId="1717CC96" w:rsidR="001571F2" w:rsidRPr="001571F2" w:rsidRDefault="001571F2" w:rsidP="001571F2">
            <w:pPr>
              <w:pStyle w:val="IASBNormalnpara"/>
              <w:spacing w:before="0" w:after="120"/>
              <w:jc w:val="center"/>
              <w:rPr>
                <w:rFonts w:asciiTheme="majorHAnsi" w:hAnsiTheme="majorHAnsi" w:cstheme="majorHAnsi"/>
                <w:sz w:val="24"/>
                <w:szCs w:val="24"/>
              </w:rPr>
            </w:pPr>
            <w:r w:rsidRPr="001571F2">
              <w:rPr>
                <w:rFonts w:asciiTheme="majorHAnsi" w:hAnsiTheme="majorHAnsi" w:cstheme="majorHAnsi"/>
                <w:sz w:val="24"/>
                <w:szCs w:val="24"/>
              </w:rPr>
              <w:t>1</w:t>
            </w:r>
            <w:r w:rsidR="006A2D38">
              <w:rPr>
                <w:rFonts w:asciiTheme="majorHAnsi" w:hAnsiTheme="majorHAnsi" w:cstheme="majorHAnsi"/>
                <w:sz w:val="24"/>
                <w:szCs w:val="24"/>
              </w:rPr>
              <w:t xml:space="preserve"> - 2</w:t>
            </w:r>
          </w:p>
        </w:tc>
      </w:tr>
      <w:tr w:rsidR="001571F2" w:rsidRPr="001571F2" w14:paraId="7897737E" w14:textId="77777777" w:rsidTr="001571F2">
        <w:trPr>
          <w:cantSplit/>
        </w:trPr>
        <w:tc>
          <w:tcPr>
            <w:tcW w:w="236" w:type="dxa"/>
            <w:tcBorders>
              <w:top w:val="nil"/>
              <w:left w:val="nil"/>
              <w:bottom w:val="nil"/>
              <w:right w:val="single" w:sz="4" w:space="0" w:color="auto"/>
            </w:tcBorders>
            <w:vAlign w:val="bottom"/>
          </w:tcPr>
          <w:p w14:paraId="6D2E070C"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19D15877" w14:textId="2413DE33" w:rsidR="001571F2" w:rsidRPr="001571F2" w:rsidRDefault="001571F2" w:rsidP="001571F2">
            <w:pPr>
              <w:pStyle w:val="IASBNormalnpara"/>
              <w:spacing w:before="0" w:after="120"/>
              <w:rPr>
                <w:rFonts w:asciiTheme="majorHAnsi" w:hAnsiTheme="majorHAnsi" w:cstheme="majorHAnsi"/>
                <w:sz w:val="24"/>
                <w:szCs w:val="24"/>
              </w:rPr>
            </w:pPr>
            <w:r w:rsidRPr="001571F2">
              <w:rPr>
                <w:rFonts w:asciiTheme="majorHAnsi" w:hAnsiTheme="majorHAnsi" w:cstheme="majorHAnsi"/>
                <w:sz w:val="24"/>
                <w:szCs w:val="24"/>
              </w:rPr>
              <w:t>Alcance</w:t>
            </w:r>
          </w:p>
        </w:tc>
        <w:tc>
          <w:tcPr>
            <w:tcW w:w="1841" w:type="dxa"/>
            <w:tcBorders>
              <w:top w:val="single" w:sz="4" w:space="0" w:color="auto"/>
              <w:left w:val="single" w:sz="4" w:space="0" w:color="auto"/>
              <w:bottom w:val="single" w:sz="4" w:space="0" w:color="auto"/>
              <w:right w:val="single" w:sz="4" w:space="0" w:color="auto"/>
            </w:tcBorders>
            <w:vAlign w:val="bottom"/>
            <w:hideMark/>
          </w:tcPr>
          <w:p w14:paraId="0F3B7F83" w14:textId="18BE6C14"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3</w:t>
            </w:r>
          </w:p>
        </w:tc>
      </w:tr>
      <w:tr w:rsidR="001571F2" w:rsidRPr="001571F2" w14:paraId="01DF43F6" w14:textId="77777777" w:rsidTr="001571F2">
        <w:trPr>
          <w:cantSplit/>
        </w:trPr>
        <w:tc>
          <w:tcPr>
            <w:tcW w:w="236" w:type="dxa"/>
            <w:tcBorders>
              <w:top w:val="nil"/>
              <w:left w:val="nil"/>
              <w:bottom w:val="nil"/>
              <w:right w:val="single" w:sz="4" w:space="0" w:color="auto"/>
            </w:tcBorders>
            <w:vAlign w:val="bottom"/>
          </w:tcPr>
          <w:p w14:paraId="65369DBC"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7B4E23F6" w14:textId="1FD8046D" w:rsidR="001571F2" w:rsidRPr="001571F2" w:rsidRDefault="001571F2" w:rsidP="001571F2">
            <w:pPr>
              <w:pStyle w:val="IASBNormalnpara"/>
              <w:spacing w:before="0" w:after="120"/>
              <w:rPr>
                <w:rFonts w:asciiTheme="majorHAnsi" w:hAnsiTheme="majorHAnsi" w:cstheme="majorHAnsi"/>
                <w:sz w:val="24"/>
                <w:szCs w:val="24"/>
              </w:rPr>
            </w:pPr>
            <w:r w:rsidRPr="001571F2">
              <w:rPr>
                <w:rFonts w:asciiTheme="majorHAnsi" w:hAnsiTheme="majorHAnsi" w:cstheme="majorHAnsi"/>
                <w:sz w:val="24"/>
                <w:szCs w:val="24"/>
              </w:rPr>
              <w:t>Definições</w:t>
            </w:r>
          </w:p>
        </w:tc>
        <w:tc>
          <w:tcPr>
            <w:tcW w:w="1841" w:type="dxa"/>
            <w:tcBorders>
              <w:top w:val="single" w:sz="4" w:space="0" w:color="auto"/>
              <w:left w:val="single" w:sz="4" w:space="0" w:color="auto"/>
              <w:bottom w:val="single" w:sz="4" w:space="0" w:color="auto"/>
              <w:right w:val="single" w:sz="4" w:space="0" w:color="auto"/>
            </w:tcBorders>
            <w:vAlign w:val="bottom"/>
            <w:hideMark/>
          </w:tcPr>
          <w:p w14:paraId="7FC69F6E" w14:textId="12E5DA73"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4 - 8</w:t>
            </w:r>
          </w:p>
        </w:tc>
      </w:tr>
      <w:tr w:rsidR="001571F2" w:rsidRPr="001571F2" w14:paraId="133845FA" w14:textId="77777777" w:rsidTr="001571F2">
        <w:trPr>
          <w:cantSplit/>
        </w:trPr>
        <w:tc>
          <w:tcPr>
            <w:tcW w:w="236" w:type="dxa"/>
            <w:tcBorders>
              <w:top w:val="nil"/>
              <w:left w:val="nil"/>
              <w:bottom w:val="nil"/>
              <w:right w:val="single" w:sz="4" w:space="0" w:color="auto"/>
            </w:tcBorders>
            <w:vAlign w:val="bottom"/>
          </w:tcPr>
          <w:p w14:paraId="6D3EF7BA"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23B27FBA" w14:textId="72A2F284" w:rsidR="001571F2" w:rsidRPr="001571F2" w:rsidRDefault="006A2D38" w:rsidP="001571F2">
            <w:pPr>
              <w:pStyle w:val="IASBNormalnpara"/>
              <w:spacing w:before="0" w:after="120"/>
              <w:rPr>
                <w:rFonts w:asciiTheme="majorHAnsi" w:hAnsiTheme="majorHAnsi" w:cstheme="majorHAnsi"/>
                <w:sz w:val="24"/>
                <w:szCs w:val="24"/>
              </w:rPr>
            </w:pPr>
            <w:r>
              <w:rPr>
                <w:rFonts w:asciiTheme="majorHAnsi" w:hAnsiTheme="majorHAnsi" w:cstheme="majorHAnsi"/>
                <w:sz w:val="24"/>
                <w:szCs w:val="24"/>
              </w:rPr>
              <w:t xml:space="preserve">   </w:t>
            </w:r>
            <w:r w:rsidR="001571F2" w:rsidRPr="001571F2">
              <w:rPr>
                <w:rFonts w:asciiTheme="majorHAnsi" w:hAnsiTheme="majorHAnsi" w:cstheme="majorHAnsi"/>
                <w:sz w:val="24"/>
                <w:szCs w:val="24"/>
              </w:rPr>
              <w:t>Receita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11DAD55F" w14:textId="5811A886"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5 - 8</w:t>
            </w:r>
          </w:p>
        </w:tc>
      </w:tr>
      <w:tr w:rsidR="001571F2" w:rsidRPr="001571F2" w14:paraId="01AE4CC0" w14:textId="77777777" w:rsidTr="001571F2">
        <w:trPr>
          <w:cantSplit/>
        </w:trPr>
        <w:tc>
          <w:tcPr>
            <w:tcW w:w="236" w:type="dxa"/>
            <w:tcBorders>
              <w:top w:val="nil"/>
              <w:left w:val="nil"/>
              <w:bottom w:val="nil"/>
              <w:right w:val="single" w:sz="4" w:space="0" w:color="auto"/>
            </w:tcBorders>
            <w:vAlign w:val="bottom"/>
          </w:tcPr>
          <w:p w14:paraId="70E13E97"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0C2B1E98" w14:textId="2ED2AB0A" w:rsidR="001571F2" w:rsidRPr="001571F2" w:rsidRDefault="006A2D38" w:rsidP="006A2D38">
            <w:pPr>
              <w:pStyle w:val="IASBNormalnpara"/>
              <w:spacing w:before="0" w:after="120"/>
              <w:ind w:left="0" w:firstLine="0"/>
              <w:rPr>
                <w:rFonts w:asciiTheme="majorHAnsi" w:hAnsiTheme="majorHAnsi" w:cstheme="majorHAnsi"/>
                <w:sz w:val="24"/>
                <w:szCs w:val="24"/>
              </w:rPr>
            </w:pPr>
            <w:r w:rsidRPr="006A2D38">
              <w:rPr>
                <w:rFonts w:asciiTheme="majorHAnsi" w:hAnsiTheme="majorHAnsi" w:cstheme="majorHAnsi"/>
                <w:sz w:val="24"/>
                <w:szCs w:val="24"/>
              </w:rPr>
              <w:t>Identificação da Transação de Receita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6D416AE2" w14:textId="4AA08E4C"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9 - 16</w:t>
            </w:r>
          </w:p>
        </w:tc>
      </w:tr>
      <w:tr w:rsidR="001571F2" w:rsidRPr="001571F2" w14:paraId="713FD5C5" w14:textId="77777777" w:rsidTr="001571F2">
        <w:trPr>
          <w:cantSplit/>
        </w:trPr>
        <w:tc>
          <w:tcPr>
            <w:tcW w:w="236" w:type="dxa"/>
            <w:tcBorders>
              <w:top w:val="nil"/>
              <w:left w:val="nil"/>
              <w:bottom w:val="nil"/>
              <w:right w:val="single" w:sz="4" w:space="0" w:color="auto"/>
            </w:tcBorders>
            <w:vAlign w:val="bottom"/>
          </w:tcPr>
          <w:p w14:paraId="16C323EA"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57458A65" w14:textId="443BBB4E" w:rsidR="001571F2" w:rsidRPr="001571F2" w:rsidRDefault="006A2D38" w:rsidP="001571F2">
            <w:pPr>
              <w:pStyle w:val="IASBNormalnpara"/>
              <w:spacing w:before="0" w:after="120"/>
              <w:rPr>
                <w:rFonts w:asciiTheme="majorHAnsi" w:hAnsiTheme="majorHAnsi" w:cstheme="majorHAnsi"/>
                <w:sz w:val="24"/>
                <w:szCs w:val="24"/>
              </w:rPr>
            </w:pPr>
            <w:r w:rsidRPr="006A2D38">
              <w:rPr>
                <w:rFonts w:asciiTheme="majorHAnsi" w:hAnsiTheme="majorHAnsi" w:cstheme="majorHAnsi"/>
                <w:sz w:val="24"/>
                <w:szCs w:val="24"/>
              </w:rPr>
              <w:t>Identificar a Existência de um Acordo Vinculante</w:t>
            </w:r>
          </w:p>
        </w:tc>
        <w:tc>
          <w:tcPr>
            <w:tcW w:w="1841" w:type="dxa"/>
            <w:tcBorders>
              <w:top w:val="single" w:sz="4" w:space="0" w:color="auto"/>
              <w:left w:val="single" w:sz="4" w:space="0" w:color="auto"/>
              <w:bottom w:val="single" w:sz="4" w:space="0" w:color="auto"/>
              <w:right w:val="single" w:sz="4" w:space="0" w:color="auto"/>
            </w:tcBorders>
            <w:vAlign w:val="bottom"/>
            <w:hideMark/>
          </w:tcPr>
          <w:p w14:paraId="21DB32FD" w14:textId="2329F1A7"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11 - 16</w:t>
            </w:r>
          </w:p>
        </w:tc>
      </w:tr>
      <w:tr w:rsidR="001571F2" w:rsidRPr="001571F2" w14:paraId="79AD4626" w14:textId="77777777" w:rsidTr="001571F2">
        <w:trPr>
          <w:cantSplit/>
        </w:trPr>
        <w:tc>
          <w:tcPr>
            <w:tcW w:w="236" w:type="dxa"/>
            <w:tcBorders>
              <w:top w:val="nil"/>
              <w:left w:val="nil"/>
              <w:bottom w:val="nil"/>
              <w:right w:val="single" w:sz="4" w:space="0" w:color="auto"/>
            </w:tcBorders>
            <w:vAlign w:val="bottom"/>
          </w:tcPr>
          <w:p w14:paraId="38F8D9CF"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3DC89BC3" w14:textId="13A72207" w:rsidR="001571F2" w:rsidRPr="001571F2" w:rsidRDefault="006A2D38" w:rsidP="001571F2">
            <w:pPr>
              <w:pStyle w:val="IASBNormalnpara"/>
              <w:spacing w:before="0" w:after="120"/>
              <w:rPr>
                <w:rFonts w:asciiTheme="majorHAnsi" w:hAnsiTheme="majorHAnsi" w:cstheme="majorHAnsi"/>
                <w:sz w:val="24"/>
                <w:szCs w:val="24"/>
              </w:rPr>
            </w:pPr>
            <w:r>
              <w:rPr>
                <w:rFonts w:asciiTheme="majorHAnsi" w:hAnsiTheme="majorHAnsi" w:cstheme="majorHAnsi"/>
                <w:sz w:val="24"/>
                <w:szCs w:val="24"/>
              </w:rPr>
              <w:t xml:space="preserve">   </w:t>
            </w:r>
            <w:r w:rsidRPr="006A2D38">
              <w:rPr>
                <w:rFonts w:asciiTheme="majorHAnsi" w:hAnsiTheme="majorHAnsi" w:cstheme="majorHAnsi"/>
                <w:sz w:val="24"/>
                <w:szCs w:val="24"/>
              </w:rPr>
              <w:t>Reconhecimento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540C5F35" w14:textId="2CA9D0C3"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17 - 55</w:t>
            </w:r>
          </w:p>
        </w:tc>
      </w:tr>
      <w:tr w:rsidR="001571F2" w:rsidRPr="001571F2" w14:paraId="01A38B2F" w14:textId="77777777" w:rsidTr="001571F2">
        <w:trPr>
          <w:cantSplit/>
        </w:trPr>
        <w:tc>
          <w:tcPr>
            <w:tcW w:w="236" w:type="dxa"/>
            <w:tcBorders>
              <w:top w:val="nil"/>
              <w:left w:val="nil"/>
              <w:bottom w:val="nil"/>
              <w:right w:val="single" w:sz="4" w:space="0" w:color="auto"/>
            </w:tcBorders>
            <w:vAlign w:val="bottom"/>
          </w:tcPr>
          <w:p w14:paraId="07690E1A"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644EBD4E" w14:textId="0406DDD2" w:rsidR="001571F2" w:rsidRPr="001571F2" w:rsidRDefault="006A2D38" w:rsidP="001571F2">
            <w:pPr>
              <w:pStyle w:val="IASBNormalnpara"/>
              <w:spacing w:before="0" w:after="120"/>
              <w:rPr>
                <w:rFonts w:asciiTheme="majorHAnsi" w:hAnsiTheme="majorHAnsi" w:cstheme="majorHAnsi"/>
                <w:sz w:val="24"/>
                <w:szCs w:val="24"/>
              </w:rPr>
            </w:pPr>
            <w:r>
              <w:rPr>
                <w:rFonts w:asciiTheme="majorHAnsi" w:hAnsiTheme="majorHAnsi" w:cstheme="majorHAnsi"/>
                <w:sz w:val="24"/>
                <w:szCs w:val="24"/>
              </w:rPr>
              <w:t xml:space="preserve">   </w:t>
            </w:r>
            <w:r w:rsidRPr="006A2D38">
              <w:rPr>
                <w:rFonts w:asciiTheme="majorHAnsi" w:hAnsiTheme="majorHAnsi" w:cstheme="majorHAnsi"/>
                <w:sz w:val="24"/>
                <w:szCs w:val="24"/>
              </w:rPr>
              <w:t>Mensuração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3BC14C94" w14:textId="263EAB1B"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30 - 35</w:t>
            </w:r>
          </w:p>
        </w:tc>
      </w:tr>
      <w:tr w:rsidR="001571F2" w:rsidRPr="001571F2" w14:paraId="278B86E8" w14:textId="77777777" w:rsidTr="001571F2">
        <w:trPr>
          <w:cantSplit/>
        </w:trPr>
        <w:tc>
          <w:tcPr>
            <w:tcW w:w="236" w:type="dxa"/>
            <w:tcBorders>
              <w:top w:val="nil"/>
              <w:left w:val="nil"/>
              <w:bottom w:val="nil"/>
              <w:right w:val="single" w:sz="4" w:space="0" w:color="auto"/>
            </w:tcBorders>
            <w:vAlign w:val="bottom"/>
          </w:tcPr>
          <w:p w14:paraId="7A1F2D23"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19139839" w14:textId="46D92B04" w:rsidR="001571F2" w:rsidRPr="001571F2" w:rsidRDefault="006A2D38" w:rsidP="001571F2">
            <w:pPr>
              <w:pStyle w:val="IASBNormalnpara"/>
              <w:spacing w:before="0" w:after="120"/>
              <w:rPr>
                <w:rFonts w:asciiTheme="majorHAnsi" w:hAnsiTheme="majorHAnsi" w:cstheme="majorHAnsi"/>
                <w:sz w:val="24"/>
                <w:szCs w:val="24"/>
              </w:rPr>
            </w:pPr>
            <w:r>
              <w:rPr>
                <w:rFonts w:asciiTheme="majorHAnsi" w:hAnsiTheme="majorHAnsi" w:cstheme="majorHAnsi"/>
                <w:sz w:val="24"/>
                <w:szCs w:val="24"/>
              </w:rPr>
              <w:t xml:space="preserve">   </w:t>
            </w:r>
            <w:r w:rsidRPr="006A2D38">
              <w:rPr>
                <w:rFonts w:asciiTheme="majorHAnsi" w:hAnsiTheme="majorHAnsi" w:cstheme="majorHAnsi"/>
                <w:sz w:val="24"/>
                <w:szCs w:val="24"/>
              </w:rPr>
              <w:t>Tributos</w:t>
            </w:r>
          </w:p>
        </w:tc>
        <w:tc>
          <w:tcPr>
            <w:tcW w:w="1841" w:type="dxa"/>
            <w:tcBorders>
              <w:top w:val="single" w:sz="4" w:space="0" w:color="auto"/>
              <w:left w:val="single" w:sz="4" w:space="0" w:color="auto"/>
              <w:bottom w:val="single" w:sz="4" w:space="0" w:color="auto"/>
              <w:right w:val="single" w:sz="4" w:space="0" w:color="auto"/>
            </w:tcBorders>
            <w:vAlign w:val="bottom"/>
            <w:hideMark/>
          </w:tcPr>
          <w:p w14:paraId="1FC36F24" w14:textId="27ED7209"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36 - 55</w:t>
            </w:r>
          </w:p>
        </w:tc>
      </w:tr>
      <w:tr w:rsidR="001571F2" w:rsidRPr="001571F2" w14:paraId="7D80514F" w14:textId="77777777" w:rsidTr="001571F2">
        <w:trPr>
          <w:cantSplit/>
        </w:trPr>
        <w:tc>
          <w:tcPr>
            <w:tcW w:w="236" w:type="dxa"/>
            <w:tcBorders>
              <w:top w:val="nil"/>
              <w:left w:val="nil"/>
              <w:bottom w:val="nil"/>
              <w:right w:val="single" w:sz="4" w:space="0" w:color="auto"/>
            </w:tcBorders>
            <w:vAlign w:val="bottom"/>
          </w:tcPr>
          <w:p w14:paraId="2EC3290E"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100ACF76" w14:textId="062FF778" w:rsidR="001571F2" w:rsidRPr="001571F2" w:rsidRDefault="006A2D38" w:rsidP="001571F2">
            <w:pPr>
              <w:pStyle w:val="IASBNormalnpara"/>
              <w:spacing w:before="0" w:after="120"/>
              <w:rPr>
                <w:rFonts w:asciiTheme="majorHAnsi" w:hAnsiTheme="majorHAnsi" w:cstheme="majorHAnsi"/>
                <w:sz w:val="24"/>
                <w:szCs w:val="24"/>
              </w:rPr>
            </w:pPr>
            <w:r w:rsidRPr="006A2D38">
              <w:rPr>
                <w:rFonts w:asciiTheme="majorHAnsi" w:hAnsiTheme="majorHAnsi" w:cstheme="majorHAnsi"/>
                <w:sz w:val="24"/>
                <w:szCs w:val="24"/>
              </w:rPr>
              <w:t>Receita proveniente de Transações com Acordos Vinculantes</w:t>
            </w:r>
          </w:p>
        </w:tc>
        <w:tc>
          <w:tcPr>
            <w:tcW w:w="1841" w:type="dxa"/>
            <w:tcBorders>
              <w:top w:val="single" w:sz="4" w:space="0" w:color="auto"/>
              <w:left w:val="single" w:sz="4" w:space="0" w:color="auto"/>
              <w:bottom w:val="single" w:sz="4" w:space="0" w:color="auto"/>
              <w:right w:val="single" w:sz="4" w:space="0" w:color="auto"/>
            </w:tcBorders>
            <w:vAlign w:val="bottom"/>
            <w:hideMark/>
          </w:tcPr>
          <w:p w14:paraId="09C59F63" w14:textId="2266F586"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56 - 161</w:t>
            </w:r>
          </w:p>
        </w:tc>
      </w:tr>
      <w:tr w:rsidR="001571F2" w:rsidRPr="001571F2" w14:paraId="309146D4" w14:textId="77777777" w:rsidTr="001571F2">
        <w:trPr>
          <w:cantSplit/>
        </w:trPr>
        <w:tc>
          <w:tcPr>
            <w:tcW w:w="236" w:type="dxa"/>
            <w:tcBorders>
              <w:top w:val="nil"/>
              <w:left w:val="nil"/>
              <w:bottom w:val="nil"/>
              <w:right w:val="single" w:sz="4" w:space="0" w:color="auto"/>
            </w:tcBorders>
            <w:vAlign w:val="bottom"/>
          </w:tcPr>
          <w:p w14:paraId="3EBC3451"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552FE190" w14:textId="55AFA033" w:rsidR="001571F2" w:rsidRPr="001571F2" w:rsidRDefault="006A2D38" w:rsidP="001571F2">
            <w:pPr>
              <w:pStyle w:val="IASBNormalnpara"/>
              <w:spacing w:before="0" w:after="120"/>
              <w:rPr>
                <w:rFonts w:asciiTheme="majorHAnsi" w:hAnsiTheme="majorHAnsi" w:cstheme="majorHAnsi"/>
                <w:sz w:val="24"/>
                <w:szCs w:val="24"/>
              </w:rPr>
            </w:pPr>
            <w:r>
              <w:rPr>
                <w:rFonts w:asciiTheme="majorHAnsi" w:hAnsiTheme="majorHAnsi" w:cstheme="majorHAnsi"/>
                <w:sz w:val="24"/>
                <w:szCs w:val="24"/>
              </w:rPr>
              <w:t xml:space="preserve">   </w:t>
            </w:r>
            <w:r w:rsidRPr="006A2D38">
              <w:rPr>
                <w:rFonts w:asciiTheme="majorHAnsi" w:hAnsiTheme="majorHAnsi" w:cstheme="majorHAnsi"/>
                <w:sz w:val="24"/>
                <w:szCs w:val="24"/>
              </w:rPr>
              <w:t>Reconhecimento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28ED3EDC" w14:textId="69149A34"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56 - 105</w:t>
            </w:r>
          </w:p>
        </w:tc>
      </w:tr>
      <w:tr w:rsidR="001571F2" w:rsidRPr="001571F2" w14:paraId="092E4882" w14:textId="77777777" w:rsidTr="001571F2">
        <w:trPr>
          <w:cantSplit/>
        </w:trPr>
        <w:tc>
          <w:tcPr>
            <w:tcW w:w="236" w:type="dxa"/>
            <w:tcBorders>
              <w:top w:val="nil"/>
              <w:left w:val="nil"/>
              <w:bottom w:val="nil"/>
              <w:right w:val="single" w:sz="4" w:space="0" w:color="auto"/>
            </w:tcBorders>
            <w:vAlign w:val="bottom"/>
          </w:tcPr>
          <w:p w14:paraId="505702BD"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3510F0B1" w14:textId="22381995" w:rsidR="001571F2" w:rsidRPr="001571F2" w:rsidRDefault="006A2D38" w:rsidP="001571F2">
            <w:pPr>
              <w:pStyle w:val="IASBNormalnpara"/>
              <w:spacing w:before="0" w:after="120"/>
              <w:rPr>
                <w:rFonts w:asciiTheme="majorHAnsi" w:hAnsiTheme="majorHAnsi" w:cstheme="majorHAnsi"/>
                <w:sz w:val="24"/>
                <w:szCs w:val="24"/>
              </w:rPr>
            </w:pPr>
            <w:r>
              <w:rPr>
                <w:rFonts w:asciiTheme="majorHAnsi" w:hAnsiTheme="majorHAnsi" w:cstheme="majorHAnsi"/>
                <w:sz w:val="24"/>
                <w:szCs w:val="24"/>
              </w:rPr>
              <w:t xml:space="preserve">   </w:t>
            </w:r>
            <w:r w:rsidRPr="006A2D38">
              <w:rPr>
                <w:rFonts w:asciiTheme="majorHAnsi" w:hAnsiTheme="majorHAnsi" w:cstheme="majorHAnsi"/>
                <w:sz w:val="24"/>
                <w:szCs w:val="24"/>
              </w:rPr>
              <w:t>Mensuração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65EE7C95" w14:textId="2099C306"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106 - 147</w:t>
            </w:r>
          </w:p>
        </w:tc>
      </w:tr>
      <w:tr w:rsidR="001571F2" w:rsidRPr="001571F2" w14:paraId="39479FC1" w14:textId="77777777" w:rsidTr="001571F2">
        <w:trPr>
          <w:cantSplit/>
        </w:trPr>
        <w:tc>
          <w:tcPr>
            <w:tcW w:w="236" w:type="dxa"/>
            <w:tcBorders>
              <w:top w:val="nil"/>
              <w:left w:val="nil"/>
              <w:bottom w:val="nil"/>
              <w:right w:val="single" w:sz="4" w:space="0" w:color="auto"/>
            </w:tcBorders>
            <w:vAlign w:val="bottom"/>
          </w:tcPr>
          <w:p w14:paraId="4FA057AD"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55506761" w14:textId="650FE0C8" w:rsidR="001571F2" w:rsidRPr="001571F2" w:rsidRDefault="006A2D38" w:rsidP="006A2D38">
            <w:pPr>
              <w:pStyle w:val="IASBNormalnpara"/>
              <w:spacing w:before="0" w:after="120"/>
              <w:ind w:left="223" w:hanging="223"/>
              <w:rPr>
                <w:rFonts w:asciiTheme="majorHAnsi" w:hAnsiTheme="majorHAnsi" w:cstheme="majorHAnsi"/>
                <w:sz w:val="24"/>
                <w:szCs w:val="24"/>
              </w:rPr>
            </w:pPr>
            <w:r>
              <w:rPr>
                <w:rFonts w:asciiTheme="majorHAnsi" w:hAnsiTheme="majorHAnsi" w:cstheme="majorHAnsi"/>
                <w:sz w:val="24"/>
                <w:szCs w:val="24"/>
              </w:rPr>
              <w:t xml:space="preserve">   </w:t>
            </w:r>
            <w:r w:rsidRPr="006A2D38">
              <w:rPr>
                <w:rFonts w:asciiTheme="majorHAnsi" w:hAnsiTheme="majorHAnsi" w:cstheme="majorHAnsi"/>
                <w:sz w:val="24"/>
                <w:szCs w:val="24"/>
              </w:rPr>
              <w:t>Outros Ativos Decorrentes dos Custos de Transações de Receita com Acordo</w:t>
            </w:r>
            <w:r>
              <w:rPr>
                <w:rFonts w:asciiTheme="majorHAnsi" w:hAnsiTheme="majorHAnsi" w:cstheme="majorHAnsi"/>
                <w:sz w:val="24"/>
                <w:szCs w:val="24"/>
              </w:rPr>
              <w:t xml:space="preserve"> </w:t>
            </w:r>
            <w:r w:rsidRPr="006A2D38">
              <w:rPr>
                <w:rFonts w:asciiTheme="majorHAnsi" w:hAnsiTheme="majorHAnsi" w:cstheme="majorHAnsi"/>
                <w:sz w:val="24"/>
                <w:szCs w:val="24"/>
              </w:rPr>
              <w:t>Vinculante</w:t>
            </w:r>
          </w:p>
        </w:tc>
        <w:tc>
          <w:tcPr>
            <w:tcW w:w="1841" w:type="dxa"/>
            <w:tcBorders>
              <w:top w:val="single" w:sz="4" w:space="0" w:color="auto"/>
              <w:left w:val="single" w:sz="4" w:space="0" w:color="auto"/>
              <w:bottom w:val="single" w:sz="4" w:space="0" w:color="auto"/>
              <w:right w:val="single" w:sz="4" w:space="0" w:color="auto"/>
            </w:tcBorders>
            <w:vAlign w:val="bottom"/>
            <w:hideMark/>
          </w:tcPr>
          <w:p w14:paraId="089AE4C9" w14:textId="06A17814"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148 - 161</w:t>
            </w:r>
          </w:p>
        </w:tc>
      </w:tr>
      <w:tr w:rsidR="001571F2" w:rsidRPr="001571F2" w14:paraId="5AA49E2C" w14:textId="77777777" w:rsidTr="001571F2">
        <w:trPr>
          <w:cantSplit/>
        </w:trPr>
        <w:tc>
          <w:tcPr>
            <w:tcW w:w="236" w:type="dxa"/>
            <w:tcBorders>
              <w:top w:val="nil"/>
              <w:left w:val="nil"/>
              <w:bottom w:val="nil"/>
              <w:right w:val="single" w:sz="4" w:space="0" w:color="auto"/>
            </w:tcBorders>
            <w:vAlign w:val="bottom"/>
          </w:tcPr>
          <w:p w14:paraId="0BC87374"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2401CF6E" w14:textId="166580E5" w:rsidR="001571F2" w:rsidRPr="001571F2" w:rsidRDefault="00743350" w:rsidP="001571F2">
            <w:pPr>
              <w:pStyle w:val="IASBNormalnpara"/>
              <w:spacing w:before="0" w:after="120"/>
              <w:rPr>
                <w:rFonts w:asciiTheme="majorHAnsi" w:hAnsiTheme="majorHAnsi" w:cstheme="majorHAnsi"/>
                <w:sz w:val="24"/>
                <w:szCs w:val="24"/>
              </w:rPr>
            </w:pPr>
            <w:r w:rsidRPr="00743350">
              <w:rPr>
                <w:rFonts w:asciiTheme="majorHAnsi" w:hAnsiTheme="majorHAnsi" w:cstheme="majorHAnsi"/>
                <w:sz w:val="24"/>
                <w:szCs w:val="24"/>
              </w:rPr>
              <w:t>Apresentação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747F81D4" w14:textId="53574EAD"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162 - 193</w:t>
            </w:r>
          </w:p>
        </w:tc>
      </w:tr>
      <w:tr w:rsidR="001571F2" w:rsidRPr="001571F2" w14:paraId="1E6028B2" w14:textId="77777777" w:rsidTr="001571F2">
        <w:trPr>
          <w:cantSplit/>
        </w:trPr>
        <w:tc>
          <w:tcPr>
            <w:tcW w:w="236" w:type="dxa"/>
            <w:tcBorders>
              <w:top w:val="nil"/>
              <w:left w:val="nil"/>
              <w:bottom w:val="nil"/>
              <w:right w:val="single" w:sz="4" w:space="0" w:color="auto"/>
            </w:tcBorders>
            <w:vAlign w:val="bottom"/>
          </w:tcPr>
          <w:p w14:paraId="7854D712"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69CBCC9D" w14:textId="1738A3DD" w:rsidR="001571F2" w:rsidRPr="001571F2" w:rsidRDefault="00743350" w:rsidP="001571F2">
            <w:pPr>
              <w:pStyle w:val="IASBNormalnpara"/>
              <w:spacing w:before="0" w:after="120"/>
              <w:rPr>
                <w:rFonts w:asciiTheme="majorHAnsi" w:hAnsiTheme="majorHAnsi" w:cstheme="majorHAnsi"/>
                <w:sz w:val="24"/>
                <w:szCs w:val="24"/>
              </w:rPr>
            </w:pPr>
            <w:r w:rsidRPr="00743350">
              <w:rPr>
                <w:rFonts w:asciiTheme="majorHAnsi" w:hAnsiTheme="majorHAnsi" w:cstheme="majorHAnsi"/>
                <w:sz w:val="24"/>
                <w:szCs w:val="24"/>
              </w:rPr>
              <w:t>Vigência e Transição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4A75A5A3" w14:textId="5F623286"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194 – 203A</w:t>
            </w:r>
          </w:p>
        </w:tc>
      </w:tr>
      <w:tr w:rsidR="001571F2" w:rsidRPr="001571F2" w14:paraId="2D633D7D" w14:textId="77777777" w:rsidTr="001571F2">
        <w:trPr>
          <w:cantSplit/>
        </w:trPr>
        <w:tc>
          <w:tcPr>
            <w:tcW w:w="236" w:type="dxa"/>
            <w:tcBorders>
              <w:top w:val="nil"/>
              <w:left w:val="nil"/>
              <w:bottom w:val="nil"/>
              <w:right w:val="single" w:sz="4" w:space="0" w:color="auto"/>
            </w:tcBorders>
            <w:vAlign w:val="bottom"/>
          </w:tcPr>
          <w:p w14:paraId="6A05FD44"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02D21A49" w14:textId="5930F8B6" w:rsidR="001571F2" w:rsidRPr="001571F2" w:rsidRDefault="00743350" w:rsidP="001571F2">
            <w:pPr>
              <w:pStyle w:val="IASBNormalnpara"/>
              <w:spacing w:before="0" w:after="120"/>
              <w:rPr>
                <w:rFonts w:asciiTheme="majorHAnsi" w:hAnsiTheme="majorHAnsi" w:cstheme="majorHAnsi"/>
                <w:sz w:val="24"/>
                <w:szCs w:val="24"/>
              </w:rPr>
            </w:pPr>
            <w:r>
              <w:rPr>
                <w:rFonts w:asciiTheme="majorHAnsi" w:hAnsiTheme="majorHAnsi" w:cstheme="majorHAnsi"/>
                <w:sz w:val="24"/>
                <w:szCs w:val="24"/>
              </w:rPr>
              <w:t xml:space="preserve">   </w:t>
            </w:r>
            <w:r w:rsidRPr="00743350">
              <w:rPr>
                <w:rFonts w:asciiTheme="majorHAnsi" w:hAnsiTheme="majorHAnsi" w:cstheme="majorHAnsi"/>
                <w:sz w:val="24"/>
                <w:szCs w:val="24"/>
              </w:rPr>
              <w:t>Vigência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51470A4E" w14:textId="7FC2EA91"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194 - 195</w:t>
            </w:r>
          </w:p>
        </w:tc>
      </w:tr>
      <w:tr w:rsidR="001571F2" w:rsidRPr="001571F2" w14:paraId="58D7FEEC" w14:textId="77777777" w:rsidTr="001571F2">
        <w:trPr>
          <w:cantSplit/>
        </w:trPr>
        <w:tc>
          <w:tcPr>
            <w:tcW w:w="236" w:type="dxa"/>
            <w:tcBorders>
              <w:top w:val="nil"/>
              <w:left w:val="nil"/>
              <w:bottom w:val="nil"/>
              <w:right w:val="single" w:sz="4" w:space="0" w:color="auto"/>
            </w:tcBorders>
            <w:vAlign w:val="bottom"/>
          </w:tcPr>
          <w:p w14:paraId="533AA526"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0BDE7A40" w14:textId="38F41A96" w:rsidR="001571F2" w:rsidRPr="001571F2" w:rsidRDefault="00743350" w:rsidP="001571F2">
            <w:pPr>
              <w:pStyle w:val="IASBNormalnpara"/>
              <w:spacing w:before="0" w:after="120"/>
              <w:rPr>
                <w:rFonts w:asciiTheme="majorHAnsi" w:hAnsiTheme="majorHAnsi" w:cstheme="majorHAnsi"/>
                <w:sz w:val="24"/>
                <w:szCs w:val="24"/>
              </w:rPr>
            </w:pPr>
            <w:r>
              <w:rPr>
                <w:rFonts w:asciiTheme="majorHAnsi" w:hAnsiTheme="majorHAnsi" w:cstheme="majorHAnsi"/>
                <w:sz w:val="24"/>
                <w:szCs w:val="24"/>
              </w:rPr>
              <w:t xml:space="preserve">   </w:t>
            </w:r>
            <w:r w:rsidRPr="00743350">
              <w:rPr>
                <w:rFonts w:asciiTheme="majorHAnsi" w:hAnsiTheme="majorHAnsi" w:cstheme="majorHAnsi"/>
                <w:sz w:val="24"/>
                <w:szCs w:val="24"/>
              </w:rPr>
              <w:t>Transição</w:t>
            </w:r>
          </w:p>
        </w:tc>
        <w:tc>
          <w:tcPr>
            <w:tcW w:w="1841" w:type="dxa"/>
            <w:tcBorders>
              <w:top w:val="single" w:sz="4" w:space="0" w:color="auto"/>
              <w:left w:val="single" w:sz="4" w:space="0" w:color="auto"/>
              <w:bottom w:val="single" w:sz="4" w:space="0" w:color="auto"/>
              <w:right w:val="single" w:sz="4" w:space="0" w:color="auto"/>
            </w:tcBorders>
            <w:vAlign w:val="bottom"/>
          </w:tcPr>
          <w:p w14:paraId="71049BC0" w14:textId="0827F886"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196 – 203A</w:t>
            </w:r>
          </w:p>
        </w:tc>
      </w:tr>
      <w:tr w:rsidR="001571F2" w:rsidRPr="001571F2" w14:paraId="78408F9E" w14:textId="77777777" w:rsidTr="001571F2">
        <w:trPr>
          <w:cantSplit/>
        </w:trPr>
        <w:tc>
          <w:tcPr>
            <w:tcW w:w="236" w:type="dxa"/>
            <w:tcBorders>
              <w:top w:val="nil"/>
              <w:left w:val="nil"/>
              <w:bottom w:val="nil"/>
              <w:right w:val="single" w:sz="4" w:space="0" w:color="auto"/>
            </w:tcBorders>
            <w:vAlign w:val="bottom"/>
          </w:tcPr>
          <w:p w14:paraId="715B8C68" w14:textId="77777777" w:rsidR="001571F2" w:rsidRPr="001571F2" w:rsidRDefault="001571F2"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60266877" w14:textId="2D64EB70" w:rsidR="001571F2" w:rsidRPr="001571F2" w:rsidRDefault="00743350" w:rsidP="001571F2">
            <w:pPr>
              <w:pStyle w:val="IASBNormalnpara"/>
              <w:spacing w:before="0" w:after="120"/>
              <w:rPr>
                <w:rFonts w:asciiTheme="majorHAnsi" w:hAnsiTheme="majorHAnsi" w:cstheme="majorHAnsi"/>
                <w:sz w:val="24"/>
                <w:szCs w:val="24"/>
              </w:rPr>
            </w:pPr>
            <w:r w:rsidRPr="00743350">
              <w:rPr>
                <w:rFonts w:asciiTheme="majorHAnsi" w:hAnsiTheme="majorHAnsi" w:cstheme="majorHAnsi"/>
                <w:sz w:val="24"/>
                <w:szCs w:val="24"/>
              </w:rPr>
              <w:t>Revogação de Outras Normas</w:t>
            </w:r>
          </w:p>
        </w:tc>
        <w:tc>
          <w:tcPr>
            <w:tcW w:w="1841" w:type="dxa"/>
            <w:tcBorders>
              <w:top w:val="single" w:sz="4" w:space="0" w:color="auto"/>
              <w:left w:val="single" w:sz="4" w:space="0" w:color="auto"/>
              <w:bottom w:val="single" w:sz="4" w:space="0" w:color="auto"/>
              <w:right w:val="single" w:sz="4" w:space="0" w:color="auto"/>
            </w:tcBorders>
            <w:vAlign w:val="bottom"/>
          </w:tcPr>
          <w:p w14:paraId="3C8292A5" w14:textId="7F8B6934" w:rsidR="001571F2" w:rsidRPr="001571F2" w:rsidRDefault="006A2D38" w:rsidP="001571F2">
            <w:pPr>
              <w:pStyle w:val="IASBNormalnpara"/>
              <w:spacing w:before="0" w:after="120"/>
              <w:jc w:val="center"/>
              <w:rPr>
                <w:rFonts w:asciiTheme="majorHAnsi" w:hAnsiTheme="majorHAnsi" w:cstheme="majorHAnsi"/>
                <w:sz w:val="24"/>
                <w:szCs w:val="24"/>
              </w:rPr>
            </w:pPr>
            <w:r>
              <w:rPr>
                <w:rFonts w:asciiTheme="majorHAnsi" w:hAnsiTheme="majorHAnsi" w:cstheme="majorHAnsi"/>
                <w:sz w:val="24"/>
                <w:szCs w:val="24"/>
              </w:rPr>
              <w:t>204</w:t>
            </w:r>
          </w:p>
        </w:tc>
      </w:tr>
      <w:tr w:rsidR="006A2D38" w:rsidRPr="001571F2" w14:paraId="4DFD197A" w14:textId="77777777" w:rsidTr="001571F2">
        <w:trPr>
          <w:cantSplit/>
        </w:trPr>
        <w:tc>
          <w:tcPr>
            <w:tcW w:w="236" w:type="dxa"/>
            <w:tcBorders>
              <w:top w:val="nil"/>
              <w:left w:val="nil"/>
              <w:bottom w:val="nil"/>
              <w:right w:val="single" w:sz="4" w:space="0" w:color="auto"/>
            </w:tcBorders>
            <w:vAlign w:val="bottom"/>
          </w:tcPr>
          <w:p w14:paraId="73D77AFE" w14:textId="77777777" w:rsidR="006A2D38" w:rsidRPr="001571F2" w:rsidRDefault="006A2D38" w:rsidP="001571F2">
            <w:pPr>
              <w:pStyle w:val="IASBNormalnpara"/>
              <w:spacing w:after="120"/>
              <w:rPr>
                <w:rFonts w:asciiTheme="majorHAnsi" w:hAnsiTheme="majorHAnsi" w:cstheme="majorHAnsi"/>
                <w:sz w:val="24"/>
                <w:szCs w:val="24"/>
              </w:rPr>
            </w:pPr>
          </w:p>
        </w:tc>
        <w:tc>
          <w:tcPr>
            <w:tcW w:w="8123" w:type="dxa"/>
            <w:tcBorders>
              <w:top w:val="single" w:sz="4" w:space="0" w:color="auto"/>
              <w:left w:val="single" w:sz="4" w:space="0" w:color="auto"/>
              <w:bottom w:val="single" w:sz="4" w:space="0" w:color="auto"/>
              <w:right w:val="single" w:sz="4" w:space="0" w:color="auto"/>
            </w:tcBorders>
            <w:vAlign w:val="bottom"/>
          </w:tcPr>
          <w:p w14:paraId="2C9647E1" w14:textId="360D2459" w:rsidR="006A2D38" w:rsidRPr="006A2D38" w:rsidRDefault="006A2D38" w:rsidP="001571F2">
            <w:pPr>
              <w:pStyle w:val="IASBNormalnpara"/>
              <w:spacing w:before="0" w:after="120"/>
              <w:rPr>
                <w:rFonts w:asciiTheme="majorHAnsi" w:hAnsiTheme="majorHAnsi" w:cstheme="majorHAnsi"/>
                <w:b/>
                <w:bCs/>
                <w:sz w:val="24"/>
                <w:szCs w:val="24"/>
              </w:rPr>
            </w:pPr>
            <w:r w:rsidRPr="006A2D38">
              <w:rPr>
                <w:rFonts w:asciiTheme="majorHAnsi" w:hAnsiTheme="majorHAnsi" w:cstheme="majorHAnsi"/>
                <w:b/>
                <w:bCs/>
                <w:sz w:val="24"/>
                <w:szCs w:val="24"/>
              </w:rPr>
              <w:t>APÊNDICE A —GUIA DE APLICAÇÃO</w:t>
            </w:r>
          </w:p>
        </w:tc>
        <w:tc>
          <w:tcPr>
            <w:tcW w:w="1841" w:type="dxa"/>
            <w:tcBorders>
              <w:top w:val="single" w:sz="4" w:space="0" w:color="auto"/>
              <w:left w:val="single" w:sz="4" w:space="0" w:color="auto"/>
              <w:bottom w:val="single" w:sz="4" w:space="0" w:color="auto"/>
              <w:right w:val="single" w:sz="4" w:space="0" w:color="auto"/>
            </w:tcBorders>
            <w:vAlign w:val="bottom"/>
          </w:tcPr>
          <w:p w14:paraId="1C5041E8" w14:textId="77777777" w:rsidR="006A2D38" w:rsidRDefault="006A2D38" w:rsidP="001571F2">
            <w:pPr>
              <w:pStyle w:val="IASBNormalnpara"/>
              <w:spacing w:before="0" w:after="120"/>
              <w:jc w:val="center"/>
              <w:rPr>
                <w:rFonts w:asciiTheme="majorHAnsi" w:hAnsiTheme="majorHAnsi" w:cstheme="majorHAnsi"/>
                <w:sz w:val="24"/>
                <w:szCs w:val="24"/>
              </w:rPr>
            </w:pPr>
          </w:p>
        </w:tc>
      </w:tr>
    </w:tbl>
    <w:p w14:paraId="21EDF973" w14:textId="20C1E635" w:rsidR="00F5446D" w:rsidRPr="000A4B61" w:rsidRDefault="00F5446D" w:rsidP="00C97A3F">
      <w:pPr>
        <w:pStyle w:val="IASBSectionTitle1NonInd"/>
        <w:pBdr>
          <w:bottom w:val="none" w:sz="0" w:space="0" w:color="auto"/>
        </w:pBdr>
        <w:spacing w:before="100" w:after="240"/>
        <w:jc w:val="both"/>
        <w:rPr>
          <w:rFonts w:ascii="Calibri" w:hAnsi="Calibri" w:cs="Calibri"/>
          <w:sz w:val="24"/>
          <w:szCs w:val="24"/>
        </w:rPr>
      </w:pPr>
      <w:bookmarkStart w:id="1" w:name="F55665969"/>
      <w:r w:rsidRPr="000A4B61">
        <w:rPr>
          <w:rFonts w:ascii="Calibri" w:hAnsi="Calibri" w:cs="Calibri"/>
          <w:sz w:val="24"/>
          <w:szCs w:val="24"/>
        </w:rPr>
        <w:lastRenderedPageBreak/>
        <w:t>Objetivo</w:t>
      </w:r>
      <w:bookmarkEnd w:id="1"/>
    </w:p>
    <w:p w14:paraId="58F1899D" w14:textId="3BC99941"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O objetivo desta norma é estabelecer os princípios que uma entidade deve aplicar para divulgar</w:t>
      </w:r>
      <w:r w:rsidR="00CE0648">
        <w:rPr>
          <w:rFonts w:ascii="Calibri" w:hAnsi="Calibri" w:cs="Calibri"/>
          <w:b w:val="0"/>
          <w:bCs/>
          <w:sz w:val="24"/>
          <w:szCs w:val="24"/>
        </w:rPr>
        <w:t xml:space="preserve"> </w:t>
      </w:r>
      <w:r w:rsidRPr="00D81CAD">
        <w:rPr>
          <w:rFonts w:ascii="Calibri" w:hAnsi="Calibri" w:cs="Calibri"/>
          <w:b w:val="0"/>
          <w:bCs/>
          <w:sz w:val="24"/>
          <w:szCs w:val="24"/>
        </w:rPr>
        <w:t xml:space="preserve">informações úteis para os usuários das demonstrações contábeis acerca da natureza, do montante, do momento e da incerteza das receitas e dos fluxos de caixa decorrentes de transações de receita. </w:t>
      </w:r>
    </w:p>
    <w:p w14:paraId="514D126F" w14:textId="0B45F382" w:rsidR="00C97A3F"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Para atingir o objetivo previsto no item 1, esta norma: </w:t>
      </w:r>
    </w:p>
    <w:p w14:paraId="759E41CC" w14:textId="53A08CF9" w:rsidR="001B7187" w:rsidRDefault="00D81CAD" w:rsidP="00C90136">
      <w:pPr>
        <w:pStyle w:val="IASBSectionTitle1NonInd"/>
        <w:numPr>
          <w:ilvl w:val="0"/>
          <w:numId w:val="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exige que a entidade considere os termos da transação, bem como todos os fatos e circunstâncias relevantes, para determinar o tipo de transação de receita; e</w:t>
      </w:r>
    </w:p>
    <w:p w14:paraId="53AEEAEF" w14:textId="7DF9DCF3" w:rsidR="00D81CAD" w:rsidRPr="00D81CAD" w:rsidRDefault="00D81CAD" w:rsidP="00C90136">
      <w:pPr>
        <w:pStyle w:val="IASBSectionTitle1NonInd"/>
        <w:numPr>
          <w:ilvl w:val="0"/>
          <w:numId w:val="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estabelece os requisitos contábeis para a contabilização da transação de receita.</w:t>
      </w:r>
    </w:p>
    <w:p w14:paraId="7877A7F1" w14:textId="77777777" w:rsidR="00D81CAD" w:rsidRPr="00C97A3F" w:rsidRDefault="00D81CAD" w:rsidP="00C97A3F">
      <w:pPr>
        <w:pStyle w:val="IASBSectionTitle1NonInd"/>
        <w:pBdr>
          <w:bottom w:val="none" w:sz="0" w:space="0" w:color="auto"/>
        </w:pBdr>
        <w:spacing w:before="100" w:after="240"/>
        <w:jc w:val="both"/>
        <w:rPr>
          <w:rFonts w:ascii="Calibri" w:hAnsi="Calibri" w:cs="Calibri"/>
          <w:sz w:val="24"/>
          <w:szCs w:val="24"/>
        </w:rPr>
      </w:pPr>
      <w:r w:rsidRPr="00C97A3F">
        <w:rPr>
          <w:rFonts w:ascii="Calibri" w:hAnsi="Calibri" w:cs="Calibri"/>
          <w:sz w:val="24"/>
          <w:szCs w:val="24"/>
        </w:rPr>
        <w:t>Alcance</w:t>
      </w:r>
    </w:p>
    <w:p w14:paraId="433C60B6" w14:textId="19F7C587" w:rsidR="00C97A3F"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 entidade que elabora e apresenta demonstrações contábeis sob o regime de competência deve aplicar esta norma na contabilização de suas transações de receita. Esta norma não se aplica a:</w:t>
      </w:r>
    </w:p>
    <w:p w14:paraId="47C69150" w14:textId="35E2F623"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contribuições para regimes de benefícios sociais contabilizadas de acordo com os itens 26–31 da NBC TSP 29 – Benefícios Sociais (abordagem securitária);</w:t>
      </w:r>
    </w:p>
    <w:p w14:paraId="27C18E05" w14:textId="1956EE9B"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combinação no setor público no alcance da NBC TSP 21 – Combinações no Setor Público;</w:t>
      </w:r>
    </w:p>
    <w:p w14:paraId="47721521" w14:textId="370C7565"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contabilização de contribuições dos proprietários;</w:t>
      </w:r>
    </w:p>
    <w:p w14:paraId="7EA17F7B" w14:textId="7400694C"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contratos de arrendamento mercantil no alcance da NBC TSP 35 – Arrendamentos;</w:t>
      </w:r>
    </w:p>
    <w:p w14:paraId="14A4927D" w14:textId="35C4E6D2"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contratos de seguro no alcance da norma contábil internacional ou nacional relevante aplicável a contratos de seguro</w:t>
      </w:r>
      <w:r w:rsidR="004E5D89">
        <w:rPr>
          <w:rFonts w:ascii="Calibri" w:hAnsi="Calibri" w:cs="Calibri"/>
          <w:b w:val="0"/>
          <w:bCs/>
          <w:sz w:val="24"/>
          <w:szCs w:val="24"/>
        </w:rPr>
        <w:t xml:space="preserve">, </w:t>
      </w:r>
      <w:r w:rsidR="004E5D89" w:rsidRPr="00D81CAD">
        <w:rPr>
          <w:rFonts w:ascii="Calibri" w:hAnsi="Calibri" w:cs="Calibri"/>
          <w:b w:val="0"/>
          <w:bCs/>
          <w:sz w:val="24"/>
          <w:szCs w:val="24"/>
        </w:rPr>
        <w:t>NBC TG 50 – Contratos de Seguro</w:t>
      </w:r>
      <w:r w:rsidR="004E5D89">
        <w:rPr>
          <w:rFonts w:ascii="Calibri" w:hAnsi="Calibri" w:cs="Calibri"/>
          <w:b w:val="0"/>
          <w:bCs/>
          <w:sz w:val="24"/>
          <w:szCs w:val="24"/>
        </w:rPr>
        <w:t>,</w:t>
      </w:r>
      <w:r w:rsidR="004E5D89" w:rsidRPr="00D81CAD">
        <w:rPr>
          <w:rFonts w:ascii="Calibri" w:hAnsi="Calibri" w:cs="Calibri"/>
          <w:b w:val="0"/>
          <w:bCs/>
          <w:sz w:val="24"/>
          <w:szCs w:val="24"/>
        </w:rPr>
        <w:t xml:space="preserve"> ou norma que vier a substitui-la</w:t>
      </w:r>
      <w:r w:rsidRPr="00D81CAD">
        <w:rPr>
          <w:rFonts w:ascii="Calibri" w:hAnsi="Calibri" w:cs="Calibri"/>
          <w:b w:val="0"/>
          <w:bCs/>
          <w:sz w:val="24"/>
          <w:szCs w:val="24"/>
        </w:rPr>
        <w:t>;</w:t>
      </w:r>
    </w:p>
    <w:p w14:paraId="4452DE1A" w14:textId="18E1AF0E" w:rsid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instrumentos financeiros e outros direitos ou obrigações contratuais no alcance da NBC TSP 31 – Instrumentos Financeiros: Reconhecimento e Mensuração;</w:t>
      </w:r>
    </w:p>
    <w:p w14:paraId="3A1F588C" w14:textId="25057598"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direitos ou obrigações decorrentes de acordos vinculantes no alcance da NBC TSP 03 – Provisões, Passivos Contingentes e Ativos Contingentes, NBC TSP 05 – Contratos de Concessão de Serviços Públicos: Concedente, NBC TSP 15 – Benefícios a Empregados, NBC TSP 16 – Demonstrações Contábeis Separadas, NBC TSP 17 – Demonstrações Contábeis Consolidadas, NBC TSP 18 – Investimento em Coligada e em Empreendimento Controlado em Conjunto, NBC TSP 19 – Acordos em Conjunto e NBC TSP 21 – Combinações no Setor Público;</w:t>
      </w:r>
    </w:p>
    <w:p w14:paraId="5F94C92D" w14:textId="5D7D02F6"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trocas não monetárias entre entidades do mesmo ramo de atividade para facilitar vendas para provedores de recursos ou para potenciais provedores de recursos. Por exemplo, esta norma não se aplicaria a um acordo vinculante entre duas entidades do setor público que concordem com uma troca de eletricidade para atender, em tempo hábil, à demanda de seus provedores de recursos em diferentes localidades especificadas;</w:t>
      </w:r>
    </w:p>
    <w:p w14:paraId="3668FB8E" w14:textId="22B875D8"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ganhos provenientes da venda de ativos não financeiros que não constituem produto das atividades da entidade e que estejam no alcance da NBC TSP 06 – Propriedade para Investimento, da NBC TSP 37 – Ativo Imobilizado ou da NBC TSP 08 – Ativo Intangível (ver item A5); </w:t>
      </w:r>
    </w:p>
    <w:p w14:paraId="6A54A21D" w14:textId="198D91E6"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alterações no valor de ativos circulantes e não circulantes decorrentes de mensuração subsequente; </w:t>
      </w:r>
    </w:p>
    <w:p w14:paraId="4BDC2E77" w14:textId="6722E165"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reconhecimento inicial ou alterações no valor justo de ativos biológicos relacionados à atividade agrícola (ver NBC TSP 26 – Ativo Biológico e Produto Agrícola); e </w:t>
      </w:r>
    </w:p>
    <w:p w14:paraId="58EF75B4" w14:textId="402DCC6A" w:rsidR="00D81CAD" w:rsidRPr="00D81CAD" w:rsidRDefault="00D81CAD" w:rsidP="00C90136">
      <w:pPr>
        <w:pStyle w:val="IASBSectionTitle1NonInd"/>
        <w:numPr>
          <w:ilvl w:val="0"/>
          <w:numId w:val="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extração de recursos minerais. </w:t>
      </w:r>
    </w:p>
    <w:p w14:paraId="7583587F" w14:textId="77777777" w:rsidR="00D81CAD" w:rsidRPr="00C97A3F" w:rsidRDefault="00D81CAD" w:rsidP="00C97A3F">
      <w:pPr>
        <w:pStyle w:val="IASBSectionTitle1NonInd"/>
        <w:pBdr>
          <w:bottom w:val="none" w:sz="0" w:space="0" w:color="auto"/>
        </w:pBdr>
        <w:spacing w:before="100" w:after="240"/>
        <w:jc w:val="both"/>
        <w:rPr>
          <w:rFonts w:ascii="Calibri" w:hAnsi="Calibri" w:cs="Calibri"/>
          <w:sz w:val="24"/>
          <w:szCs w:val="24"/>
        </w:rPr>
      </w:pPr>
      <w:r w:rsidRPr="00C97A3F">
        <w:rPr>
          <w:rFonts w:ascii="Calibri" w:hAnsi="Calibri" w:cs="Calibri"/>
          <w:sz w:val="24"/>
          <w:szCs w:val="24"/>
        </w:rPr>
        <w:t>Definições</w:t>
      </w:r>
    </w:p>
    <w:p w14:paraId="4AE705BC" w14:textId="6836EDEC"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Os termos seguintes são utilizados nesta norma com os significados</w:t>
      </w:r>
      <w:r w:rsidR="00547071">
        <w:rPr>
          <w:rFonts w:ascii="Calibri" w:hAnsi="Calibri" w:cs="Calibri"/>
          <w:b w:val="0"/>
          <w:bCs/>
          <w:sz w:val="24"/>
          <w:szCs w:val="24"/>
        </w:rPr>
        <w:t xml:space="preserve"> especificados</w:t>
      </w:r>
      <w:r w:rsidRPr="00D81CAD">
        <w:rPr>
          <w:rFonts w:ascii="Calibri" w:hAnsi="Calibri" w:cs="Calibri"/>
          <w:b w:val="0"/>
          <w:bCs/>
          <w:sz w:val="24"/>
          <w:szCs w:val="24"/>
        </w:rPr>
        <w:t xml:space="preserve">: </w:t>
      </w:r>
    </w:p>
    <w:p w14:paraId="1BD3D20B"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Para os fins desta norma, acordo vinculante é aquele que confere tanto direitos quanto obrigações, exequíveis por meios legais ou equivalentes às partes do acordo. (Os itens A10–A31 fornecem orientações adicionais.) </w:t>
      </w:r>
    </w:p>
    <w:p w14:paraId="282DB42F"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Um </w:t>
      </w:r>
      <w:r w:rsidRPr="00C97A3F">
        <w:rPr>
          <w:rFonts w:ascii="Calibri" w:hAnsi="Calibri" w:cs="Calibri"/>
          <w:b w:val="0"/>
          <w:bCs/>
          <w:sz w:val="24"/>
          <w:szCs w:val="24"/>
          <w:u w:val="single"/>
        </w:rPr>
        <w:t>ativo de acordo vinculante</w:t>
      </w:r>
      <w:r w:rsidRPr="00D81CAD">
        <w:rPr>
          <w:rFonts w:ascii="Calibri" w:hAnsi="Calibri" w:cs="Calibri"/>
          <w:b w:val="0"/>
          <w:bCs/>
          <w:sz w:val="24"/>
          <w:szCs w:val="24"/>
        </w:rPr>
        <w:t xml:space="preserve"> é o direito da entidade à contraprestação pela satisfação de suas obrigações de cumprimento, consoante os termos do acordo vinculante, quando esse direito estiver condicionado a algo diferente da mera passagem do tempo (por exemplo, o desempenho futuro da entidade). </w:t>
      </w:r>
    </w:p>
    <w:p w14:paraId="7C662DC9"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Um </w:t>
      </w:r>
      <w:r w:rsidRPr="005B13CA">
        <w:rPr>
          <w:rFonts w:ascii="Calibri" w:hAnsi="Calibri" w:cs="Calibri"/>
          <w:b w:val="0"/>
          <w:bCs/>
          <w:sz w:val="24"/>
          <w:szCs w:val="24"/>
          <w:u w:val="single"/>
        </w:rPr>
        <w:t>passivo de acordo vinculante</w:t>
      </w:r>
      <w:r w:rsidRPr="00D81CAD">
        <w:rPr>
          <w:rFonts w:ascii="Calibri" w:hAnsi="Calibri" w:cs="Calibri"/>
          <w:b w:val="0"/>
          <w:bCs/>
          <w:sz w:val="24"/>
          <w:szCs w:val="24"/>
        </w:rPr>
        <w:t xml:space="preserve"> é o dever da entidade de satisfazer sua obrigação de cumprimento consoante os termos do acordo vinculante para a qual a entidade recebeu contraprestação (ou cujo valor é devido) do provedor de recursos. </w:t>
      </w:r>
    </w:p>
    <w:p w14:paraId="76F7797E"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Na perspectiva do destinatário dos recursos, uma </w:t>
      </w:r>
      <w:r w:rsidRPr="005B13CA">
        <w:rPr>
          <w:rFonts w:ascii="Calibri" w:hAnsi="Calibri" w:cs="Calibri"/>
          <w:b w:val="0"/>
          <w:bCs/>
          <w:sz w:val="24"/>
          <w:szCs w:val="24"/>
          <w:u w:val="single"/>
        </w:rPr>
        <w:t>transferência de capital</w:t>
      </w:r>
      <w:r w:rsidRPr="00D81CAD">
        <w:rPr>
          <w:rFonts w:ascii="Calibri" w:hAnsi="Calibri" w:cs="Calibri"/>
          <w:b w:val="0"/>
          <w:bCs/>
          <w:sz w:val="24"/>
          <w:szCs w:val="24"/>
        </w:rPr>
        <w:t xml:space="preserve"> é uma entrada de caixa ou de outro ativo que decorre de um acordo vinculante com a especificação de que a entidade adquira ou construa um ativo não financeiro que será controlado pela entidade. (O item A140 fornece orientações adicionais.) </w:t>
      </w:r>
    </w:p>
    <w:p w14:paraId="0EFCD22F"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Uma </w:t>
      </w:r>
      <w:r w:rsidRPr="005B13CA">
        <w:rPr>
          <w:rFonts w:ascii="Calibri" w:hAnsi="Calibri" w:cs="Calibri"/>
          <w:b w:val="0"/>
          <w:bCs/>
          <w:sz w:val="24"/>
          <w:szCs w:val="24"/>
          <w:u w:val="single"/>
        </w:rPr>
        <w:t>obrigação de cumprimento</w:t>
      </w:r>
      <w:r w:rsidRPr="00D81CAD">
        <w:rPr>
          <w:rFonts w:ascii="Calibri" w:hAnsi="Calibri" w:cs="Calibri"/>
          <w:b w:val="0"/>
          <w:bCs/>
          <w:sz w:val="24"/>
          <w:szCs w:val="24"/>
        </w:rPr>
        <w:t xml:space="preserve"> é a promessa da entidade, em um acordo vinculante, de utilizar recursos internamente para bens ou serviços distintos ou de transferir bens ou serviços distintos a um comprador ou terceiro beneficiário. </w:t>
      </w:r>
    </w:p>
    <w:p w14:paraId="14180ED9"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 xml:space="preserve">Um </w:t>
      </w:r>
      <w:r w:rsidRPr="005B13CA">
        <w:rPr>
          <w:rFonts w:ascii="Calibri" w:hAnsi="Calibri" w:cs="Calibri"/>
          <w:b w:val="0"/>
          <w:bCs/>
          <w:sz w:val="24"/>
          <w:szCs w:val="24"/>
          <w:u w:val="single"/>
        </w:rPr>
        <w:t>cliente</w:t>
      </w:r>
      <w:r w:rsidRPr="00D81CAD">
        <w:rPr>
          <w:rFonts w:ascii="Calibri" w:hAnsi="Calibri" w:cs="Calibri"/>
          <w:b w:val="0"/>
          <w:bCs/>
          <w:sz w:val="24"/>
          <w:szCs w:val="24"/>
        </w:rPr>
        <w:t xml:space="preserve"> é uma parte que contratou com a entidade a obtenção de bens ou serviços que constituem produto das atividades da entidade em troca de contraprestação. </w:t>
      </w:r>
    </w:p>
    <w:p w14:paraId="79FE5007"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5B13CA">
        <w:rPr>
          <w:rFonts w:ascii="Calibri" w:hAnsi="Calibri" w:cs="Calibri"/>
          <w:b w:val="0"/>
          <w:bCs/>
          <w:sz w:val="24"/>
          <w:szCs w:val="24"/>
          <w:u w:val="single"/>
        </w:rPr>
        <w:t>Despesas pagas por meio do sistema tributário</w:t>
      </w:r>
      <w:r w:rsidRPr="00D81CAD">
        <w:rPr>
          <w:rFonts w:ascii="Calibri" w:hAnsi="Calibri" w:cs="Calibri"/>
          <w:b w:val="0"/>
          <w:bCs/>
          <w:sz w:val="24"/>
          <w:szCs w:val="24"/>
        </w:rPr>
        <w:t xml:space="preserve"> são valores disponibilizados aos beneficiários independentemente de estes pagarem ou não tributos. </w:t>
      </w:r>
    </w:p>
    <w:p w14:paraId="2C511B66"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(Não convergido).</w:t>
      </w:r>
    </w:p>
    <w:p w14:paraId="3E94DF76"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(Não convergido).</w:t>
      </w:r>
    </w:p>
    <w:p w14:paraId="704D8FAD"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5B13CA">
        <w:rPr>
          <w:rFonts w:ascii="Calibri" w:hAnsi="Calibri" w:cs="Calibri"/>
          <w:b w:val="0"/>
          <w:bCs/>
          <w:sz w:val="24"/>
          <w:szCs w:val="24"/>
          <w:u w:val="single"/>
        </w:rPr>
        <w:t>Multas</w:t>
      </w:r>
      <w:r w:rsidRPr="00D81CAD">
        <w:rPr>
          <w:rFonts w:ascii="Calibri" w:hAnsi="Calibri" w:cs="Calibri"/>
          <w:b w:val="0"/>
          <w:bCs/>
          <w:sz w:val="24"/>
          <w:szCs w:val="24"/>
        </w:rPr>
        <w:t xml:space="preserve"> são benefícios econômicos ou potencial de serviços recebidos ou a receber pela entidade, conforme determinado por tribunal ou por outra entidade com capacidade impositiva legal, como consequência da violação de leis e/ou regulamentos. </w:t>
      </w:r>
    </w:p>
    <w:p w14:paraId="6A8DC992"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5B13CA">
        <w:rPr>
          <w:rFonts w:ascii="Calibri" w:hAnsi="Calibri" w:cs="Calibri"/>
          <w:b w:val="0"/>
          <w:bCs/>
          <w:sz w:val="24"/>
          <w:szCs w:val="24"/>
          <w:u w:val="single"/>
        </w:rPr>
        <w:t>Outras contribuições compulsórias e encargos compulsórios</w:t>
      </w:r>
      <w:r w:rsidRPr="00D81CAD">
        <w:rPr>
          <w:rFonts w:ascii="Calibri" w:hAnsi="Calibri" w:cs="Calibri"/>
          <w:b w:val="0"/>
          <w:bCs/>
          <w:sz w:val="24"/>
          <w:szCs w:val="24"/>
        </w:rPr>
        <w:t xml:space="preserve"> são caixa ou outro ativo, pago ou a pagar à entidade, de acordo com leis e/ou regulamentos, estabelecidos para gerar receita a ser utilizada na prestação de programas governamentais específicos. </w:t>
      </w:r>
    </w:p>
    <w:p w14:paraId="5C7ACB44"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Um </w:t>
      </w:r>
      <w:r w:rsidRPr="005B13CA">
        <w:rPr>
          <w:rFonts w:ascii="Calibri" w:hAnsi="Calibri" w:cs="Calibri"/>
          <w:b w:val="0"/>
          <w:bCs/>
          <w:sz w:val="24"/>
          <w:szCs w:val="24"/>
          <w:u w:val="single"/>
        </w:rPr>
        <w:t>comprador</w:t>
      </w:r>
      <w:r w:rsidRPr="00D81CAD">
        <w:rPr>
          <w:rFonts w:ascii="Calibri" w:hAnsi="Calibri" w:cs="Calibri"/>
          <w:b w:val="0"/>
          <w:bCs/>
          <w:sz w:val="24"/>
          <w:szCs w:val="24"/>
        </w:rPr>
        <w:t xml:space="preserve"> é um provedor de recursos que fornece um recurso à entidade em troca de bens ou serviços, produtos das atividades da entidade, nos termos de um acordo vinculante, para seu próprio consumo. (O item A27 fornece orientações adicionais.) </w:t>
      </w:r>
    </w:p>
    <w:p w14:paraId="6DD4D8C0"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Um </w:t>
      </w:r>
      <w:r w:rsidRPr="005B13CA">
        <w:rPr>
          <w:rFonts w:ascii="Calibri" w:hAnsi="Calibri" w:cs="Calibri"/>
          <w:b w:val="0"/>
          <w:bCs/>
          <w:sz w:val="24"/>
          <w:szCs w:val="24"/>
          <w:u w:val="single"/>
        </w:rPr>
        <w:t>provedor de recursos</w:t>
      </w:r>
      <w:r w:rsidRPr="00D81CAD">
        <w:rPr>
          <w:rFonts w:ascii="Calibri" w:hAnsi="Calibri" w:cs="Calibri"/>
          <w:b w:val="0"/>
          <w:bCs/>
          <w:sz w:val="24"/>
          <w:szCs w:val="24"/>
        </w:rPr>
        <w:t xml:space="preserve"> é a parte que fornece um recurso à entidade. (Os itens A26–A31 fornecem orientações adicionais.) </w:t>
      </w:r>
    </w:p>
    <w:p w14:paraId="198C30EB"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Valor individual (de um bem ou serviço) é o preço do bem ou serviço que deve ser utilizado internamente ou fornecido separadamente a um comprador ou a um terceiro beneficiário. </w:t>
      </w:r>
    </w:p>
    <w:p w14:paraId="323D61E4"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5B13CA">
        <w:rPr>
          <w:rFonts w:ascii="Calibri" w:hAnsi="Calibri" w:cs="Calibri"/>
          <w:b w:val="0"/>
          <w:bCs/>
          <w:sz w:val="24"/>
          <w:szCs w:val="24"/>
          <w:u w:val="single"/>
        </w:rPr>
        <w:t>Gastos tributários</w:t>
      </w:r>
      <w:r w:rsidRPr="00D81CAD">
        <w:rPr>
          <w:rFonts w:ascii="Calibri" w:hAnsi="Calibri" w:cs="Calibri"/>
          <w:b w:val="0"/>
          <w:bCs/>
          <w:sz w:val="24"/>
          <w:szCs w:val="24"/>
        </w:rPr>
        <w:t xml:space="preserve"> são disposições preferenciais da legislação tributária que concedem a determinados contribuintes benefícios não disponíveis aos demais. </w:t>
      </w:r>
    </w:p>
    <w:p w14:paraId="77E13C58"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5B13CA">
        <w:rPr>
          <w:rFonts w:ascii="Calibri" w:hAnsi="Calibri" w:cs="Calibri"/>
          <w:b w:val="0"/>
          <w:bCs/>
          <w:sz w:val="24"/>
          <w:szCs w:val="24"/>
          <w:u w:val="single"/>
        </w:rPr>
        <w:t>Evento tributável</w:t>
      </w:r>
      <w:r w:rsidRPr="00D81CAD">
        <w:rPr>
          <w:rFonts w:ascii="Calibri" w:hAnsi="Calibri" w:cs="Calibri"/>
          <w:b w:val="0"/>
          <w:bCs/>
          <w:sz w:val="24"/>
          <w:szCs w:val="24"/>
        </w:rPr>
        <w:t xml:space="preserve"> é o evento que o governo, o poder legislativo ou outra autoridade determinou que estará sujeito à tributação. </w:t>
      </w:r>
    </w:p>
    <w:p w14:paraId="16D4F7FA"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5B13CA">
        <w:rPr>
          <w:rFonts w:ascii="Calibri" w:hAnsi="Calibri" w:cs="Calibri"/>
          <w:b w:val="0"/>
          <w:bCs/>
          <w:sz w:val="24"/>
          <w:szCs w:val="24"/>
          <w:u w:val="single"/>
        </w:rPr>
        <w:t>Tributos</w:t>
      </w:r>
      <w:r w:rsidRPr="00D81CAD">
        <w:rPr>
          <w:rFonts w:ascii="Calibri" w:hAnsi="Calibri" w:cs="Calibri"/>
          <w:b w:val="0"/>
          <w:bCs/>
          <w:sz w:val="24"/>
          <w:szCs w:val="24"/>
        </w:rPr>
        <w:t xml:space="preserve"> são benefícios econômicos ou potencial de serviços pagos ou a pagar compulsoriamente à entidade, de acordo com leis e/ou regulamentos, estabelecidos para gerar receita ao governo. Tributos não incluem multas ou outras penalidades impostas por violação de leis e/ou regulamentos. </w:t>
      </w:r>
    </w:p>
    <w:p w14:paraId="0339FCFA"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Um terceiro beneficiário é uma entidade, um agregado familiar ou indivíduo que se beneficiará de uma transação realizada entre outras partes mediante o recebimento de recursos. (O item A29 fornece orientações adicionais.) </w:t>
      </w:r>
    </w:p>
    <w:p w14:paraId="62AABD6A"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Para os fins desta norma, a contraprestação da transação é o montante de recursos ao qual a entidade espera ter direito. </w:t>
      </w:r>
    </w:p>
    <w:p w14:paraId="4B3166FF"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 xml:space="preserve">Uma </w:t>
      </w:r>
      <w:r w:rsidRPr="005B13CA">
        <w:rPr>
          <w:rFonts w:ascii="Calibri" w:hAnsi="Calibri" w:cs="Calibri"/>
          <w:b w:val="0"/>
          <w:bCs/>
          <w:sz w:val="24"/>
          <w:szCs w:val="24"/>
          <w:u w:val="single"/>
        </w:rPr>
        <w:t>transferência</w:t>
      </w:r>
      <w:r w:rsidRPr="00D81CAD">
        <w:rPr>
          <w:rFonts w:ascii="Calibri" w:hAnsi="Calibri" w:cs="Calibri"/>
          <w:b w:val="0"/>
          <w:bCs/>
          <w:sz w:val="24"/>
          <w:szCs w:val="24"/>
        </w:rPr>
        <w:t xml:space="preserve"> é uma transação, distinta dos tributos, na qual uma entidade recebe um recurso de um provedor de recursos (que pode ser outra entidade ou um indivíduo) sem fornecer diretamente, em troca, qualquer bem, serviço ou outro ativo. </w:t>
      </w:r>
    </w:p>
    <w:p w14:paraId="41492D29"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termos definidos em outras NBC TSP são utilizados nesta norma com o mesmo significado.</w:t>
      </w:r>
    </w:p>
    <w:p w14:paraId="2F5666A5" w14:textId="77777777" w:rsidR="00D81CAD" w:rsidRPr="005B13CA" w:rsidRDefault="00D81CAD" w:rsidP="00C97A3F">
      <w:pPr>
        <w:pStyle w:val="IASBSectionTitle1NonInd"/>
        <w:pBdr>
          <w:bottom w:val="none" w:sz="0" w:space="0" w:color="auto"/>
        </w:pBdr>
        <w:spacing w:before="100" w:after="240"/>
        <w:jc w:val="both"/>
        <w:rPr>
          <w:rFonts w:ascii="Calibri" w:hAnsi="Calibri" w:cs="Calibri"/>
          <w:sz w:val="24"/>
          <w:szCs w:val="24"/>
        </w:rPr>
      </w:pPr>
      <w:r w:rsidRPr="005B13CA">
        <w:rPr>
          <w:rFonts w:ascii="Calibri" w:hAnsi="Calibri" w:cs="Calibri"/>
          <w:sz w:val="24"/>
          <w:szCs w:val="24"/>
        </w:rPr>
        <w:t>Receita</w:t>
      </w:r>
    </w:p>
    <w:p w14:paraId="20AC9F3C" w14:textId="7EE9401B"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receita compreende entradas brutas de benefícios econômicos ou potencial de serviços recebidos e a receber pela entidade, que representem aumento nos ativos líquidos/patrimônio líquido, exceto os aumentos relacionados a contribuições dos proprietários. Valores arrecadados na condição de agente do governo, de outra organização governamental ou de terceiros não são considerados receita do agente, uma vez que tais valores não resultarão em aumento dos ativos líquidos/patrimônio líquido do agente. Isso ocorre porque a entidade </w:t>
      </w:r>
      <w:proofErr w:type="spellStart"/>
      <w:r w:rsidRPr="00D81CAD">
        <w:rPr>
          <w:rFonts w:ascii="Calibri" w:hAnsi="Calibri" w:cs="Calibri"/>
          <w:b w:val="0"/>
          <w:bCs/>
          <w:sz w:val="24"/>
          <w:szCs w:val="24"/>
        </w:rPr>
        <w:t>agente</w:t>
      </w:r>
      <w:proofErr w:type="spellEnd"/>
      <w:r w:rsidRPr="00D81CAD">
        <w:rPr>
          <w:rFonts w:ascii="Calibri" w:hAnsi="Calibri" w:cs="Calibri"/>
          <w:b w:val="0"/>
          <w:bCs/>
          <w:sz w:val="24"/>
          <w:szCs w:val="24"/>
        </w:rPr>
        <w:t xml:space="preserve"> não pode controlar o uso dos ativos arrecadados nem deles se beneficiar de outra forma na consecução de seus objetivos. </w:t>
      </w:r>
    </w:p>
    <w:p w14:paraId="19658BBA" w14:textId="30EBF4C3"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Quando uma entidade incorre em algum custo relacionado à receita decorrente de uma transação de receita, a receita corresponde à entrada bruta de benefícios econômicos futuros ou potencial de serviços, e qualquer transferência de recursos é reconhecida como custo da transação. Por exemplo, se uma entidade for obrigada a pagar custos de entrega e instalação relativos ao recebimento de transferência de um item do ativo imobilizado por outra entidade (provedor de recursos), esses custos são reconhecidos separadamente da receita decorrente da transferência do item do ativo imobilizado. Os custos de entrega e instalação são reconhecidos de acordo com a NBC TSP 37 – Ativo Imobilizado. </w:t>
      </w:r>
    </w:p>
    <w:p w14:paraId="67AE2A9F" w14:textId="77777777" w:rsidR="00D81CAD" w:rsidRPr="005B13C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5B13CA">
        <w:rPr>
          <w:rFonts w:ascii="Calibri" w:hAnsi="Calibri" w:cs="Calibri"/>
          <w:i/>
          <w:iCs/>
          <w:sz w:val="24"/>
          <w:szCs w:val="24"/>
        </w:rPr>
        <w:t>Tributos</w:t>
      </w:r>
    </w:p>
    <w:p w14:paraId="1FA5FD9D" w14:textId="26CE8202"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Os tributos, que incluem outras contribuições e encargos compulsórios, constituem a principal fonte de receita para muitos governos e outras entidades do setor público. Os tributos são definidos no item 4 como benefícios econômicos ou potencial de serviços pagos ou a pagar compulsoriamente às entidades do setor público, de acordo com leis e/ou regulamentos, estabelecidos para gerar receita ao governo, excluindo multas ou outras penalidades impostas por violação de leis e/ou regulamentos. Transferências não compulsórias ao governo ou a entidades do setor público, como doações e tarifas, não são tributos, embora possam resultar de transações sem acordo vinculante. O governo impõe tributação a indivíduos e outras entidades, conhecidos como contribuintes, dentro de sua jurisdição, mediante o uso de seu poder soberano. </w:t>
      </w:r>
    </w:p>
    <w:p w14:paraId="3DFF406F" w14:textId="16C17813"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Os direitos (do governo de calcular o tributo a receber e assegurar o recebimento do pagamento) e as obrigações (do contribuinte de apresentar declarações e efetuar pagamentos quando devidos) estabelecidos em leis e/ou regulamentos tributários não criam acordos vinculantes entre o governo e o contribuinte. </w:t>
      </w:r>
    </w:p>
    <w:p w14:paraId="0457B859" w14:textId="77777777" w:rsidR="00D81CAD" w:rsidRPr="005B13CA" w:rsidRDefault="00D81CAD" w:rsidP="00C97A3F">
      <w:pPr>
        <w:pStyle w:val="IASBSectionTitle1NonInd"/>
        <w:pBdr>
          <w:bottom w:val="none" w:sz="0" w:space="0" w:color="auto"/>
        </w:pBdr>
        <w:spacing w:before="100" w:after="240"/>
        <w:jc w:val="both"/>
        <w:rPr>
          <w:rFonts w:ascii="Calibri" w:hAnsi="Calibri" w:cs="Calibri"/>
          <w:sz w:val="24"/>
          <w:szCs w:val="24"/>
        </w:rPr>
      </w:pPr>
      <w:r w:rsidRPr="005B13CA">
        <w:rPr>
          <w:rFonts w:ascii="Calibri" w:hAnsi="Calibri" w:cs="Calibri"/>
          <w:sz w:val="24"/>
          <w:szCs w:val="24"/>
        </w:rPr>
        <w:t xml:space="preserve">Identificação da Transação de Receita </w:t>
      </w:r>
    </w:p>
    <w:p w14:paraId="3447CF87" w14:textId="0B2FE5BB"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 xml:space="preserve">As receitas do setor público podem decorrer de transações sem acordos vinculantes ou de transações com acordos vinculantes. A maior parte das receitas dos governos e de outras entidades do setor público normalmente deriva de transações sem acordos vinculantes ou de transações com acordos vinculantes que não incluem a transferência de bens ou serviços distintos a partes externas. </w:t>
      </w:r>
    </w:p>
    <w:p w14:paraId="41F1336D" w14:textId="19936F16"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No início da transação, a entidade deve primeiramente considerar se celebrou uma transação de receita com ou sem acordo vinculante. </w:t>
      </w:r>
    </w:p>
    <w:p w14:paraId="5D4EBE14" w14:textId="77777777" w:rsidR="00D81CAD" w:rsidRPr="005B13CA" w:rsidRDefault="00D81CAD" w:rsidP="00C97A3F">
      <w:pPr>
        <w:pStyle w:val="IASBSectionTitle1NonInd"/>
        <w:pBdr>
          <w:bottom w:val="none" w:sz="0" w:space="0" w:color="auto"/>
        </w:pBdr>
        <w:spacing w:before="100" w:after="240"/>
        <w:jc w:val="both"/>
        <w:rPr>
          <w:rFonts w:ascii="Calibri" w:hAnsi="Calibri" w:cs="Calibri"/>
          <w:sz w:val="24"/>
          <w:szCs w:val="24"/>
        </w:rPr>
      </w:pPr>
      <w:r w:rsidRPr="005B13CA">
        <w:rPr>
          <w:rFonts w:ascii="Calibri" w:hAnsi="Calibri" w:cs="Calibri"/>
          <w:sz w:val="24"/>
          <w:szCs w:val="24"/>
        </w:rPr>
        <w:t xml:space="preserve">Identificar a Existência de um Acordo Vinculante </w:t>
      </w:r>
    </w:p>
    <w:p w14:paraId="30DEEB2B" w14:textId="0DCD2670"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Para que um acordo seja vinculante, ele deve ser exequível por meios legais ou equivalentes. A exequibilidade pode decorrer de diversos mecanismos, desde que tal(</w:t>
      </w:r>
      <w:proofErr w:type="spellStart"/>
      <w:r w:rsidRPr="00D81CAD">
        <w:rPr>
          <w:rFonts w:ascii="Calibri" w:hAnsi="Calibri" w:cs="Calibri"/>
          <w:b w:val="0"/>
          <w:bCs/>
          <w:sz w:val="24"/>
          <w:szCs w:val="24"/>
        </w:rPr>
        <w:t>is</w:t>
      </w:r>
      <w:proofErr w:type="spellEnd"/>
      <w:r w:rsidRPr="00D81CAD">
        <w:rPr>
          <w:rFonts w:ascii="Calibri" w:hAnsi="Calibri" w:cs="Calibri"/>
          <w:b w:val="0"/>
          <w:bCs/>
          <w:sz w:val="24"/>
          <w:szCs w:val="24"/>
        </w:rPr>
        <w:t xml:space="preserve">) mecanismo(s) proporcione(m) à entidade a capacidade de exigir o cumprimento dos termos do acordo vinculante e responsabilizar as partes pelo cumprimento de suas obrigações. </w:t>
      </w:r>
    </w:p>
    <w:p w14:paraId="72F0ABA8" w14:textId="338B5C46"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Ao determinar se um acordo é exequível, a entidade considera a substância do acordo, e não apenas sua forma jurídica. A avaliação sobre se um acordo é exequível baseia-se na capacidade da entidade de </w:t>
      </w:r>
      <w:r w:rsidR="00061DB2" w:rsidRPr="00A32D72">
        <w:rPr>
          <w:rFonts w:ascii="Calibri" w:hAnsi="Calibri" w:cs="Calibri"/>
          <w:b w:val="0"/>
          <w:bCs/>
          <w:sz w:val="24"/>
          <w:szCs w:val="24"/>
        </w:rPr>
        <w:t>exigir o cumprimento</w:t>
      </w:r>
      <w:r w:rsidR="00061DB2">
        <w:rPr>
          <w:rFonts w:ascii="Calibri" w:hAnsi="Calibri" w:cs="Calibri"/>
          <w:b w:val="0"/>
          <w:bCs/>
          <w:sz w:val="24"/>
          <w:szCs w:val="24"/>
        </w:rPr>
        <w:t xml:space="preserve"> </w:t>
      </w:r>
      <w:r w:rsidRPr="00D81CAD">
        <w:rPr>
          <w:rFonts w:ascii="Calibri" w:hAnsi="Calibri" w:cs="Calibri"/>
          <w:b w:val="0"/>
          <w:bCs/>
          <w:sz w:val="24"/>
          <w:szCs w:val="24"/>
        </w:rPr>
        <w:t xml:space="preserve">os termos e condições nele especificados e o cumprimento das obrigações declaradas das demais partes. </w:t>
      </w:r>
    </w:p>
    <w:p w14:paraId="15F64079" w14:textId="6D389933"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Um acordo vinculante inclui tanto direitos quanto obrigações exequíveis para duas ou mais partes do acordo. Os direitos e obrigações exequíveis de cada parte no acordo vinculante são interdependentes e inseparáveis. </w:t>
      </w:r>
    </w:p>
    <w:p w14:paraId="23141FED" w14:textId="63D60E68"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Os acordos vinculantes podem ser evidenciados de diversas maneiras. Um acordo vinculante pode ser escrito, verbal ou implícito pelas práticas habituais da entidade. As práticas e os processos para estabelecer acordos vinculantes variam entre jurisdições legais, setores e entidades. Além disso, podem variar dentro de uma mesma entidade (por exemplo, podem depender da classe do provedor de recursos ou da natureza da promessa da entidade no acordo vinculante). </w:t>
      </w:r>
    </w:p>
    <w:p w14:paraId="561982E4" w14:textId="2BFE3A84"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entidade deve aplicar os critérios de reconhecimento e mensuração desta norma da seguinte forma: </w:t>
      </w:r>
    </w:p>
    <w:p w14:paraId="2BBF3CB8" w14:textId="39F93BFD" w:rsidR="00D81CAD" w:rsidRPr="00D81CAD" w:rsidRDefault="00D81CAD" w:rsidP="00C90136">
      <w:pPr>
        <w:pStyle w:val="IASBSectionTitle1NonInd"/>
        <w:numPr>
          <w:ilvl w:val="0"/>
          <w:numId w:val="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As receitas provenientes de transações sem acordos vinculantes são contabilizadas mediante a aplicação dos itens 18–55, com orientações específicas para tributos nos itens 36–55; e </w:t>
      </w:r>
    </w:p>
    <w:p w14:paraId="62893B27" w14:textId="7A514B5A" w:rsidR="00D81CAD" w:rsidRPr="00D81CAD" w:rsidRDefault="00D81CAD" w:rsidP="00C90136">
      <w:pPr>
        <w:pStyle w:val="IASBSectionTitle1NonInd"/>
        <w:numPr>
          <w:ilvl w:val="0"/>
          <w:numId w:val="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As receitas provenientes de transações com acordos vinculantes são contabilizadas mediante a aplicação dos itens 56–147. </w:t>
      </w:r>
    </w:p>
    <w:p w14:paraId="45AF3EFA" w14:textId="2FD90C19"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Os itens A10–A31 fornecem orientações adicionais sobre exequibilidade e acordos vinculantes. </w:t>
      </w:r>
    </w:p>
    <w:p w14:paraId="6F0FE7AA"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Receita Proveniente de Transações sem Acordos Vinculantes </w:t>
      </w:r>
    </w:p>
    <w:p w14:paraId="503765B5" w14:textId="77777777" w:rsidR="00D81CAD" w:rsidRPr="005B13CA" w:rsidRDefault="00D81CAD" w:rsidP="00C97A3F">
      <w:pPr>
        <w:pStyle w:val="IASBSectionTitle1NonInd"/>
        <w:pBdr>
          <w:bottom w:val="none" w:sz="0" w:space="0" w:color="auto"/>
        </w:pBdr>
        <w:spacing w:before="100" w:after="240"/>
        <w:jc w:val="both"/>
        <w:rPr>
          <w:rFonts w:ascii="Calibri" w:hAnsi="Calibri" w:cs="Calibri"/>
          <w:sz w:val="24"/>
          <w:szCs w:val="24"/>
        </w:rPr>
      </w:pPr>
      <w:r w:rsidRPr="005B13CA">
        <w:rPr>
          <w:rFonts w:ascii="Calibri" w:hAnsi="Calibri" w:cs="Calibri"/>
          <w:sz w:val="24"/>
          <w:szCs w:val="24"/>
        </w:rPr>
        <w:t xml:space="preserve">Reconhecimento </w:t>
      </w:r>
    </w:p>
    <w:p w14:paraId="7845C1D1" w14:textId="79879555"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 xml:space="preserve">Uma transação de receita da entidade sem acordo vinculante pode conferir direitos e/ou obrigações. A entidade deve determinar se: </w:t>
      </w:r>
    </w:p>
    <w:p w14:paraId="272972CD" w14:textId="1268F00F" w:rsidR="00D81CAD" w:rsidRPr="00D81CAD" w:rsidRDefault="00D81CAD" w:rsidP="00C90136">
      <w:pPr>
        <w:pStyle w:val="IASBSectionTitle1NonInd"/>
        <w:numPr>
          <w:ilvl w:val="0"/>
          <w:numId w:val="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Quaisquer de seus direitos em transações de receita sem acordos vinculantes atendem à definição de ativo, de acordo com os itens 18–25; e </w:t>
      </w:r>
    </w:p>
    <w:p w14:paraId="7C25F052" w14:textId="64FA5A72" w:rsidR="00D81CAD" w:rsidRPr="00D81CAD" w:rsidRDefault="00D81CAD" w:rsidP="00C90136">
      <w:pPr>
        <w:pStyle w:val="IASBSectionTitle1NonInd"/>
        <w:numPr>
          <w:ilvl w:val="0"/>
          <w:numId w:val="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Quaisquer de suas obrigações em transações de receita sem acordos vinculantes atendem à definição de passivo, de acordo com os itens 26–27. </w:t>
      </w:r>
    </w:p>
    <w:p w14:paraId="56816F6D" w14:textId="77777777" w:rsidR="00D81CAD" w:rsidRPr="005B13CA" w:rsidRDefault="00D81CAD" w:rsidP="00C97A3F">
      <w:pPr>
        <w:pStyle w:val="IASBSectionTitle1NonInd"/>
        <w:pBdr>
          <w:bottom w:val="none" w:sz="0" w:space="0" w:color="auto"/>
        </w:pBdr>
        <w:spacing w:before="100" w:after="240"/>
        <w:jc w:val="both"/>
        <w:rPr>
          <w:rFonts w:ascii="Calibri" w:hAnsi="Calibri" w:cs="Calibri"/>
          <w:sz w:val="24"/>
          <w:szCs w:val="24"/>
        </w:rPr>
      </w:pPr>
      <w:r w:rsidRPr="005B13CA">
        <w:rPr>
          <w:rFonts w:ascii="Calibri" w:hAnsi="Calibri" w:cs="Calibri"/>
          <w:sz w:val="24"/>
          <w:szCs w:val="24"/>
        </w:rPr>
        <w:t xml:space="preserve">Análise da Entrada Inicial de Recursos </w:t>
      </w:r>
    </w:p>
    <w:p w14:paraId="3E9C8955" w14:textId="233AB606"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Uma entidade pode receber uma entrada inicial de recursos decorrente de uma transação de receita sem um acordo vinculante. A entidade reconhece essa entrada de recursos como um ativo se atualmente controlar os recursos (tais como bens, serviços ou outros ativos) recebidos em decorrência de eventos passados, e se o valor do ativo puder ser mensurado </w:t>
      </w:r>
      <w:r w:rsidR="0013568F" w:rsidRPr="00A32D72">
        <w:rPr>
          <w:rFonts w:ascii="Calibri" w:hAnsi="Calibri" w:cs="Calibri"/>
          <w:b w:val="0"/>
          <w:bCs/>
          <w:sz w:val="24"/>
          <w:szCs w:val="24"/>
        </w:rPr>
        <w:t>confiavelmente</w:t>
      </w:r>
      <w:r w:rsidRPr="00A32D72">
        <w:rPr>
          <w:rFonts w:ascii="Calibri" w:hAnsi="Calibri" w:cs="Calibri"/>
          <w:b w:val="0"/>
          <w:bCs/>
          <w:sz w:val="24"/>
          <w:szCs w:val="24"/>
        </w:rPr>
        <w:t>.</w:t>
      </w:r>
      <w:r w:rsidRPr="00D81CAD">
        <w:rPr>
          <w:rFonts w:ascii="Calibri" w:hAnsi="Calibri" w:cs="Calibri"/>
          <w:b w:val="0"/>
          <w:bCs/>
          <w:sz w:val="24"/>
          <w:szCs w:val="24"/>
        </w:rPr>
        <w:t xml:space="preserve"> O controle do recurso implica a capacidade da entidade de utilizar o recurso (ou direcionar outras partes quanto ao seu uso) de modo a obter o benefício do potencial de serviços ou dos benefícios econômicos incorporados ao recurso para alcançar seus objetivos de prestação de serviços ou outros objetivos. Um evento passado que conceda à entidade o controle de um recurso pode ser uma compra, um evento tributável ou uma transferência. Transações ou eventos cuja ocorrência é esperada no futuro não dão origem, por si só, a ativos — por exemplo, a intenção de instituir tributação não constitui um evento passado que dê origem a um ativo na forma de um direito a receber de um contribuinte. </w:t>
      </w:r>
    </w:p>
    <w:p w14:paraId="2DE1B4C1" w14:textId="4F4148C5"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capacidade de excluir ou regular o acesso de terceiros aos benefícios de um ativo é um elemento essencial do controle, que distingue os ativos de uma entidade daqueles bens públicos aos quais todas as entidades têm acesso e dos quais se beneficiam. No setor público, os governos exercem um papel regulador sobre determinadas atividades, por exemplo, instituições financeiras ou fundos de pensão. Esse papel regulador não significa necessariamente que tais itens regulados atendam à definição de ativo do governo, nem que satisfaçam os critérios para reconhecimento como ativo nas demonstrações contábeis de propósito geral do governo que regula esses ativos. De acordo com o item A143, as entidades podem, mas não são obrigadas a reconhecer serviços em espécie. </w:t>
      </w:r>
    </w:p>
    <w:p w14:paraId="46E01A71" w14:textId="5C19B658"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Cada tipo de entrada de recursos é analisado e contabilizado separadamente. Em determinadas circunstâncias, como quando um credor perdoa um passivo, uma redução no valor contábil de um passivo anteriormente reconhecido pode dar origem a uma entrada de recursos. Em alguns casos, a obtenção do controle sobre a entrada de recursos também pode acarretar obrigações que a entidade pode reconhecer como passivo até que tais obrigações sejam satisfeitas (de acordo com o item 26).</w:t>
      </w:r>
    </w:p>
    <w:p w14:paraId="60EB0215" w14:textId="77777777" w:rsidR="00D81CAD" w:rsidRPr="005B13CA" w:rsidRDefault="00D81CAD" w:rsidP="00C97A3F">
      <w:pPr>
        <w:pStyle w:val="IASBSectionTitle1NonInd"/>
        <w:pBdr>
          <w:bottom w:val="none" w:sz="0" w:space="0" w:color="auto"/>
        </w:pBdr>
        <w:spacing w:before="100" w:after="240"/>
        <w:jc w:val="both"/>
        <w:rPr>
          <w:rFonts w:ascii="Calibri" w:hAnsi="Calibri" w:cs="Calibri"/>
          <w:sz w:val="24"/>
          <w:szCs w:val="24"/>
        </w:rPr>
      </w:pPr>
      <w:r w:rsidRPr="005B13CA">
        <w:rPr>
          <w:rFonts w:ascii="Calibri" w:hAnsi="Calibri" w:cs="Calibri"/>
          <w:sz w:val="24"/>
          <w:szCs w:val="24"/>
        </w:rPr>
        <w:t xml:space="preserve">Direito a uma Entrada de Recursos </w:t>
      </w:r>
    </w:p>
    <w:p w14:paraId="32BBD365" w14:textId="7C12A2B2"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 xml:space="preserve">Quando uma entidade ainda não tiver recebido uma entrada de recursos decorrente de uma transação de receita sem acordo vinculante, ela deve considerar se possui o direito de receber uma entrada de bens, serviços ou outros ativos que possa constituir um recurso que atenda à definição de ativo e deva ser reconhecido como tal. A entidade fundamenta essa determinação nos fatos e circunstâncias de sua transação de receita, em sua capacidade de exigir esse direito por meios legais ou equivalentes, em sua experiência passada com tipos semelhantes de entradas de recursos e em suas expectativas quanto à capacidade e à intenção do provedor de recursos em fornecer os recursos. </w:t>
      </w:r>
    </w:p>
    <w:p w14:paraId="6AA99584" w14:textId="66D59234"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O anúncio da intenção de transferir recursos para uma entidade do setor público não é, por si só, suficiente para identificar os recursos como controlados pela entidade.</w:t>
      </w:r>
    </w:p>
    <w:p w14:paraId="06D9E244" w14:textId="2383B3D2"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Por exemplo, se uma escola pública fosse destruída por um incêndio e o governo anunciasse sua intenção de transferir recursos para reconstruir a escola, a escola não reconheceria uma entrada de recursos (recursos a receber) no momento do anúncio.</w:t>
      </w:r>
    </w:p>
    <w:p w14:paraId="6FCA0119" w14:textId="37495A23"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Em circunstâncias nas quais seja necessário um acordo antes que os recursos possam ser transferidos, a entidade não identificará os recursos como controlados até que seu direito previsto no acordo seja exequível, pois a entidade não consegue excluir ou regular o acesso do provedor de recursos a esses recursos. Em muitos casos, a entidade precisará estabelecer a exequibilidade de seu controle sobre os recursos antes de poder reconhecer um ativo. Se uma entidade não possuir um direito exequível sobre os recursos, ela não poderá excluir ou regular o acesso do provedor de recursos a esses recursos.</w:t>
      </w:r>
    </w:p>
    <w:p w14:paraId="47088D89" w14:textId="40E55F65"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 xml:space="preserve">Ativos Contingentes </w:t>
      </w:r>
    </w:p>
    <w:p w14:paraId="2E2A8F39" w14:textId="6DA4F4CE"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Um item que possua as características essenciais de um ativo, mas que não satisfaça os critérios de </w:t>
      </w:r>
      <w:r w:rsidRPr="00DA1E98">
        <w:rPr>
          <w:rFonts w:ascii="Calibri" w:hAnsi="Calibri" w:cs="Calibri"/>
          <w:b w:val="0"/>
          <w:bCs/>
          <w:sz w:val="24"/>
          <w:szCs w:val="24"/>
        </w:rPr>
        <w:t>reconhecimento, pode requerer divulgação em notas explicativas como ativo contingente (ver NBC TSP 03 – Provisões, Passivos Contingentes</w:t>
      </w:r>
      <w:r w:rsidRPr="00D81CAD">
        <w:rPr>
          <w:rFonts w:ascii="Calibri" w:hAnsi="Calibri" w:cs="Calibri"/>
          <w:b w:val="0"/>
          <w:bCs/>
          <w:sz w:val="24"/>
          <w:szCs w:val="24"/>
        </w:rPr>
        <w:t xml:space="preserve"> e Ativos Contingentes). </w:t>
      </w:r>
    </w:p>
    <w:p w14:paraId="31C53801"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 xml:space="preserve">Avaliação Subsequente dos Critérios de Reconhecimento de Ativo </w:t>
      </w:r>
    </w:p>
    <w:p w14:paraId="76023DF9" w14:textId="10778B2E"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entidade deve continuar a avaliar a transação de receita e qualquer entrada de recursos recebida ou a receber, para determinar se os critérios de reconhecimento de ativo previstos no item 21 são posteriormente atendidos. </w:t>
      </w:r>
    </w:p>
    <w:p w14:paraId="4F1081D3" w14:textId="77777777" w:rsidR="00D81CAD" w:rsidRPr="0088163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88163A">
        <w:rPr>
          <w:rFonts w:ascii="Calibri" w:hAnsi="Calibri" w:cs="Calibri"/>
          <w:i/>
          <w:iCs/>
          <w:sz w:val="24"/>
          <w:szCs w:val="24"/>
        </w:rPr>
        <w:t xml:space="preserve">Existência e Reconhecimento de um Passivo </w:t>
      </w:r>
    </w:p>
    <w:p w14:paraId="47516BF8" w14:textId="79E73E9D"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entidade pode possuir uma obrigação associada à entrada de recursos em decorrência da celebração de uma transação de receita sem acordo vinculante. A obrigação atende à definição de passivo quando constitui uma obrigação presente da entidade de transferir recursos em consequência de eventos passados. </w:t>
      </w:r>
    </w:p>
    <w:p w14:paraId="19A7EDA6" w14:textId="5EC9FB0B"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Para que exista um passivo, é necessário que a entidade não possa evitar a transferência de recursos em decorrência de eventos passados e que a transferência de recursos seja provável. A entidade deve considerar os fatos e circunstâncias relacionados à transação de receita para determinar se a obrigação é exequível e se requer uma transferência incremental de recursos caso a entidade não cumpra sua(s) obrigação(</w:t>
      </w:r>
      <w:proofErr w:type="spellStart"/>
      <w:r w:rsidRPr="00D81CAD">
        <w:rPr>
          <w:rFonts w:ascii="Calibri" w:hAnsi="Calibri" w:cs="Calibri"/>
          <w:b w:val="0"/>
          <w:bCs/>
          <w:sz w:val="24"/>
          <w:szCs w:val="24"/>
        </w:rPr>
        <w:t>ões</w:t>
      </w:r>
      <w:proofErr w:type="spellEnd"/>
      <w:r w:rsidRPr="00D81CAD">
        <w:rPr>
          <w:rFonts w:ascii="Calibri" w:hAnsi="Calibri" w:cs="Calibri"/>
          <w:b w:val="0"/>
          <w:bCs/>
          <w:sz w:val="24"/>
          <w:szCs w:val="24"/>
        </w:rPr>
        <w:t xml:space="preserve">). </w:t>
      </w:r>
    </w:p>
    <w:p w14:paraId="5A54CA00" w14:textId="54DF5E3E"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Uma obrigação que atenda à definição de passivo deve ser reconhecida como passivo quando, e somente quando, o valor da obrigação puder ser mensurado com confiabilidade. </w:t>
      </w:r>
    </w:p>
    <w:p w14:paraId="01D653E5" w14:textId="77777777" w:rsidR="00D81CAD" w:rsidRPr="0088163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88163A">
        <w:rPr>
          <w:rFonts w:ascii="Calibri" w:hAnsi="Calibri" w:cs="Calibri"/>
          <w:i/>
          <w:iCs/>
          <w:sz w:val="24"/>
          <w:szCs w:val="24"/>
        </w:rPr>
        <w:t xml:space="preserve">Reconhecimento de Transações de Receita sem Acordos Vinculantes </w:t>
      </w:r>
    </w:p>
    <w:p w14:paraId="165D2F44" w14:textId="65B00A99"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Quando uma entidade reconhece uma entrada ou um direito à entrada de recursos como ativo em uma transação de receita sem acordo vinculante, de acordo com os itens 18–25, ela reconhece a receita com base na natureza das exigências presentes na transação de receita. A entidade deve reconhecer a receita proveniente de transação sem acordo vinculante: </w:t>
      </w:r>
    </w:p>
    <w:p w14:paraId="0FEB0A97" w14:textId="40E229E6" w:rsidR="00D81CAD" w:rsidRPr="00D81CAD" w:rsidRDefault="00D81CAD" w:rsidP="00C90136">
      <w:pPr>
        <w:pStyle w:val="IASBSectionTitle1NonInd"/>
        <w:numPr>
          <w:ilvl w:val="0"/>
          <w:numId w:val="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quando (ou à medida que) a entidade satisfizer quaisquer obrigações associadas à entrada de recursos que atendam à definição de passivo; ou </w:t>
      </w:r>
    </w:p>
    <w:p w14:paraId="470206E4" w14:textId="54B4F6B1" w:rsidR="00D81CAD" w:rsidRPr="00D81CAD" w:rsidRDefault="00D81CAD" w:rsidP="00C90136">
      <w:pPr>
        <w:pStyle w:val="IASBSectionTitle1NonInd"/>
        <w:numPr>
          <w:ilvl w:val="0"/>
          <w:numId w:val="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imediatamente, caso a entidade não possua obrigação exequível associada à entrada de recursos. </w:t>
      </w:r>
    </w:p>
    <w:p w14:paraId="33CF2FF9"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 xml:space="preserve">Mensuração </w:t>
      </w:r>
    </w:p>
    <w:p w14:paraId="2E702073" w14:textId="77777777" w:rsidR="00D81CAD" w:rsidRPr="0088163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88163A">
        <w:rPr>
          <w:rFonts w:ascii="Calibri" w:hAnsi="Calibri" w:cs="Calibri"/>
          <w:i/>
          <w:iCs/>
          <w:sz w:val="24"/>
          <w:szCs w:val="24"/>
        </w:rPr>
        <w:t xml:space="preserve">Mensuração de Ativos Provenientes de Entrada de Recursos </w:t>
      </w:r>
    </w:p>
    <w:p w14:paraId="1E99B013" w14:textId="275C8A27"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Uma entrada de recursos ou um direito à entrada de recursos que atenda à definição de ativo deve ser inicialmente mensurado pela entidade pelo valor da contraprestação da transação na data em que os critérios de reconhecimento do ativo forem satisfeitos. Para determinar a contraprestação da transação relativa à contraprestação não monetária, a entidade deve mensurar a contraprestação não monetária (ou o direito a uma entrada não monetária) pelo seu valor corrente, de acordo com a NBC TSP aplicável. </w:t>
      </w:r>
    </w:p>
    <w:p w14:paraId="090489A5" w14:textId="63D73FC8" w:rsidR="00D81CAD" w:rsidRPr="00D81CAD" w:rsidRDefault="00D81CAD" w:rsidP="005E2844">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Após o reconhecimento inicial, a entidade deve mensurar subsequentemente: </w:t>
      </w:r>
    </w:p>
    <w:p w14:paraId="0E213006" w14:textId="70593C2F" w:rsidR="00D81CAD" w:rsidRPr="00D81CAD" w:rsidRDefault="00D81CAD" w:rsidP="00C90136">
      <w:pPr>
        <w:pStyle w:val="IASBSectionTitle1NonInd"/>
        <w:numPr>
          <w:ilvl w:val="0"/>
          <w:numId w:val="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um ativo a receber: </w:t>
      </w:r>
    </w:p>
    <w:p w14:paraId="2A3C08AF" w14:textId="47E27B1E" w:rsidR="00D81CAD" w:rsidRPr="00D81CAD" w:rsidRDefault="00D81CAD" w:rsidP="00C90136">
      <w:pPr>
        <w:pStyle w:val="IASBSectionTitle1NonInd"/>
        <w:numPr>
          <w:ilvl w:val="0"/>
          <w:numId w:val="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no alcance da NBC TSP 31, como ativo financeiro, de acordo com a NBC TSP 31; ou</w:t>
      </w:r>
    </w:p>
    <w:p w14:paraId="5C25E562" w14:textId="03759128" w:rsidR="00D81CAD" w:rsidRPr="00D81CAD" w:rsidRDefault="00D81CAD" w:rsidP="00C90136">
      <w:pPr>
        <w:pStyle w:val="IASBSectionTitle1NonInd"/>
        <w:numPr>
          <w:ilvl w:val="0"/>
          <w:numId w:val="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fora do alcance da NBC TSP 31, na mesma base de um ativo financeiro, de acordo com a NBC TSP 31, por analogia.</w:t>
      </w:r>
    </w:p>
    <w:p w14:paraId="34DDC934" w14:textId="4DF119A6" w:rsidR="00D81CAD" w:rsidRPr="00D81CAD" w:rsidRDefault="00D81CAD" w:rsidP="00C90136">
      <w:pPr>
        <w:pStyle w:val="IASBSectionTitle1NonInd"/>
        <w:numPr>
          <w:ilvl w:val="0"/>
          <w:numId w:val="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todos os demais ativos, conforme estabelecido pela NBC TSP aplicável.</w:t>
      </w:r>
    </w:p>
    <w:p w14:paraId="3B7C993F"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 xml:space="preserve">Mensuração de Passivos </w:t>
      </w:r>
    </w:p>
    <w:p w14:paraId="360FD90F" w14:textId="7503C581"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O montante reconhecido como passivo deve ser a melhor estimativa do valor necessário para liquidar a obrigação na data das demonstrações contábeis. Para os fins desta norma, a melhor estimativa de um passivo no reconhecimento inicial limita-se ao valor do ativo associado reconhecido.</w:t>
      </w:r>
    </w:p>
    <w:p w14:paraId="1906DFC1" w14:textId="6B505483"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estimativa deve considerar os riscos e as incertezas que cercam os eventos que deram origem ao reconhecimento do passivo. Quando o valor do dinheiro no tempo for </w:t>
      </w:r>
      <w:r w:rsidR="001D2267" w:rsidRPr="00DA1E98">
        <w:rPr>
          <w:rFonts w:ascii="Calibri" w:hAnsi="Calibri" w:cs="Calibri"/>
          <w:b w:val="0"/>
          <w:bCs/>
          <w:sz w:val="24"/>
          <w:szCs w:val="24"/>
        </w:rPr>
        <w:t>material</w:t>
      </w:r>
      <w:r w:rsidRPr="00DA1E98">
        <w:rPr>
          <w:rFonts w:ascii="Calibri" w:hAnsi="Calibri" w:cs="Calibri"/>
          <w:b w:val="0"/>
          <w:bCs/>
          <w:sz w:val="24"/>
          <w:szCs w:val="24"/>
        </w:rPr>
        <w:t>,</w:t>
      </w:r>
      <w:r w:rsidRPr="00D81CAD">
        <w:rPr>
          <w:rFonts w:ascii="Calibri" w:hAnsi="Calibri" w:cs="Calibri"/>
          <w:b w:val="0"/>
          <w:bCs/>
          <w:sz w:val="24"/>
          <w:szCs w:val="24"/>
        </w:rPr>
        <w:t xml:space="preserve"> o passivo deve ser mensurado pelo valor presente do montante que se espera ser necessário para liquidar a obrigação. Esse requisito está em conformidade com os princípios estabelecidos na NBC TSP 03. </w:t>
      </w:r>
    </w:p>
    <w:p w14:paraId="37C2B7A5"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 xml:space="preserve">Mensuração de Transações de Receita sem Acordos Vinculantes </w:t>
      </w:r>
    </w:p>
    <w:p w14:paraId="440C0830" w14:textId="51DC5F26"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receita proveniente de transações sem um acordo vinculante deve ser mensurada pelo valor do aumento nos ativos líquidos/patrimônio líquido (por exemplo, a contraprestação recebida ou a receber) reconhecido pela entidade. </w:t>
      </w:r>
    </w:p>
    <w:p w14:paraId="1CA2EBB6" w14:textId="28F50CE4"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Quando, em decorrência de uma transação de receita sem acordo vinculante, uma entidade reconhecer um ativo, ela também deverá reconhecer uma receita equivalente ao valor desse ativo mensurado de acordo com o item 30, sujeita a qualquer passivo reconhecido em conformidade com os itens 26 a 28. </w:t>
      </w:r>
    </w:p>
    <w:p w14:paraId="31396987"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Tributos</w:t>
      </w:r>
    </w:p>
    <w:p w14:paraId="029233AB" w14:textId="2AD20D97"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entidade deve reconhecer um ativo relativo a tributos, os quais incluem outras contribuições e encargos compulsórios, quando ocorrer o evento tributável, ou outro evento que dê origem a outras contribuições e encargos compulsórios, e forem atendidos os critérios de reconhecimento do ativo. </w:t>
      </w:r>
    </w:p>
    <w:p w14:paraId="3DD4CF82" w14:textId="7D702001"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As leis e/ou regulamentos tributários podem variar significativamente entre diferentes jurisdições, mas apresentam diversas características comuns. As leis e/ou regulamentos tributários (a) estabelecem o direito do governo de arrecadar o tributo; (b) identificam a base sobre a qual o tributo é calculado; e (c) estabelecem os procedimentos para administrar o tributo, isto é, os procedimentos para calcular o tributo a receber e assegurar o seu recolhimento. As leis e/ou regulamentos tributários frequentemente exigem que os contribuintes apresentem declarações periódicas ao órgão governamental responsável pela administração de determinado tributo. Em geral, o contribuinte fornece informações e evidências sobre o nível da atividade sujeita à tributação, e o montante do tributo a receber pelo governo é calculado. Os procedimentos para o recolhimento dos tributos variam amplamente, mas normalmente são concebidos para assegurar que o governo receba os pagamentos de forma regular, sem necessidade de recorrer a medidas judiciais. As leis e/ou regulamentos tributários costumam ser rigorosamente aplicados e frequentemente impõem penalidades severas a </w:t>
      </w:r>
      <w:r w:rsidR="00476ADB" w:rsidRPr="000B3511">
        <w:rPr>
          <w:rFonts w:ascii="Calibri" w:hAnsi="Calibri" w:cs="Calibri"/>
          <w:b w:val="0"/>
          <w:bCs/>
          <w:sz w:val="24"/>
          <w:szCs w:val="24"/>
        </w:rPr>
        <w:t>indivíduos</w:t>
      </w:r>
      <w:r w:rsidR="00476ADB">
        <w:rPr>
          <w:rFonts w:ascii="Calibri" w:hAnsi="Calibri" w:cs="Calibri"/>
          <w:b w:val="0"/>
          <w:bCs/>
          <w:sz w:val="24"/>
          <w:szCs w:val="24"/>
        </w:rPr>
        <w:t xml:space="preserve"> </w:t>
      </w:r>
      <w:r w:rsidRPr="00D81CAD">
        <w:rPr>
          <w:rFonts w:ascii="Calibri" w:hAnsi="Calibri" w:cs="Calibri"/>
          <w:b w:val="0"/>
          <w:bCs/>
          <w:sz w:val="24"/>
          <w:szCs w:val="24"/>
        </w:rPr>
        <w:t xml:space="preserve">ou outras entidades que descumpram a legislação. </w:t>
      </w:r>
    </w:p>
    <w:p w14:paraId="28298466" w14:textId="2BF3436D"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 xml:space="preserve">Os recursos decorrentes de tributos satisfazem a definição de ativo quando a entidade controla esses recursos em decorrência de eventos passados (eventos tributáveis) e espera obter benefícios econômicos futuros ou potencial de serviços desses recursos. Os recursos decorrentes de tributos satisfazem os critérios para reconhecimento como ativo quando estão atualmente sob o controle da entidade em decorrência de eventos passados e seu valor pode ser mensurado com confiabilidade. A entidade deve considerar as evidências disponíveis na data do reconhecimento inicial, as quais incluem, entre outras, a evidenciação do evento tributável pelo contribuinte. </w:t>
      </w:r>
    </w:p>
    <w:p w14:paraId="5BC90330" w14:textId="4D268A18"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 receita tributária surge apenas para o governo que institui o tributo, e não para outras entidades. Por exemplo, quando o governo nacional institui um tributo que é arrecadado por sua administração tributária, os ativos e as receitas pertencem ao governo, e não à administração tributária. Além disso, quando um governo nacional institui um tributo sobre vendas cujo produto integral é transferido aos governos estaduais com base em uma autorização orçamentária permanente, o governo nacional reconhece os ativos e a receita relativos ao tributo, bem como uma redução de ativos e uma despesa relativa à transferência para os governos estaduais. Os governos estaduais reconhecerão ativos e receita relativos à transferência. Quando uma única entidade arrecada tributos em nome de diversas outras entidades, ela atua como agente de todas elas. Por exemplo, quando uma administração tributária estadual arrecada tributos sobre a renda para o governo estadual e para diversos governos municipais, ela não reconhece receita em relação aos tributos arrecadados; em vez disso, os governos que instituem os tributos reconhecem os ativos e a receita correspondentes aos tributos.</w:t>
      </w:r>
    </w:p>
    <w:p w14:paraId="2022CE6F" w14:textId="11A6A2E3"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Os tributos não satisfazem a definição de contribuições dos proprietários, porque o pagamento de tributos não confere aos contribuintes o direito de receber: (a) distribuições de benefícios econômicos futuros ou de potencial de serviços pela entidade durante sua existência; nem (b) a distribuição de qualquer excedente de ativos sobre passivos no caso de extinção do governo. Tampouco o pagamento de tributos confere aos contribuintes um direito de propriedade sobre o governo que possa ser vendido, trocado, transferido ou resgatado. </w:t>
      </w:r>
    </w:p>
    <w:p w14:paraId="725630BE" w14:textId="31BDEDD1"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Os tributos constituem uma transação sem acordo vinculante, porque o contribuinte transfere recursos ao governo e este não é obrigado a transferir bens ou serviços distintos ao contribuinte ou a um terceiro beneficiário em contrapartida. Embora o contribuinte possa se beneficiar de diversas políticas sociais estabelecidas pelo governo, ele não tem controle sobre quais benefícios receberá em decorrência do pagamento dos tributos. </w:t>
      </w:r>
    </w:p>
    <w:p w14:paraId="6F98E09B" w14:textId="77777777" w:rsidR="00D81CAD" w:rsidRPr="0088163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88163A">
        <w:rPr>
          <w:rFonts w:ascii="Calibri" w:hAnsi="Calibri" w:cs="Calibri"/>
          <w:i/>
          <w:iCs/>
          <w:sz w:val="24"/>
          <w:szCs w:val="24"/>
        </w:rPr>
        <w:t xml:space="preserve">Fato Gerador de Tributos e de Outras Contribuições e Encargos Compulsórios </w:t>
      </w:r>
    </w:p>
    <w:p w14:paraId="56ED969D" w14:textId="1ED04939"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Tipos semelhantes de tributos são cobrados em muitas jurisdições. A entidade analisa a legislação tributária de sua própria jurisdição para determinar qual é o evento tributável dos diversos tributos cobrados. </w:t>
      </w:r>
    </w:p>
    <w:p w14:paraId="73B7EC0F" w14:textId="00832FE8"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 xml:space="preserve">Tipos semelhantes de outras contribuições e encargos compulsórios ocorrem em muitas jurisdições. A entidade analisa a legislação e/ou regulamentação relativa às outras contribuições e encargos compulsórios em sua própria jurisdição para determinar qual evento o governo, o poder legislativo ou outra autoridade definiu como aquele que resultará na obrigação de recolher a contribuição ou o encargo compulsório. Exemplos desses eventos incluem: </w:t>
      </w:r>
    </w:p>
    <w:p w14:paraId="71E7F248" w14:textId="0E1A45A2" w:rsidR="00D81CAD" w:rsidRPr="00D81CAD" w:rsidRDefault="00D81CAD" w:rsidP="00CE0648">
      <w:pPr>
        <w:pStyle w:val="IASBSectionTitle1NonInd"/>
        <w:numPr>
          <w:ilvl w:val="1"/>
          <w:numId w:val="8"/>
        </w:numPr>
        <w:pBdr>
          <w:bottom w:val="none" w:sz="0" w:space="0" w:color="auto"/>
        </w:pBdr>
        <w:spacing w:before="100" w:after="240"/>
        <w:ind w:hanging="11"/>
        <w:jc w:val="both"/>
        <w:rPr>
          <w:rFonts w:ascii="Calibri" w:hAnsi="Calibri" w:cs="Calibri"/>
          <w:b w:val="0"/>
          <w:bCs/>
          <w:sz w:val="24"/>
          <w:szCs w:val="24"/>
        </w:rPr>
      </w:pPr>
      <w:r w:rsidRPr="00D81CAD">
        <w:rPr>
          <w:rFonts w:ascii="Calibri" w:hAnsi="Calibri" w:cs="Calibri"/>
          <w:b w:val="0"/>
          <w:bCs/>
          <w:sz w:val="24"/>
          <w:szCs w:val="24"/>
        </w:rPr>
        <w:t>a obtenção de renda (quando outras contribuições compulsórias são baseadas em rendimentos, por exemplo, contribuições compulsórias relacionadas a benefícios de desemprego calculadas como um percentual da renda auferida);</w:t>
      </w:r>
    </w:p>
    <w:p w14:paraId="3600797B" w14:textId="28894491" w:rsidR="00D81CAD" w:rsidRPr="00D81CAD" w:rsidRDefault="00D81CAD" w:rsidP="00CE0648">
      <w:pPr>
        <w:pStyle w:val="IASBSectionTitle1NonInd"/>
        <w:numPr>
          <w:ilvl w:val="1"/>
          <w:numId w:val="8"/>
        </w:numPr>
        <w:pBdr>
          <w:bottom w:val="none" w:sz="0" w:space="0" w:color="auto"/>
        </w:pBdr>
        <w:spacing w:before="100" w:after="240"/>
        <w:ind w:hanging="11"/>
        <w:jc w:val="both"/>
        <w:rPr>
          <w:rFonts w:ascii="Calibri" w:hAnsi="Calibri" w:cs="Calibri"/>
          <w:b w:val="0"/>
          <w:bCs/>
          <w:sz w:val="24"/>
          <w:szCs w:val="24"/>
        </w:rPr>
      </w:pPr>
      <w:r w:rsidRPr="00D81CAD">
        <w:rPr>
          <w:rFonts w:ascii="Calibri" w:hAnsi="Calibri" w:cs="Calibri"/>
          <w:b w:val="0"/>
          <w:bCs/>
          <w:sz w:val="24"/>
          <w:szCs w:val="24"/>
        </w:rPr>
        <w:t>a passagem do tempo (quando outras contribuições compulsórias destinadas a um benefício social são baseadas no decurso do tempo, como, por exemplo, pagamentos mensais); e</w:t>
      </w:r>
    </w:p>
    <w:p w14:paraId="4B41282B" w14:textId="351831BD" w:rsidR="00D81CAD" w:rsidRPr="00D81CAD" w:rsidRDefault="00D81CAD" w:rsidP="00CE0648">
      <w:pPr>
        <w:pStyle w:val="IASBSectionTitle1NonInd"/>
        <w:numPr>
          <w:ilvl w:val="1"/>
          <w:numId w:val="8"/>
        </w:numPr>
        <w:pBdr>
          <w:bottom w:val="none" w:sz="0" w:space="0" w:color="auto"/>
        </w:pBdr>
        <w:spacing w:before="100" w:after="240"/>
        <w:ind w:hanging="11"/>
        <w:jc w:val="both"/>
        <w:rPr>
          <w:rFonts w:ascii="Calibri" w:hAnsi="Calibri" w:cs="Calibri"/>
          <w:b w:val="0"/>
          <w:bCs/>
          <w:sz w:val="24"/>
          <w:szCs w:val="24"/>
        </w:rPr>
      </w:pPr>
      <w:r w:rsidRPr="00D81CAD">
        <w:rPr>
          <w:rFonts w:ascii="Calibri" w:hAnsi="Calibri" w:cs="Calibri"/>
          <w:b w:val="0"/>
          <w:bCs/>
          <w:sz w:val="24"/>
          <w:szCs w:val="24"/>
        </w:rPr>
        <w:t>a aquisição de bens ou serviços (quando os encargos compulsórios são calculados como um percentual das vendas ou prestação de serviços, por exemplo, os encargos setoriais sobre faturas de energia elétrica.</w:t>
      </w:r>
    </w:p>
    <w:p w14:paraId="1DAED436" w14:textId="77777777" w:rsidR="00D81CAD" w:rsidRPr="0088163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88163A">
        <w:rPr>
          <w:rFonts w:ascii="Calibri" w:hAnsi="Calibri" w:cs="Calibri"/>
          <w:i/>
          <w:iCs/>
          <w:sz w:val="24"/>
          <w:szCs w:val="24"/>
        </w:rPr>
        <w:t xml:space="preserve">Recebimentos Antecipados de Tributos, Outras Contribuições e Encargos Compulsórios </w:t>
      </w:r>
    </w:p>
    <w:p w14:paraId="570FE63F" w14:textId="4F887238"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Recebimentos antecipados, correspondentes a valores recebidos antes da ocorrência do evento tributável, também podem surgir em relação aos tributos. Em consonância com as definições de ativo e passivo e com os requisitos do item 36, os recursos relativos a tributos e a outras contribuições e encargos compulsórios recebidos antes da ocorrência do fato gerador dessas contribuições e encargos são reconhecidos como um ativo e um passivo (</w:t>
      </w:r>
      <w:r w:rsidRPr="00933D9C">
        <w:rPr>
          <w:rFonts w:ascii="Calibri" w:hAnsi="Calibri" w:cs="Calibri"/>
          <w:b w:val="0"/>
          <w:bCs/>
          <w:sz w:val="24"/>
          <w:szCs w:val="24"/>
        </w:rPr>
        <w:t>recebimentos antecipados</w:t>
      </w:r>
      <w:r w:rsidRPr="00D81CAD">
        <w:rPr>
          <w:rFonts w:ascii="Calibri" w:hAnsi="Calibri" w:cs="Calibri"/>
          <w:b w:val="0"/>
          <w:bCs/>
          <w:sz w:val="24"/>
          <w:szCs w:val="24"/>
        </w:rPr>
        <w:t xml:space="preserve">), porque: (a) o evento que dá origem ao direito da entidade aos tributos e às outras contribuições e encargos compulsórios ainda não ocorreu; e (b) os critérios para o reconhecimento da receita tributária ou da receita proveniente de outras contribuições e encargos compulsórios ainda não foram satisfeitos, não obstante a entidade já ter recebido uma entrada de recursos. Os recebimentos antecipados relativos a tributos e a outras contribuições e encargos compulsórios não são essencialmente diferentes dos demais recebimentos antecipados, razão pela qual o passivo é reconhecido até que ocorra o fato gerador das outras contribuições e encargos compulsórios. Quando ocorrer o fato gerador das outras contribuições e encargos compulsórios, o passivo deve ser </w:t>
      </w:r>
      <w:proofErr w:type="spellStart"/>
      <w:r w:rsidR="00A32D72">
        <w:rPr>
          <w:rFonts w:ascii="Calibri" w:hAnsi="Calibri" w:cs="Calibri"/>
          <w:b w:val="0"/>
          <w:bCs/>
          <w:sz w:val="24"/>
          <w:szCs w:val="24"/>
        </w:rPr>
        <w:t>desreconhecido</w:t>
      </w:r>
      <w:proofErr w:type="spellEnd"/>
      <w:r w:rsidR="00A32D72">
        <w:rPr>
          <w:rFonts w:ascii="Calibri" w:hAnsi="Calibri" w:cs="Calibri"/>
          <w:b w:val="0"/>
          <w:bCs/>
          <w:sz w:val="24"/>
          <w:szCs w:val="24"/>
        </w:rPr>
        <w:t xml:space="preserve"> </w:t>
      </w:r>
      <w:r w:rsidRPr="00D81CAD">
        <w:rPr>
          <w:rFonts w:ascii="Calibri" w:hAnsi="Calibri" w:cs="Calibri"/>
          <w:b w:val="0"/>
          <w:bCs/>
          <w:sz w:val="24"/>
          <w:szCs w:val="24"/>
        </w:rPr>
        <w:t xml:space="preserve">e a receita, reconhecida. </w:t>
      </w:r>
    </w:p>
    <w:p w14:paraId="1800D56F" w14:textId="77777777" w:rsidR="00D81CAD" w:rsidRPr="0088163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88163A">
        <w:rPr>
          <w:rFonts w:ascii="Calibri" w:hAnsi="Calibri" w:cs="Calibri"/>
          <w:i/>
          <w:iCs/>
          <w:sz w:val="24"/>
          <w:szCs w:val="24"/>
        </w:rPr>
        <w:t xml:space="preserve">Mensuração de Ativos Decorrentes de Transações Tributárias </w:t>
      </w:r>
    </w:p>
    <w:p w14:paraId="7308AEEE" w14:textId="4634D228"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Os ativos decorrentes de transações tributárias são mensurados de acordo com o item 30. A entidade deve considerar os termos da transação e suas práticas habituais para determinar a contraprestação da transação. Os ativos decorrentes de transações tributárias são mensurados pela melhor estimativa da entrada de recursos para a entidade, a qual é consistente com o valor mais provável (isto é, o valor ou resultado individual mais provável dentro de uma faixa de valores possíveis de contraprestação). As políticas contábeis para estimar esses ativos devem levar em consideração tanto a probabilidade de que os recursos decorrentes das transações tributárias fluam para o governo quanto o valor justo dos ativos resultantes.</w:t>
      </w:r>
    </w:p>
    <w:p w14:paraId="2F2BD5BA" w14:textId="24F1F61B"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Quando houver um intervalo de tempo entre a ocorrência do evento tributável e a arrecadação dos tributos, as entidades do setor público podem mensurar os ativos decorrentes dessas transações utilizando, por exemplo, modelos estatísticos baseados no histórico de arrecadação do tributo, da contribuição ou do encargo compulsório específico em períodos anteriores. Esses modelos devem considerar o momento dos recebimentos de caixa dos contribuintes, as declarações apresentadas pelos contribuintes e a relação entre os tributos, contribuições ou encargos compulsórios a receber e outros eventos da economia. Os modelos de mensuração também devem considerar outros fatores, tais como:</w:t>
      </w:r>
    </w:p>
    <w:p w14:paraId="50D5F02F" w14:textId="386E606F" w:rsidR="00D81CAD" w:rsidRPr="00D81CAD" w:rsidRDefault="00D81CAD" w:rsidP="00CE0648">
      <w:pPr>
        <w:pStyle w:val="IASBSectionTitle1NonInd"/>
        <w:numPr>
          <w:ilvl w:val="1"/>
          <w:numId w:val="9"/>
        </w:numPr>
        <w:pBdr>
          <w:bottom w:val="none" w:sz="0" w:space="0" w:color="auto"/>
        </w:pBdr>
        <w:spacing w:before="100" w:after="240"/>
        <w:ind w:firstLine="131"/>
        <w:jc w:val="both"/>
        <w:rPr>
          <w:rFonts w:ascii="Calibri" w:hAnsi="Calibri" w:cs="Calibri"/>
          <w:b w:val="0"/>
          <w:bCs/>
          <w:sz w:val="24"/>
          <w:szCs w:val="24"/>
        </w:rPr>
      </w:pPr>
      <w:r w:rsidRPr="00D81CAD">
        <w:rPr>
          <w:rFonts w:ascii="Calibri" w:hAnsi="Calibri" w:cs="Calibri"/>
          <w:b w:val="0"/>
          <w:bCs/>
          <w:sz w:val="24"/>
          <w:szCs w:val="24"/>
        </w:rPr>
        <w:t>a legislação tributária e/ou regulamentação que permita aos contribuintes prazo mais longo para apresentar declarações do que o prazo disponível ao governo para divulgar suas demonstrações contábeis de propósito geral;</w:t>
      </w:r>
    </w:p>
    <w:p w14:paraId="3A6C1B35" w14:textId="7D764C46" w:rsidR="00D81CAD" w:rsidRPr="00D81CAD" w:rsidRDefault="00D81CAD" w:rsidP="00CE0648">
      <w:pPr>
        <w:pStyle w:val="IASBSectionTitle1NonInd"/>
        <w:numPr>
          <w:ilvl w:val="1"/>
          <w:numId w:val="9"/>
        </w:numPr>
        <w:pBdr>
          <w:bottom w:val="none" w:sz="0" w:space="0" w:color="auto"/>
        </w:pBdr>
        <w:spacing w:before="100" w:after="240"/>
        <w:ind w:firstLine="131"/>
        <w:jc w:val="both"/>
        <w:rPr>
          <w:rFonts w:ascii="Calibri" w:hAnsi="Calibri" w:cs="Calibri"/>
          <w:b w:val="0"/>
          <w:bCs/>
          <w:sz w:val="24"/>
          <w:szCs w:val="24"/>
        </w:rPr>
      </w:pPr>
      <w:r w:rsidRPr="00D81CAD">
        <w:rPr>
          <w:rFonts w:ascii="Calibri" w:hAnsi="Calibri" w:cs="Calibri"/>
          <w:b w:val="0"/>
          <w:bCs/>
          <w:sz w:val="24"/>
          <w:szCs w:val="24"/>
        </w:rPr>
        <w:t>o descumprimento, pelos contribuintes, dos prazos para apresentação de declarações;</w:t>
      </w:r>
    </w:p>
    <w:p w14:paraId="605C9BD1" w14:textId="3E592459" w:rsidR="00D81CAD" w:rsidRPr="00D81CAD" w:rsidRDefault="00D81CAD" w:rsidP="00CE0648">
      <w:pPr>
        <w:pStyle w:val="IASBSectionTitle1NonInd"/>
        <w:numPr>
          <w:ilvl w:val="1"/>
          <w:numId w:val="9"/>
        </w:numPr>
        <w:pBdr>
          <w:bottom w:val="none" w:sz="0" w:space="0" w:color="auto"/>
        </w:pBdr>
        <w:spacing w:before="100" w:after="240"/>
        <w:ind w:firstLine="131"/>
        <w:jc w:val="both"/>
        <w:rPr>
          <w:rFonts w:ascii="Calibri" w:hAnsi="Calibri" w:cs="Calibri"/>
          <w:b w:val="0"/>
          <w:bCs/>
          <w:sz w:val="24"/>
          <w:szCs w:val="24"/>
        </w:rPr>
      </w:pPr>
      <w:proofErr w:type="spellStart"/>
      <w:r w:rsidRPr="00D81CAD">
        <w:rPr>
          <w:rFonts w:ascii="Calibri" w:hAnsi="Calibri" w:cs="Calibri"/>
          <w:b w:val="0"/>
          <w:bCs/>
          <w:sz w:val="24"/>
          <w:szCs w:val="24"/>
        </w:rPr>
        <w:t>a</w:t>
      </w:r>
      <w:proofErr w:type="spellEnd"/>
      <w:r w:rsidRPr="00D81CAD">
        <w:rPr>
          <w:rFonts w:ascii="Calibri" w:hAnsi="Calibri" w:cs="Calibri"/>
          <w:b w:val="0"/>
          <w:bCs/>
          <w:sz w:val="24"/>
          <w:szCs w:val="24"/>
        </w:rPr>
        <w:t xml:space="preserve"> avaliação de ativos não monetários para fins de apuração tributária;</w:t>
      </w:r>
    </w:p>
    <w:p w14:paraId="5BD2796A" w14:textId="7CD43B2D" w:rsidR="00D81CAD" w:rsidRPr="00D81CAD" w:rsidRDefault="00D81CAD" w:rsidP="00C90136">
      <w:pPr>
        <w:pStyle w:val="IASBSectionTitle1NonInd"/>
        <w:numPr>
          <w:ilvl w:val="1"/>
          <w:numId w:val="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complexidade da legislação tributária e/ou regulamentação que exija períodos mais longos para apuração dos tributos devidos por determinados contribuintes;</w:t>
      </w:r>
    </w:p>
    <w:p w14:paraId="3488C534" w14:textId="74EF2D2C" w:rsidR="00D81CAD" w:rsidRPr="00D81CAD" w:rsidRDefault="00D81CAD" w:rsidP="00C90136">
      <w:pPr>
        <w:pStyle w:val="IASBSectionTitle1NonInd"/>
        <w:numPr>
          <w:ilvl w:val="1"/>
          <w:numId w:val="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possibilidade de que os custos financeiros e políticos da aplicação rigorosa da legislação tributária e/ou regulamentação (ou da legislação e/ou regulamentação relativa a outras contribuições compulsórias e encargos compulsórios) e da cobrança integral dos tributos, contribuições e encargos legalmente devidos ao governo superem os benefícios obtidos;</w:t>
      </w:r>
    </w:p>
    <w:p w14:paraId="7E0232BB" w14:textId="16A4ECB2" w:rsidR="00D81CAD" w:rsidRPr="00D81CAD" w:rsidRDefault="00D81CAD" w:rsidP="00C90136">
      <w:pPr>
        <w:pStyle w:val="IASBSectionTitle1NonInd"/>
        <w:numPr>
          <w:ilvl w:val="1"/>
          <w:numId w:val="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legislação tributária e/ou regulamentação que permita aos contribuintes diferir o pagamento de determinados tributos; e</w:t>
      </w:r>
    </w:p>
    <w:p w14:paraId="35611DC8" w14:textId="501917F1" w:rsidR="00D81CAD" w:rsidRPr="00D81CAD" w:rsidRDefault="00D81CAD" w:rsidP="00C90136">
      <w:pPr>
        <w:pStyle w:val="IASBSectionTitle1NonInd"/>
        <w:numPr>
          <w:ilvl w:val="1"/>
          <w:numId w:val="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diversas circunstâncias específicas a cada tributo e jurisdição.</w:t>
      </w:r>
    </w:p>
    <w:p w14:paraId="0F6C97E3" w14:textId="4969D9BE"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 mensuração de ativos e receitas decorrentes de transações tributárias por meio de modelos estatísticos pode fazer com que o montante estimado e efetivamente reconhecido de ativos e receitas seja diferente do montante apurado em períodos subsequentes a que se referem as demonstrações contábeis. As revisões de estimativas são realizadas de acordo com a NBC TSP 23 – Políticas Contábeis, Mudança de Estimativa e Retificação de Erro.</w:t>
      </w:r>
    </w:p>
    <w:p w14:paraId="05DCE012" w14:textId="6035D665"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lastRenderedPageBreak/>
        <w:t xml:space="preserve">Em alguns casos, os ativos decorrentes de transações tributárias não podem ser mensurados </w:t>
      </w:r>
      <w:r w:rsidR="0013568F" w:rsidRPr="00DA1E98">
        <w:rPr>
          <w:rFonts w:ascii="Calibri" w:hAnsi="Calibri" w:cs="Calibri"/>
          <w:b w:val="0"/>
          <w:bCs/>
          <w:sz w:val="24"/>
          <w:szCs w:val="24"/>
        </w:rPr>
        <w:t xml:space="preserve">confiavelmente </w:t>
      </w:r>
      <w:r w:rsidRPr="00DA1E98">
        <w:rPr>
          <w:rFonts w:ascii="Calibri" w:hAnsi="Calibri" w:cs="Calibri"/>
          <w:b w:val="0"/>
          <w:bCs/>
          <w:sz w:val="24"/>
          <w:szCs w:val="24"/>
        </w:rPr>
        <w:t xml:space="preserve">até algum tempo após a ocorrência do evento tributável. Isso pode ocorrer quando a base tributária é volátil e não é possível realizar uma estimativa confiável. Em muitos casos, os ativos e as receitas podem ser reconhecidos no período subsequente à ocorrência do evento tributável. Contudo, em circunstâncias excepcionais, vários períodos a que se referem as demonstrações contábeis podem transcorrer antes que um evento tributável resulte no reconhecimento de um ativo. Podem ser necessários vários anos para determinar e mensurar de </w:t>
      </w:r>
      <w:r w:rsidR="0013568F" w:rsidRPr="00DA1E98">
        <w:rPr>
          <w:rFonts w:ascii="Calibri" w:hAnsi="Calibri" w:cs="Calibri"/>
          <w:b w:val="0"/>
          <w:bCs/>
          <w:sz w:val="24"/>
          <w:szCs w:val="24"/>
        </w:rPr>
        <w:t xml:space="preserve">confiavelmente </w:t>
      </w:r>
      <w:r w:rsidRPr="00DA1E98">
        <w:rPr>
          <w:rFonts w:ascii="Calibri" w:hAnsi="Calibri" w:cs="Calibri"/>
          <w:b w:val="0"/>
          <w:bCs/>
          <w:sz w:val="24"/>
          <w:szCs w:val="24"/>
        </w:rPr>
        <w:t>o valor do tributo sobre herança devido em relação ao espólio, por exemplo, quando esse patrimônio inclui antiguidades</w:t>
      </w:r>
      <w:r w:rsidRPr="00D81CAD">
        <w:rPr>
          <w:rFonts w:ascii="Calibri" w:hAnsi="Calibri" w:cs="Calibri"/>
          <w:b w:val="0"/>
          <w:bCs/>
          <w:sz w:val="24"/>
          <w:szCs w:val="24"/>
        </w:rPr>
        <w:t xml:space="preserve"> e obras de arte de elevado valor, que exigem avaliações especializadas. Consequentemente, os critérios de reconhecimento podem não ser satisfeitos até que o pagamento seja recebido ou se torne recebível.</w:t>
      </w:r>
    </w:p>
    <w:p w14:paraId="056CEF6E" w14:textId="77777777" w:rsidR="00D81CAD" w:rsidRPr="0088163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88163A">
        <w:rPr>
          <w:rFonts w:ascii="Calibri" w:hAnsi="Calibri" w:cs="Calibri"/>
          <w:i/>
          <w:iCs/>
          <w:sz w:val="24"/>
          <w:szCs w:val="24"/>
        </w:rPr>
        <w:t xml:space="preserve">Mensuração de Tributos com Incerteza na Arrecadação </w:t>
      </w:r>
    </w:p>
    <w:p w14:paraId="3F29FFD1" w14:textId="3303209D"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mensuração dos ativos decorrentes de transações tributárias é limitada ao montante para o qual seja </w:t>
      </w:r>
      <w:r w:rsidRPr="00933D9C">
        <w:rPr>
          <w:rFonts w:ascii="Calibri" w:hAnsi="Calibri" w:cs="Calibri"/>
          <w:b w:val="0"/>
          <w:bCs/>
          <w:sz w:val="24"/>
          <w:szCs w:val="24"/>
        </w:rPr>
        <w:t>altamente provável</w:t>
      </w:r>
      <w:r w:rsidRPr="00D81CAD">
        <w:rPr>
          <w:rFonts w:ascii="Calibri" w:hAnsi="Calibri" w:cs="Calibri"/>
          <w:b w:val="0"/>
          <w:bCs/>
          <w:sz w:val="24"/>
          <w:szCs w:val="24"/>
        </w:rPr>
        <w:t xml:space="preserve"> que não ocorra uma reversão significativa da receita acumulada reconhecida quando a incerteza associada à contraprestação variável for posteriormente resolvida.</w:t>
      </w:r>
    </w:p>
    <w:p w14:paraId="5F8CACA3" w14:textId="55C18C70"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Ao avaliar se é altamente provável que não ocorra uma reversão significativa do montante da receita acumulada reconhecida quando a incerteza relacionada à contraprestação variável for posteriormente resolvida, a entidade deve considerar tanto a probabilidade quanto a magnitude da reversão da receita. Os fatores que podem aumentar a probabilidade ou a magnitude de uma reversão da receita incluem, mas não se limitam, aos seguintes:</w:t>
      </w:r>
    </w:p>
    <w:p w14:paraId="32C7D0B1" w14:textId="336A49B1" w:rsidR="00D81CAD" w:rsidRPr="00D81CAD" w:rsidRDefault="00D81CAD" w:rsidP="00C90136">
      <w:pPr>
        <w:pStyle w:val="IASBSectionTitle1NonInd"/>
        <w:numPr>
          <w:ilvl w:val="1"/>
          <w:numId w:val="1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valor da contraprestação é altamente suscetível a fatores fora da influência da entidade. Esses fatores podem incluir a volatilidade de um mercado ou o julgamento ou as ações de terceiros.</w:t>
      </w:r>
    </w:p>
    <w:p w14:paraId="369DEA39" w14:textId="0F99E585" w:rsidR="00D81CAD" w:rsidRPr="00547071" w:rsidRDefault="00D81CAD" w:rsidP="00C90136">
      <w:pPr>
        <w:pStyle w:val="IASBSectionTitle1NonInd"/>
        <w:numPr>
          <w:ilvl w:val="1"/>
          <w:numId w:val="10"/>
        </w:numPr>
        <w:pBdr>
          <w:bottom w:val="none" w:sz="0" w:space="0" w:color="auto"/>
        </w:pBdr>
        <w:spacing w:before="100" w:after="240"/>
        <w:jc w:val="both"/>
        <w:rPr>
          <w:rFonts w:ascii="Calibri" w:hAnsi="Calibri" w:cs="Calibri"/>
          <w:b w:val="0"/>
          <w:bCs/>
          <w:sz w:val="24"/>
          <w:szCs w:val="24"/>
        </w:rPr>
      </w:pPr>
      <w:r w:rsidRPr="00547071">
        <w:rPr>
          <w:rFonts w:ascii="Calibri" w:hAnsi="Calibri" w:cs="Calibri"/>
          <w:b w:val="0"/>
          <w:bCs/>
          <w:sz w:val="24"/>
          <w:szCs w:val="24"/>
        </w:rPr>
        <w:t>não se espera que a incerteza quanto ao valor da contraprestação seja resolvida em curto prazo. Essa incerteza pode decorrer do fato de o valor ser determinado em período posterior ao da ocorrência do evento que dá origem à obrigação.</w:t>
      </w:r>
    </w:p>
    <w:p w14:paraId="632F50F7" w14:textId="1E06C71B" w:rsidR="00D81CAD" w:rsidRPr="00D81CAD" w:rsidRDefault="00D81CAD" w:rsidP="00C90136">
      <w:pPr>
        <w:pStyle w:val="IASBSectionTitle1NonInd"/>
        <w:numPr>
          <w:ilvl w:val="1"/>
          <w:numId w:val="1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experiência da entidade (ou outras evidências) com tipos semelhantes de acordos é limitada, ou essa experiência (ou outras evidências) possui valor preditivo limitado.</w:t>
      </w:r>
    </w:p>
    <w:p w14:paraId="2941FFC7" w14:textId="05111B99" w:rsidR="00D81CAD" w:rsidRPr="00D81CAD" w:rsidRDefault="00D81CAD" w:rsidP="00C90136">
      <w:pPr>
        <w:pStyle w:val="IASBSectionTitle1NonInd"/>
        <w:numPr>
          <w:ilvl w:val="1"/>
          <w:numId w:val="1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possui a prática de conceder uma ampla gama de concessões de preço ou de alterar os termos e condições de pagamento de acordos semelhantes em circunstâncias similares.</w:t>
      </w:r>
    </w:p>
    <w:p w14:paraId="63FE4C48" w14:textId="7C5C6650" w:rsidR="00D81CAD" w:rsidRPr="00D81CAD" w:rsidRDefault="00D81CAD" w:rsidP="00C90136">
      <w:pPr>
        <w:pStyle w:val="IASBSectionTitle1NonInd"/>
        <w:numPr>
          <w:ilvl w:val="1"/>
          <w:numId w:val="1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transação apresenta um grande número e uma ampla faixa de valores possíveis de contraprestação.</w:t>
      </w:r>
    </w:p>
    <w:p w14:paraId="2DC161F0" w14:textId="77777777" w:rsidR="00D81CAD" w:rsidRPr="0088163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88163A">
        <w:rPr>
          <w:rFonts w:ascii="Calibri" w:hAnsi="Calibri" w:cs="Calibri"/>
          <w:i/>
          <w:iCs/>
          <w:sz w:val="24"/>
          <w:szCs w:val="24"/>
        </w:rPr>
        <w:t xml:space="preserve">Despesas Pagas por Meio do Sistema Tributário e Gastos Tributários </w:t>
      </w:r>
    </w:p>
    <w:p w14:paraId="6ED710B9" w14:textId="3826014C"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 xml:space="preserve">A receita tributária deve ser determinada pelo seu valor bruto. Ela não deve ser reduzida pelas despesas pagas por meio do sistema tributário. </w:t>
      </w:r>
    </w:p>
    <w:p w14:paraId="4BA96F8F" w14:textId="5DECCE33"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Em algumas situações o governo pode utilizar o sistema tributário como um meio para pagar aos contribuintes benefícios que, de outra forma, seriam pagos por meio de outro mecanismo de pagamento, como a entrega de voucher, o depósito direto do valor em conta bancária do contribuinte ou a liquidação de outra obrigação em nome do contribuinte. Nesses casos, o valor é devido independentemente de o indivíduo pagar tributos. Consequentemente, esse valor constitui uma despesa do governo e deve ser reconhecido separadamente na demonstração do resultado. A receita tributária deve ser acrescida do montante de quaisquer dessas despesas pagas por meio do sistema tributário.</w:t>
      </w:r>
    </w:p>
    <w:p w14:paraId="5DDC00C7" w14:textId="26ED2F0D"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receita tributária não deve ser aumentada para incluir o montante dos gastos tributários. </w:t>
      </w:r>
    </w:p>
    <w:p w14:paraId="1CA694C8" w14:textId="3FD40EC3" w:rsidR="0088163A"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Os governos utilizam o sistema tributário para incentivar certos comportamentos financeiros e desencorajar outros. Por exemplo, em algumas situações, o governo permite que que os contribuintes deduzam os gastos com saúde da base de cálculo</w:t>
      </w:r>
      <w:r w:rsidR="0088163A">
        <w:rPr>
          <w:rFonts w:ascii="Calibri" w:hAnsi="Calibri" w:cs="Calibri"/>
          <w:b w:val="0"/>
          <w:bCs/>
          <w:sz w:val="24"/>
          <w:szCs w:val="24"/>
        </w:rPr>
        <w:t xml:space="preserve"> </w:t>
      </w:r>
      <w:r w:rsidRPr="00D81CAD">
        <w:rPr>
          <w:rFonts w:ascii="Calibri" w:hAnsi="Calibri" w:cs="Calibri"/>
          <w:b w:val="0"/>
          <w:bCs/>
          <w:sz w:val="24"/>
          <w:szCs w:val="24"/>
        </w:rPr>
        <w:t>da tributação sobre a renda.</w:t>
      </w:r>
    </w:p>
    <w:p w14:paraId="7408CB3A" w14:textId="3DA68AF5"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Esses tipos de benefícios estão disponíveis apenas para contribuintes. Se uma entidade (incluindo uma pessoa física) não paga tributos, não pode usufruir do benefício. Esses tipos de benefícios são chamados de gastos tributários. Os gastos tributários representam receita perdida, não despesas, e não geram entradas ou saídas de recursos – ou seja, não geram ativos, passivos, receitas ou despesas para o governo tributante.</w:t>
      </w:r>
    </w:p>
    <w:p w14:paraId="1069541A" w14:textId="0B19F561"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 principal distinção entre despesas pagas por meio do sistema tributário e gastos tributários reside no fato de que, no caso das despesas pagas por meio do sistema tributário, o valor está disponível para as entidades independentemente de pagarem tributos ou de utilizarem um mecanismo específico para efetuar esse pagamento. A NBC TSP 11 proíbe a compensação de itens de receita e despesa, a menos que seja permitida por outra norma. A compensação de receitas tributárias e despesas pagas por meio do sistema tributário não é permitida.</w:t>
      </w:r>
    </w:p>
    <w:p w14:paraId="33CC2FCE"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Receita proveniente de Transações com Acordos Vinculantes</w:t>
      </w:r>
    </w:p>
    <w:p w14:paraId="3B52BAD1"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Reconhecimento</w:t>
      </w:r>
    </w:p>
    <w:p w14:paraId="6FD5BA9D" w14:textId="77777777" w:rsidR="00D81CAD" w:rsidRPr="0088163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88163A">
        <w:rPr>
          <w:rFonts w:ascii="Calibri" w:hAnsi="Calibri" w:cs="Calibri"/>
          <w:i/>
          <w:iCs/>
          <w:sz w:val="24"/>
          <w:szCs w:val="24"/>
        </w:rPr>
        <w:t>Contabilização do Acordo Vinculante</w:t>
      </w:r>
    </w:p>
    <w:p w14:paraId="75651F4E" w14:textId="636D70D0"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Uma entidade deve contabilizar um acordo vinculante utilizando o modelo contábil de acordos vinculantes se todos os seguintes critérios forem atendidos:</w:t>
      </w:r>
    </w:p>
    <w:p w14:paraId="436EE05B" w14:textId="5515CAC8" w:rsidR="00D81CAD" w:rsidRPr="00DA1E98" w:rsidRDefault="00D81CAD" w:rsidP="00C90136">
      <w:pPr>
        <w:pStyle w:val="IASBSectionTitle1NonInd"/>
        <w:numPr>
          <w:ilvl w:val="1"/>
          <w:numId w:val="1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as partes do acordo vinculante o </w:t>
      </w:r>
      <w:r w:rsidRPr="00DA1E98">
        <w:rPr>
          <w:rFonts w:ascii="Calibri" w:hAnsi="Calibri" w:cs="Calibri"/>
          <w:b w:val="0"/>
          <w:bCs/>
          <w:sz w:val="24"/>
          <w:szCs w:val="24"/>
        </w:rPr>
        <w:t>aprovaram (por escrito, verbalmente ou conforme outras práticas habituais) e estão comprometidas a cumprir suas respectivas obrigações;</w:t>
      </w:r>
    </w:p>
    <w:p w14:paraId="0FA1E7FE" w14:textId="40113A57" w:rsidR="00D81CAD" w:rsidRPr="00DA1E98" w:rsidRDefault="00D81CAD" w:rsidP="00C90136">
      <w:pPr>
        <w:pStyle w:val="IASBSectionTitle1NonInd"/>
        <w:numPr>
          <w:ilvl w:val="1"/>
          <w:numId w:val="11"/>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lastRenderedPageBreak/>
        <w:t>a entidade pode identificar os direitos de cada parte no âmbito do acordo vinculante;</w:t>
      </w:r>
    </w:p>
    <w:p w14:paraId="514DA216" w14:textId="6FF7F3B8" w:rsidR="00D81CAD" w:rsidRPr="00DA1E98" w:rsidRDefault="00D81CAD" w:rsidP="00C90136">
      <w:pPr>
        <w:pStyle w:val="IASBSectionTitle1NonInd"/>
        <w:numPr>
          <w:ilvl w:val="1"/>
          <w:numId w:val="11"/>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a entidade pode identificar as condições de pagamento para o cumprimento de cada obrigação de cumprimento identificada;</w:t>
      </w:r>
    </w:p>
    <w:p w14:paraId="2A500348" w14:textId="6E3F9B7F" w:rsidR="00D81CAD" w:rsidRPr="00D81CAD" w:rsidRDefault="00D81CAD" w:rsidP="00C90136">
      <w:pPr>
        <w:pStyle w:val="IASBSectionTitle1NonInd"/>
        <w:numPr>
          <w:ilvl w:val="1"/>
          <w:numId w:val="11"/>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o acordo vinculante tem substância econômica (ou seja, espera-se que o risco, o cronograma ou o montante dos fluxos de caixa futuros ou do potencial de serviços da entidade mudem como resultado do acordo vinculante) (os itens A32 a A34 fornecem orientações</w:t>
      </w:r>
      <w:r w:rsidRPr="00D81CAD">
        <w:rPr>
          <w:rFonts w:ascii="Calibri" w:hAnsi="Calibri" w:cs="Calibri"/>
          <w:b w:val="0"/>
          <w:bCs/>
          <w:sz w:val="24"/>
          <w:szCs w:val="24"/>
        </w:rPr>
        <w:t xml:space="preserve"> adicionais </w:t>
      </w:r>
      <w:proofErr w:type="gramStart"/>
      <w:r w:rsidRPr="00D81CAD">
        <w:rPr>
          <w:rFonts w:ascii="Calibri" w:hAnsi="Calibri" w:cs="Calibri"/>
          <w:b w:val="0"/>
          <w:bCs/>
          <w:sz w:val="24"/>
          <w:szCs w:val="24"/>
        </w:rPr>
        <w:t>para acordos</w:t>
      </w:r>
      <w:r w:rsidR="0088163A">
        <w:rPr>
          <w:rFonts w:ascii="Calibri" w:hAnsi="Calibri" w:cs="Calibri"/>
          <w:b w:val="0"/>
          <w:bCs/>
          <w:sz w:val="24"/>
          <w:szCs w:val="24"/>
        </w:rPr>
        <w:t xml:space="preserve"> </w:t>
      </w:r>
      <w:r w:rsidRPr="00D81CAD">
        <w:rPr>
          <w:rFonts w:ascii="Calibri" w:hAnsi="Calibri" w:cs="Calibri"/>
          <w:b w:val="0"/>
          <w:bCs/>
          <w:sz w:val="24"/>
          <w:szCs w:val="24"/>
        </w:rPr>
        <w:t>vinculante</w:t>
      </w:r>
      <w:proofErr w:type="gramEnd"/>
      <w:r w:rsidRPr="00D81CAD">
        <w:rPr>
          <w:rFonts w:ascii="Calibri" w:hAnsi="Calibri" w:cs="Calibri"/>
          <w:b w:val="0"/>
          <w:bCs/>
          <w:sz w:val="24"/>
          <w:szCs w:val="24"/>
        </w:rPr>
        <w:t xml:space="preserve"> que exigem a transferência de bens ou serviços distintos para um comprador ou terceiro beneficiário); e</w:t>
      </w:r>
    </w:p>
    <w:p w14:paraId="52C5DB84" w14:textId="77777777" w:rsidR="0088163A" w:rsidRDefault="00D81CAD" w:rsidP="00C90136">
      <w:pPr>
        <w:pStyle w:val="IASBSectionTitle1NonInd"/>
        <w:numPr>
          <w:ilvl w:val="1"/>
          <w:numId w:val="11"/>
        </w:numPr>
        <w:pBdr>
          <w:bottom w:val="none" w:sz="0" w:space="0" w:color="auto"/>
        </w:pBdr>
        <w:spacing w:before="100" w:after="240"/>
        <w:jc w:val="both"/>
        <w:rPr>
          <w:rFonts w:ascii="Calibri" w:hAnsi="Calibri" w:cs="Calibri"/>
          <w:b w:val="0"/>
          <w:bCs/>
          <w:sz w:val="24"/>
          <w:szCs w:val="24"/>
        </w:rPr>
      </w:pPr>
      <w:r w:rsidRPr="0088163A">
        <w:rPr>
          <w:rFonts w:ascii="Calibri" w:hAnsi="Calibri" w:cs="Calibri"/>
          <w:b w:val="0"/>
          <w:bCs/>
          <w:sz w:val="24"/>
          <w:szCs w:val="24"/>
        </w:rPr>
        <w:t>é provável que a entidade receba a contraprestação a que terá direito por cumprir suas obrigações de cumprimento de acordo com os termos do acordo vinculante (os itens A35 a A39 fornecem orientações adicionais). Ao avaliar a probabilidade de recebimento de um valor de contraprestação, a entidade deve considerar apenas a capacidade e a intenção do provedor de recursos de pagar esse valor na data de vencimento. O valor da contraprestação a que a entidade terá direito pode ser inferior à contraprestação da transação estipulada no acordo vinculante se a contraprestação for variável, visto que a entidade pode oferecer ao provedor de recursos uma concessão de preço (ver item 115).</w:t>
      </w:r>
    </w:p>
    <w:p w14:paraId="7816B314" w14:textId="1712DFEF" w:rsidR="00D81CAD" w:rsidRPr="0088163A"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88163A">
        <w:rPr>
          <w:rFonts w:ascii="Calibri" w:hAnsi="Calibri" w:cs="Calibri"/>
          <w:b w:val="0"/>
          <w:bCs/>
          <w:sz w:val="24"/>
          <w:szCs w:val="24"/>
        </w:rPr>
        <w:t>Se um acordo vinculante atender aos critérios do item 56 no início do acordo, a entidade não deverá reavaliar esses critérios, a menos que haja indicação de uma mudança significativa nos fatos e circunstâncias. Por exemplo, se a capacidade de um provedor de recursos de pagar a contraprestação se deteriorar significativamente, a entidade deverá reavaliar se é provável que ela receba a contraprestação a que terá direito para o cumprimento de quaisquer obrigações de cumprimento remanescentes no acordo vinculante.</w:t>
      </w:r>
    </w:p>
    <w:p w14:paraId="19E10C17" w14:textId="6A70AF01"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Quando um acordo vinculante não atender a todos os critérios do item 56, a entidade deverá reconhecer qualquer contraprestação recebida como receita somente quando ocorrer um dos seguintes eventos:</w:t>
      </w:r>
    </w:p>
    <w:p w14:paraId="699991B7" w14:textId="36411CD2" w:rsidR="00D81CAD" w:rsidRPr="00D81CAD" w:rsidRDefault="00D81CAD" w:rsidP="00C90136">
      <w:pPr>
        <w:pStyle w:val="IASBSectionTitle1NonInd"/>
        <w:numPr>
          <w:ilvl w:val="1"/>
          <w:numId w:val="1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cumpriu integralmente a obrigação de cumprimento à qual se refere a contraprestação recebida, e a contraprestação recebida do provedor de recursos não é reembolsável; ou</w:t>
      </w:r>
    </w:p>
    <w:p w14:paraId="4377FEA2" w14:textId="7AFB6360" w:rsidR="00D81CAD" w:rsidRPr="00D81CAD" w:rsidRDefault="00D81CAD" w:rsidP="00C90136">
      <w:pPr>
        <w:pStyle w:val="IASBSectionTitle1NonInd"/>
        <w:numPr>
          <w:ilvl w:val="1"/>
          <w:numId w:val="1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acordo vinculante foi rescindido e a contraprestação recebida do provedor de recursos não é reembolsável.</w:t>
      </w:r>
    </w:p>
    <w:p w14:paraId="6D706EEE" w14:textId="77777777" w:rsidR="00D81CAD" w:rsidRPr="00DA1E98"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 </w:t>
      </w:r>
      <w:r w:rsidRPr="00DA1E98">
        <w:rPr>
          <w:rFonts w:ascii="Calibri" w:hAnsi="Calibri" w:cs="Calibri"/>
          <w:b w:val="0"/>
          <w:bCs/>
          <w:sz w:val="24"/>
          <w:szCs w:val="24"/>
        </w:rPr>
        <w:t>entidade deverá continuar a avaliar o acordo vinculante para determinar se os critérios do item 56 são posteriormente cumpridos.</w:t>
      </w:r>
    </w:p>
    <w:p w14:paraId="0D5C97C0" w14:textId="1EF4F6E7" w:rsidR="00D81CAD" w:rsidRPr="00DA1E98"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t>Para efeitos da aplicação desta norma, um acordo não é considerado vinculante se cada uma das partes tiver o direito unilateral e exequível de rescindir um acordo integralmente descumprido sem compensar a outra parte (ou partes).</w:t>
      </w:r>
    </w:p>
    <w:p w14:paraId="34365AD2" w14:textId="359DF03E" w:rsidR="00D81CAD" w:rsidRPr="00DA1E98"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lastRenderedPageBreak/>
        <w:t>Um acordo vinculante é integralmente descumprido se ambos os seguintes critérios forem atendidos:</w:t>
      </w:r>
    </w:p>
    <w:p w14:paraId="2446FB5D" w14:textId="523FEA9B" w:rsidR="00D81CAD" w:rsidRPr="00DA1E98" w:rsidRDefault="00D81CAD" w:rsidP="00C90136">
      <w:pPr>
        <w:pStyle w:val="IASBSectionTitle1NonInd"/>
        <w:numPr>
          <w:ilvl w:val="1"/>
          <w:numId w:val="13"/>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A entidade ainda não começou a cumprir nenhuma de suas obrigações de cumprimento no acordo vinculante; e</w:t>
      </w:r>
    </w:p>
    <w:p w14:paraId="5225E6CA" w14:textId="791821D5" w:rsidR="00D81CAD" w:rsidRPr="00D81CAD" w:rsidRDefault="00D81CAD" w:rsidP="00C90136">
      <w:pPr>
        <w:pStyle w:val="IASBSectionTitle1NonInd"/>
        <w:numPr>
          <w:ilvl w:val="1"/>
          <w:numId w:val="13"/>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O provedor de recursos ainda não pagou, nem está</w:t>
      </w:r>
      <w:r w:rsidRPr="00D81CAD">
        <w:rPr>
          <w:rFonts w:ascii="Calibri" w:hAnsi="Calibri" w:cs="Calibri"/>
          <w:b w:val="0"/>
          <w:bCs/>
          <w:sz w:val="24"/>
          <w:szCs w:val="24"/>
        </w:rPr>
        <w:t xml:space="preserve"> obrigado a pagar, qualquer contraprestação à entidade pelo cumprimento de quaisquer de suas obrigações no acordo vinculante.</w:t>
      </w:r>
    </w:p>
    <w:p w14:paraId="1313C294" w14:textId="6D855A71"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Se uma entidade determinou que sua receita provém de uma transação com um acordo vinculante que deve ser contabilizado utilizando o modelo contábil de acordos vinculantes, a entidade também deve considerar se deve combiná-la com outros acordos vinculantes e se há alguma modificação a ser feita em seu acordo vinculante.</w:t>
      </w:r>
    </w:p>
    <w:p w14:paraId="781C7085"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Combinação de Acordos Vinculantes</w:t>
      </w:r>
    </w:p>
    <w:p w14:paraId="76158677" w14:textId="7E4AEFB3"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 entidade deve combinar dois ou mais acordos vinculantes celebrados simultaneamente ou em datas próximas com o mesmo provedor de recursos (ou partes relacionadas ao provedor de recursos) e contabilizá-los como um único acordo vinculante se um ou mais dos seguintes critérios forem atendidos:</w:t>
      </w:r>
    </w:p>
    <w:p w14:paraId="32D46FA7" w14:textId="2C4A9CAE" w:rsidR="00D81CAD" w:rsidRPr="00D81CAD" w:rsidRDefault="00D81CAD" w:rsidP="00C90136">
      <w:pPr>
        <w:pStyle w:val="IASBSectionTitle1NonInd"/>
        <w:numPr>
          <w:ilvl w:val="1"/>
          <w:numId w:val="1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acordos vinculantes são negociados em conjunto, com um único objetivo;</w:t>
      </w:r>
    </w:p>
    <w:p w14:paraId="1ACC2D37" w14:textId="45697802" w:rsidR="00D81CAD" w:rsidRPr="00D81CAD" w:rsidRDefault="00D81CAD" w:rsidP="00C90136">
      <w:pPr>
        <w:pStyle w:val="IASBSectionTitle1NonInd"/>
        <w:numPr>
          <w:ilvl w:val="1"/>
          <w:numId w:val="1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valor da contraprestação a ser paga em um acordo vinculante depende da contraprestação ou do cumprimento do outro acordo vinculante; ou</w:t>
      </w:r>
    </w:p>
    <w:p w14:paraId="25EF5EC4" w14:textId="7A2DB26D" w:rsidR="00D81CAD" w:rsidRPr="00D81CAD" w:rsidRDefault="00D81CAD" w:rsidP="00C90136">
      <w:pPr>
        <w:pStyle w:val="IASBSectionTitle1NonInd"/>
        <w:numPr>
          <w:ilvl w:val="1"/>
          <w:numId w:val="1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as promessas nos acordos vinculantes (ou algumas promessas em cada um dos acordos vinculantes) constituem uma única obrigação de cumprimento de acordo com os itens 68 a 77.</w:t>
      </w:r>
    </w:p>
    <w:p w14:paraId="5B837C1B"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Modificações em Acordo Vinculante</w:t>
      </w:r>
    </w:p>
    <w:p w14:paraId="5E3CFED5" w14:textId="50B993C1"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Uma modificação em um acordo vinculante é uma alteração no escopo ou na contraprestação (ou em ambos) de um acordo vinculante, aprovada pelas partes envolvidas. Em alguns setores e jurisdições, uma modificação em um acordo vinculante pode ser descrita como uma variação, uma emenda ou uma ordem de alteração. Uma modificação em um acordo vinculante existe quando as partes aprovam uma alteração que cria novos direitos e obrigações ou altera os direitos e obrigações existentes das partes. Uma modificação em um acordo vinculante pode ser aprovada por escrito, por acordo verbal ou implicitamente pelas práticas habituais da entidade. Se as partes do acordo vinculante não aprovarem uma modificação, a entidade deverá continuar a aplicar esta norma ao acordo vinculante existente, até que a modificação seja aprovada.</w:t>
      </w:r>
    </w:p>
    <w:p w14:paraId="65092837" w14:textId="7105EEA9"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Uma modificação em um acordo vinculante pode existir mesmo que as partes envolvidas no acordo tenham uma disputa sobre o escopo ou a contraprestação (ou ambos) da modificação, ou que as partes tenham aprovado uma alteração no escopo do acordo vinculante, mas ainda não tenham determinado a alteração correspondente na contraprestação. Ao determinar se os direitos e obrigações criados ou alterados por uma modificação são exequíveis, a entidade deve considerar todos os fatos e circunstâncias relevantes, incluindo os termos do acordo vinculante e outras evidências. Se as partes em um acordo vinculante aprovaram uma alteração no escopo do acordo vinculante, mas ainda não determinaram a alteração correspondente na contraprestação, a entidade deve estimar a alteração na contraprestação da transação decorrente da modificação, de acordo com os itens 113 a 117 sobre a estimativa da contraprestação variável e os itens 119 a 121 sobre a limitação das estimativas da contraprestação variável.</w:t>
      </w:r>
    </w:p>
    <w:p w14:paraId="2B58A2F8" w14:textId="15035404"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Uma entidade deve contabilizar uma modificação em um acordo vinculante como um acordo vinculante separado se ambas as seguintes condições estiverem presentes:</w:t>
      </w:r>
    </w:p>
    <w:p w14:paraId="0270C789" w14:textId="62DF24F6" w:rsidR="00D81CAD" w:rsidRPr="00D81CAD" w:rsidRDefault="00D81CAD" w:rsidP="00C90136">
      <w:pPr>
        <w:pStyle w:val="IASBSectionTitle1NonInd"/>
        <w:numPr>
          <w:ilvl w:val="1"/>
          <w:numId w:val="1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escopo do acordo vinculante aumenta em razão da inclusão de promessas distintas (de acordo com os itens 73 a 77); e</w:t>
      </w:r>
    </w:p>
    <w:p w14:paraId="3BA3722A" w14:textId="2599E0B6" w:rsidR="00D81CAD" w:rsidRPr="00D81CAD" w:rsidRDefault="00D81CAD" w:rsidP="00C90136">
      <w:pPr>
        <w:pStyle w:val="IASBSectionTitle1NonInd"/>
        <w:numPr>
          <w:ilvl w:val="1"/>
          <w:numId w:val="1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contraprestação do acordo vinculante aumenta em montante que reflete os valores individuais das promessas adicionais para a entidade, acrescidos de quaisquer ajustes apropriados a esse valor para refletir as circunstâncias específicas do acordo vinculante. Por exemplo, uma entidade pode ajustar o valor individual de um bem ou serviço adicional pelo desconto recebido pelo provedor de recursos, visto que não é necessário que a entidade incorra nos custos correspondentes que incorreria ao fornecer um bem ou serviço similar a um novo provedor de recursos.</w:t>
      </w:r>
    </w:p>
    <w:p w14:paraId="085F9339" w14:textId="4ABE14EE"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Se uma modificação em um acordo vinculante não for contabilizada como um acordo vinculante separado, de acordo com o item 65, a entidade deverá contabilizar as promessas ainda não transferidas na data da modificação do acordo vinculante (ou seja, as promessas restantes) da maneira que for aplicável, conforme o disposto a seguir:</w:t>
      </w:r>
    </w:p>
    <w:p w14:paraId="559FB3A5" w14:textId="55CB06E0" w:rsidR="00D81CAD" w:rsidRPr="00D81CAD" w:rsidRDefault="00D81CAD" w:rsidP="00C90136">
      <w:pPr>
        <w:pStyle w:val="IASBSectionTitle1NonInd"/>
        <w:numPr>
          <w:ilvl w:val="1"/>
          <w:numId w:val="1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deve contabilizar a modificação de um acordo vinculante como se fosse uma rescisão do acordo vinculante existente e a criação de um novo acordo vinculante, se as promessas remanescentes forem distintas das promessas cumpridas até a data da modificação do acordo vinculante. O valor da contraprestação a ser alocado às obrigações de cumprimento remanescentes (ou às promessas remanescentes em uma única obrigação de cumprimento identificada de acordo com o item 68(b)) é a soma de:</w:t>
      </w:r>
    </w:p>
    <w:p w14:paraId="1A2672E1" w14:textId="77777777" w:rsidR="0088163A" w:rsidRDefault="00D81CAD" w:rsidP="00C90136">
      <w:pPr>
        <w:pStyle w:val="IASBSectionTitle1NonInd"/>
        <w:numPr>
          <w:ilvl w:val="0"/>
          <w:numId w:val="17"/>
        </w:numPr>
        <w:pBdr>
          <w:bottom w:val="none" w:sz="0" w:space="0" w:color="auto"/>
        </w:pBdr>
        <w:spacing w:before="100" w:after="240"/>
        <w:jc w:val="both"/>
        <w:rPr>
          <w:rFonts w:ascii="Calibri" w:hAnsi="Calibri" w:cs="Calibri"/>
          <w:b w:val="0"/>
          <w:bCs/>
          <w:sz w:val="24"/>
          <w:szCs w:val="24"/>
        </w:rPr>
      </w:pPr>
      <w:r w:rsidRPr="0088163A">
        <w:rPr>
          <w:rFonts w:ascii="Calibri" w:hAnsi="Calibri" w:cs="Calibri"/>
          <w:b w:val="0"/>
          <w:bCs/>
          <w:sz w:val="24"/>
          <w:szCs w:val="24"/>
        </w:rPr>
        <w:t>A contraprestação prometida pelo provedor de recursos (incluindo os valores já recebidos do provedor de recursos) que foi incluída na estimativa da contraprestação da transação e que não foi reconhecida como receita; e</w:t>
      </w:r>
    </w:p>
    <w:p w14:paraId="3947C6AD" w14:textId="557239F6" w:rsidR="00D81CAD" w:rsidRPr="0088163A" w:rsidRDefault="00D81CAD" w:rsidP="00C90136">
      <w:pPr>
        <w:pStyle w:val="IASBSectionTitle1NonInd"/>
        <w:numPr>
          <w:ilvl w:val="0"/>
          <w:numId w:val="17"/>
        </w:numPr>
        <w:pBdr>
          <w:bottom w:val="none" w:sz="0" w:space="0" w:color="auto"/>
        </w:pBdr>
        <w:spacing w:before="100" w:after="240"/>
        <w:jc w:val="both"/>
        <w:rPr>
          <w:rFonts w:ascii="Calibri" w:hAnsi="Calibri" w:cs="Calibri"/>
          <w:b w:val="0"/>
          <w:bCs/>
          <w:sz w:val="24"/>
          <w:szCs w:val="24"/>
        </w:rPr>
      </w:pPr>
      <w:r w:rsidRPr="0088163A">
        <w:rPr>
          <w:rFonts w:ascii="Calibri" w:hAnsi="Calibri" w:cs="Calibri"/>
          <w:b w:val="0"/>
          <w:bCs/>
          <w:sz w:val="24"/>
          <w:szCs w:val="24"/>
        </w:rPr>
        <w:t>A contraprestação prometida como parte da modificação de um acordo vinculante.</w:t>
      </w:r>
    </w:p>
    <w:p w14:paraId="119DA4A8" w14:textId="3D27BA17" w:rsidR="00D81CAD" w:rsidRPr="00D81CAD" w:rsidRDefault="00D81CAD" w:rsidP="00C90136">
      <w:pPr>
        <w:pStyle w:val="IASBSectionTitle1NonInd"/>
        <w:numPr>
          <w:ilvl w:val="1"/>
          <w:numId w:val="1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a entidade deve contabilizar a modificação do acordo vinculante como se fosse parte integrante do acordo vinculante existente, caso as promessas remanescentes não sejam distintas e, portanto, façam parte de uma única obrigação de cumprimento que esteja parcialmente satisfeita na data da modificação do acordo vinculante. O efeito que a modificação do acordo vinculante tem sobre a contraprestação da transação e sobre a medida de progresso da entidade em direção à satisfação completa da obrigação de cumprimento é reconhecido como um ajuste na receita (seja como um aumento ou uma redução da receita) na data da modificação do acordo vinculante (ou seja, o ajuste na receita é feito com base em um ajuste cumulativo).</w:t>
      </w:r>
    </w:p>
    <w:p w14:paraId="67C27148" w14:textId="78296C40" w:rsidR="00D81CAD" w:rsidRPr="00D81CAD" w:rsidRDefault="00D81CAD" w:rsidP="00C90136">
      <w:pPr>
        <w:pStyle w:val="IASBSectionTitle1NonInd"/>
        <w:numPr>
          <w:ilvl w:val="1"/>
          <w:numId w:val="1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se as promessas remanescentes forem uma combinação dos itens (a) e (b), a entidade deverá contabilizar os efeitos da modificação nas obrigações de cumprimento não cumpridas (incluindo parcialmente não cumpridas) no acordo vinculante modificado de uma forma que seja consistente com os objetivos deste item.</w:t>
      </w:r>
    </w:p>
    <w:p w14:paraId="2980D676"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Duração de um Acordo Vinculante</w:t>
      </w:r>
    </w:p>
    <w:p w14:paraId="4EB037A5" w14:textId="42F1226F"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Alguns acordos vinculantes podem não ter duração fixa e podem ser rescindidos ou modificados por qualquer uma das partes a qualquer momento. Outros acordos vinculantes podem ser renovados automaticamente em intervalos periódicos especificados no próprio acordo. A entidade deve aplicar esta norma à duração do acordo vinculante (ou seja, ao período do acordo vinculante) durante o qual as partes do acordo vinculante tenham direitos e obrigações exequíveis.</w:t>
      </w:r>
    </w:p>
    <w:p w14:paraId="5953996B"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Identificação das obrigações de cumprimento em um acordo vinculante</w:t>
      </w:r>
    </w:p>
    <w:p w14:paraId="77318DF6" w14:textId="4C763310"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No início do acordo vinculante, uma entidade deve avaliar os bens ou serviços prometidos em um acordo vinculante com um provedor de recursos e deve identificar como uma obrigação de cumprimento cada promessa de utilizar recursos internamente para bens ou serviços, ou de transferi-los a uma ou mais partes externas (ou seja, o comprador (o provedor de recursos) ou um terceiro beneficiário), seja:</w:t>
      </w:r>
    </w:p>
    <w:p w14:paraId="43200C61" w14:textId="7BD16C14" w:rsidR="00D81CAD" w:rsidRPr="00D81CAD" w:rsidRDefault="00D81CAD" w:rsidP="00C90136">
      <w:pPr>
        <w:pStyle w:val="IASBSectionTitle1NonInd"/>
        <w:numPr>
          <w:ilvl w:val="1"/>
          <w:numId w:val="1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um bem ou serviço (ou um conjunto de bens ou serviços) que seja distinto; ou</w:t>
      </w:r>
    </w:p>
    <w:p w14:paraId="3F87C260" w14:textId="2C2C255E" w:rsidR="00D81CAD" w:rsidRPr="00D81CAD" w:rsidRDefault="00D81CAD" w:rsidP="00C90136">
      <w:pPr>
        <w:pStyle w:val="IASBSectionTitle1NonInd"/>
        <w:numPr>
          <w:ilvl w:val="1"/>
          <w:numId w:val="1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uma série de bens ou serviços distintos que sejam substancialmente iguais em características e riscos e que têm o mesmo padrão de uso interno ou transferência para o comprador ou terceiro beneficiário (ver item 70).</w:t>
      </w:r>
    </w:p>
    <w:p w14:paraId="5638AE3F"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itens A43 a A56 fornecem orientações adicionais sobre a identificação das obrigações de cumprimento.</w:t>
      </w:r>
    </w:p>
    <w:p w14:paraId="57818AC4" w14:textId="5F1505C4"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O acordo vinculante possui pelo menos uma obrigação de cumprimento, pois sua exequibilidade responsabiliza a entidade pelo cumprimento das obrigações previstas no acordo, para as quais a entidade tem pouca ou nenhuma alternativa realista de evitá-las.</w:t>
      </w:r>
    </w:p>
    <w:p w14:paraId="1FB55FEA" w14:textId="73CD2405"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Uma série de bens ou serviços distintos apresenta o mesmo padrão de uso interno ou de transferência para o comprador ou terceiro beneficiário se ambos os seguintes critérios forem atendidos:</w:t>
      </w:r>
    </w:p>
    <w:p w14:paraId="0C2D5E44" w14:textId="1B731E40" w:rsidR="00D81CAD" w:rsidRPr="00D81CAD" w:rsidRDefault="00D81CAD" w:rsidP="00C90136">
      <w:pPr>
        <w:pStyle w:val="IASBSectionTitle1NonInd"/>
        <w:numPr>
          <w:ilvl w:val="0"/>
          <w:numId w:val="1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cada bem ou serviço distinto da série atenderia aos critérios do item 92 ou 95 para ser considerado uma obrigação de cumprimento satisfeita ao longo do tempo; e</w:t>
      </w:r>
    </w:p>
    <w:p w14:paraId="43860A67" w14:textId="1A9E37F0" w:rsidR="00D81CAD" w:rsidRPr="00D81CAD" w:rsidRDefault="00D81CAD" w:rsidP="00C90136">
      <w:pPr>
        <w:pStyle w:val="IASBSectionTitle1NonInd"/>
        <w:numPr>
          <w:ilvl w:val="0"/>
          <w:numId w:val="1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 acordo com os itens 98 a 99, o mesmo método seria utilizado para medir o progresso da entidade em direção ao cumprimento integral da obrigação de cumprimento.</w:t>
      </w:r>
    </w:p>
    <w:p w14:paraId="0849F800" w14:textId="77777777" w:rsidR="00D81CAD" w:rsidRPr="0088163A" w:rsidRDefault="00D81CAD" w:rsidP="00C97A3F">
      <w:pPr>
        <w:pStyle w:val="IASBSectionTitle1NonInd"/>
        <w:pBdr>
          <w:bottom w:val="none" w:sz="0" w:space="0" w:color="auto"/>
        </w:pBdr>
        <w:spacing w:before="100" w:after="240"/>
        <w:jc w:val="both"/>
        <w:rPr>
          <w:rFonts w:ascii="Calibri" w:hAnsi="Calibri" w:cs="Calibri"/>
          <w:sz w:val="24"/>
          <w:szCs w:val="24"/>
        </w:rPr>
      </w:pPr>
      <w:r w:rsidRPr="0088163A">
        <w:rPr>
          <w:rFonts w:ascii="Calibri" w:hAnsi="Calibri" w:cs="Calibri"/>
          <w:sz w:val="24"/>
          <w:szCs w:val="24"/>
        </w:rPr>
        <w:t>Promessas de utilização de recursos</w:t>
      </w:r>
    </w:p>
    <w:p w14:paraId="18BBBEAA" w14:textId="7ABF595B"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Um acordo vinculante geralmente declara explicitamente os bens ou serviços que uma entidade se compromete a obter para uso interno ou a transferir para um comprador ou terceiro beneficiário. No entanto, as obrigações de cumprimento identificadas em um acordo vinculante podem não se limitar aos bens ou serviços explicitamente declarados nesse acordo. Isso ocorre porque um acordo vinculante também pode incluir promessas implícitas nas práticas habituais da entidade, em suas políticas publicadas ou em declarações específicas, desde que, no momento da celebração do acordo, essas promessas criem uma expectativa válida por parte do provedor de recursos de que a entidade cumprirá o acordo e sejam suficientemente específicas para que ele possa responsabilizar a entidade.</w:t>
      </w:r>
    </w:p>
    <w:p w14:paraId="758E4F1B" w14:textId="3EBE3990" w:rsidR="00D81CAD" w:rsidRPr="00DA1E98"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As obrigações de cumprimento não incluem atividades que uma </w:t>
      </w:r>
      <w:r w:rsidRPr="00DA1E98">
        <w:rPr>
          <w:rFonts w:ascii="Calibri" w:hAnsi="Calibri" w:cs="Calibri"/>
          <w:b w:val="0"/>
          <w:bCs/>
          <w:sz w:val="24"/>
          <w:szCs w:val="24"/>
        </w:rPr>
        <w:t>entidade deva realizar para cumprir um acordo vinculante, a menos que a conclusão dessas atividades utilize recursos de uma maneira claramente especificada no acordo vinculante. Por exemplo, uma entidade pode precisar executar várias tarefas administrativas para estabelecer um acordo vinculante. A execução dessas tarefas não utiliza um recurso interno para um serviço nem transfere um serviço para um comprador ou terceiro beneficiário durante a execução das tarefas. Portanto, essas atividades de estruturação não constituem obrigação de cumprimento.</w:t>
      </w:r>
    </w:p>
    <w:p w14:paraId="6F7DA65B" w14:textId="77777777" w:rsidR="00D81CAD" w:rsidRPr="00DA1E98" w:rsidRDefault="00D81CAD" w:rsidP="00C97A3F">
      <w:pPr>
        <w:pStyle w:val="IASBSectionTitle1NonInd"/>
        <w:pBdr>
          <w:bottom w:val="none" w:sz="0" w:space="0" w:color="auto"/>
        </w:pBdr>
        <w:spacing w:before="100" w:after="240"/>
        <w:jc w:val="both"/>
        <w:rPr>
          <w:rFonts w:ascii="Calibri" w:hAnsi="Calibri" w:cs="Calibri"/>
          <w:sz w:val="24"/>
          <w:szCs w:val="24"/>
        </w:rPr>
      </w:pPr>
      <w:r w:rsidRPr="00DA1E98">
        <w:rPr>
          <w:rFonts w:ascii="Calibri" w:hAnsi="Calibri" w:cs="Calibri"/>
          <w:sz w:val="24"/>
          <w:szCs w:val="24"/>
        </w:rPr>
        <w:t>Identificando promessas distintas para o uso de recursos</w:t>
      </w:r>
    </w:p>
    <w:p w14:paraId="4263F276" w14:textId="5C6DB551" w:rsidR="00D81CAD" w:rsidRPr="00DA1E98"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t>Uma obrigação de cumprimento é uma unidade contábil em uma transação de receita com um acordo vinculante que representa uma promessa distinta ou um grupo de promessas às quais são aplicados critérios de reconhecimento e conceitos de mensuração. Um bem ou serviço prometido em um acordo vinculante é distinto se ambos os seguintes critérios forem atendidos:</w:t>
      </w:r>
    </w:p>
    <w:p w14:paraId="0F596705" w14:textId="3009C644" w:rsidR="00D81CAD" w:rsidRPr="00D81CAD" w:rsidRDefault="00D81CAD" w:rsidP="00C90136">
      <w:pPr>
        <w:pStyle w:val="IASBSectionTitle1NonInd"/>
        <w:numPr>
          <w:ilvl w:val="1"/>
          <w:numId w:val="20"/>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a parte que recebe o bem ou serviço pode gerar benefícios econômicos ou potencial de serviço</w:t>
      </w:r>
      <w:r w:rsidR="00476ADB" w:rsidRPr="00DA1E98">
        <w:rPr>
          <w:rFonts w:ascii="Calibri" w:hAnsi="Calibri" w:cs="Calibri"/>
          <w:b w:val="0"/>
          <w:bCs/>
          <w:sz w:val="24"/>
          <w:szCs w:val="24"/>
        </w:rPr>
        <w:t>s</w:t>
      </w:r>
      <w:r w:rsidRPr="00DA1E98">
        <w:rPr>
          <w:rFonts w:ascii="Calibri" w:hAnsi="Calibri" w:cs="Calibri"/>
          <w:b w:val="0"/>
          <w:bCs/>
          <w:sz w:val="24"/>
          <w:szCs w:val="24"/>
        </w:rPr>
        <w:t xml:space="preserve"> a partir do bem ou serviço, seja por si só ou em conjunto com outros recursos que estejam</w:t>
      </w:r>
      <w:r w:rsidRPr="00D81CAD">
        <w:rPr>
          <w:rFonts w:ascii="Calibri" w:hAnsi="Calibri" w:cs="Calibri"/>
          <w:b w:val="0"/>
          <w:bCs/>
          <w:sz w:val="24"/>
          <w:szCs w:val="24"/>
        </w:rPr>
        <w:t xml:space="preserve"> prontamente disponíveis para essa parte (ou seja, o bem ou serviço é capaz de ser distinto); e</w:t>
      </w:r>
    </w:p>
    <w:p w14:paraId="73D1EF99" w14:textId="581BF8DC" w:rsidR="00D81CAD" w:rsidRPr="00D81CAD" w:rsidRDefault="00D81CAD" w:rsidP="00C90136">
      <w:pPr>
        <w:pStyle w:val="IASBSectionTitle1NonInd"/>
        <w:numPr>
          <w:ilvl w:val="1"/>
          <w:numId w:val="2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a promessa da entidade de utilizar recursos internamente para o bem ou serviço, ou de transferir o bem ou serviço ao comprador ou a um terceiro beneficiário, é identificável separadamente de outras promessas no acordo vinculante (ou seja, a promessa é distinta dentro do contexto do acordo vinculante).</w:t>
      </w:r>
    </w:p>
    <w:p w14:paraId="57E1B70B"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Consulte os itens A53 a A56 para obter orientações específicas sobre como identificar promessas distintas de utilização de recursos para outra parte.</w:t>
      </w:r>
    </w:p>
    <w:p w14:paraId="09380195" w14:textId="05BC1F55" w:rsidR="00D81CAD" w:rsidRPr="00D81CAD" w:rsidRDefault="00D81CAD" w:rsidP="00933D9C">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 entidade determina se a parte que recebe o bem ou serviço é ela mesma, o provedor de recursos (comprador) ou um terceiro beneficiário específico, considerando a natureza de sua obrigação de cumprimento.</w:t>
      </w:r>
    </w:p>
    <w:p w14:paraId="44A169C6" w14:textId="1879B5EC" w:rsidR="00D81CAD" w:rsidRPr="00D81CAD" w:rsidRDefault="00D81CAD" w:rsidP="00C90136">
      <w:pPr>
        <w:pStyle w:val="IASBSectionTitle1NonInd"/>
        <w:numPr>
          <w:ilvl w:val="1"/>
          <w:numId w:val="2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em uma obrigação de cumprimento na qual uma entidade se compromete a utilizar recursos internamente para um bem ou serviço específico, a própria entidade é a destinatária dos bens ou serviços.</w:t>
      </w:r>
    </w:p>
    <w:p w14:paraId="7F63B70E" w14:textId="1044EFCF" w:rsidR="00D81CAD" w:rsidRPr="00D81CAD" w:rsidRDefault="00D81CAD" w:rsidP="00C90136">
      <w:pPr>
        <w:pStyle w:val="IASBSectionTitle1NonInd"/>
        <w:numPr>
          <w:ilvl w:val="1"/>
          <w:numId w:val="2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em uma obrigação de cumprimento na qual uma entidade promete usar recursos para transferir um bem ou serviço específico a um comprador ou terceiro beneficiário, o destinatário dos bens ou serviços é o comprador ou o terceiro beneficiário.</w:t>
      </w:r>
    </w:p>
    <w:p w14:paraId="2F728408"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Consulte o item A27 para obter orientações adicionais. </w:t>
      </w:r>
    </w:p>
    <w:p w14:paraId="573FE8C4" w14:textId="69AE5303" w:rsidR="00D81CAD" w:rsidRPr="00DA1E98"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Uma parte pode gerar </w:t>
      </w:r>
      <w:r w:rsidRPr="00DA1E98">
        <w:rPr>
          <w:rFonts w:ascii="Calibri" w:hAnsi="Calibri" w:cs="Calibri"/>
          <w:b w:val="0"/>
          <w:bCs/>
          <w:sz w:val="24"/>
          <w:szCs w:val="24"/>
        </w:rPr>
        <w:t>benefícios econômicos ou potencial de serviço</w:t>
      </w:r>
      <w:r w:rsidR="00476ADB" w:rsidRPr="00DA1E98">
        <w:rPr>
          <w:rFonts w:ascii="Calibri" w:hAnsi="Calibri" w:cs="Calibri"/>
          <w:b w:val="0"/>
          <w:bCs/>
          <w:sz w:val="24"/>
          <w:szCs w:val="24"/>
        </w:rPr>
        <w:t>s</w:t>
      </w:r>
      <w:r w:rsidRPr="00DA1E98">
        <w:rPr>
          <w:rFonts w:ascii="Calibri" w:hAnsi="Calibri" w:cs="Calibri"/>
          <w:b w:val="0"/>
          <w:bCs/>
          <w:sz w:val="24"/>
          <w:szCs w:val="24"/>
        </w:rPr>
        <w:t xml:space="preserve"> a partir do bem ou serviço, de acordo com o item 73(a), se o bem ou serviço puder ser usado, consumido, vendido por valor superior ao valor de sucata ou mantido de outra forma que gere benefícios econômicos ou potencial de serviço</w:t>
      </w:r>
      <w:r w:rsidR="00476ADB" w:rsidRPr="00DA1E98">
        <w:rPr>
          <w:rFonts w:ascii="Calibri" w:hAnsi="Calibri" w:cs="Calibri"/>
          <w:b w:val="0"/>
          <w:bCs/>
          <w:sz w:val="24"/>
          <w:szCs w:val="24"/>
        </w:rPr>
        <w:t>s</w:t>
      </w:r>
      <w:r w:rsidRPr="00DA1E98">
        <w:rPr>
          <w:rFonts w:ascii="Calibri" w:hAnsi="Calibri" w:cs="Calibri"/>
          <w:b w:val="0"/>
          <w:bCs/>
          <w:sz w:val="24"/>
          <w:szCs w:val="24"/>
        </w:rPr>
        <w:t>. Para alguns bens ou serviços, uma parte pode ser capaz de gerar benefícios econômicos ou potencial de serviço</w:t>
      </w:r>
      <w:r w:rsidR="00476ADB" w:rsidRPr="00DA1E98">
        <w:rPr>
          <w:rFonts w:ascii="Calibri" w:hAnsi="Calibri" w:cs="Calibri"/>
          <w:b w:val="0"/>
          <w:bCs/>
          <w:sz w:val="24"/>
          <w:szCs w:val="24"/>
        </w:rPr>
        <w:t>s</w:t>
      </w:r>
      <w:r w:rsidRPr="00DA1E98">
        <w:rPr>
          <w:rFonts w:ascii="Calibri" w:hAnsi="Calibri" w:cs="Calibri"/>
          <w:b w:val="0"/>
          <w:bCs/>
          <w:sz w:val="24"/>
          <w:szCs w:val="24"/>
        </w:rPr>
        <w:t xml:space="preserve"> a partir do bem ou serviço por si só. Para outros bens ou serviços, uma parte pode ser capaz de gerar benefícios econômicos ou potencial de serviço</w:t>
      </w:r>
      <w:r w:rsidR="00476ADB" w:rsidRPr="00DA1E98">
        <w:rPr>
          <w:rFonts w:ascii="Calibri" w:hAnsi="Calibri" w:cs="Calibri"/>
          <w:b w:val="0"/>
          <w:bCs/>
          <w:sz w:val="24"/>
          <w:szCs w:val="24"/>
        </w:rPr>
        <w:t>s</w:t>
      </w:r>
      <w:r w:rsidRPr="00DA1E98">
        <w:rPr>
          <w:rFonts w:ascii="Calibri" w:hAnsi="Calibri" w:cs="Calibri"/>
          <w:b w:val="0"/>
          <w:bCs/>
          <w:sz w:val="24"/>
          <w:szCs w:val="24"/>
        </w:rPr>
        <w:t xml:space="preserve"> a partir do bem ou serviço somente em conjunto com outros recursos prontamente disponíveis. Um recurso prontamente disponível é um bem ou serviço que é vendido separadamente (pela entidade ou por outra entidade) ou um recurso que a parte já obteve da entidade (incluindo bens ou serviços que a entidade usará internamente ou que serão transferidos para o comprador ou terceiro beneficiário, nos termos do acordo vinculante) ou de outras transações ou eventos. Diversos fatores podem fornecer evidências de que a parte pode gerar benefícios econômicos ou potencial de serviço</w:t>
      </w:r>
      <w:r w:rsidR="00476ADB" w:rsidRPr="00DA1E98">
        <w:rPr>
          <w:rFonts w:ascii="Calibri" w:hAnsi="Calibri" w:cs="Calibri"/>
          <w:b w:val="0"/>
          <w:bCs/>
          <w:sz w:val="24"/>
          <w:szCs w:val="24"/>
        </w:rPr>
        <w:t>s</w:t>
      </w:r>
      <w:r w:rsidRPr="00DA1E98">
        <w:rPr>
          <w:rFonts w:ascii="Calibri" w:hAnsi="Calibri" w:cs="Calibri"/>
          <w:b w:val="0"/>
          <w:bCs/>
          <w:sz w:val="24"/>
          <w:szCs w:val="24"/>
        </w:rPr>
        <w:t xml:space="preserve"> a partir do bem ou serviço, seja por si só ou em conjunto com outros recursos prontamente disponíveis. Por exemplo, o fato de a entidade usar ou fornecer regularmente um bem ou serviço internamente, de forma independente, indicaria que uma parte pode gerar benefícios econômicos ou potencial de serviço</w:t>
      </w:r>
      <w:r w:rsidR="00476ADB" w:rsidRPr="00DA1E98">
        <w:rPr>
          <w:rFonts w:ascii="Calibri" w:hAnsi="Calibri" w:cs="Calibri"/>
          <w:b w:val="0"/>
          <w:bCs/>
          <w:sz w:val="24"/>
          <w:szCs w:val="24"/>
        </w:rPr>
        <w:t>s</w:t>
      </w:r>
      <w:r w:rsidRPr="00DA1E98">
        <w:rPr>
          <w:rFonts w:ascii="Calibri" w:hAnsi="Calibri" w:cs="Calibri"/>
          <w:b w:val="0"/>
          <w:bCs/>
          <w:sz w:val="24"/>
          <w:szCs w:val="24"/>
        </w:rPr>
        <w:t xml:space="preserve"> a partir do bem ou serviço por conta própria ou com outros recursos prontamente disponíveis.</w:t>
      </w:r>
    </w:p>
    <w:p w14:paraId="49D19A71" w14:textId="387CF215" w:rsidR="00D81CAD" w:rsidRPr="00DA1E98"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lastRenderedPageBreak/>
        <w:t>Ao avaliar se as promessas de uma entidade de usar recursos internamente para bens ou serviços, ou de transferir bens ou serviços ao comprador ou a um terceiro beneficiário, são identificáveis separadamente de acordo com o item 73(b), o objetivo é determinar se a natureza da promessa, no contexto do acordo vinculante, é uma promessa de utilizar recursos de maneiras individualmente específicas, em vez de forma combinada. Os fatores que indicam que duas ou mais promessas não são identificáveis separadamente incluem, entre outros, os seguintes:</w:t>
      </w:r>
    </w:p>
    <w:p w14:paraId="091EC8D5" w14:textId="0AF2C748" w:rsidR="00D81CAD" w:rsidRPr="00D81CAD" w:rsidRDefault="00D81CAD" w:rsidP="00C90136">
      <w:pPr>
        <w:pStyle w:val="IASBSectionTitle1NonInd"/>
        <w:numPr>
          <w:ilvl w:val="1"/>
          <w:numId w:val="22"/>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a entidade presta um serviço significativo de integração dos bens ou serviços com outros bens ou serviços prometidos no acordo vinculante, formando um pacote</w:t>
      </w:r>
      <w:r w:rsidRPr="00D81CAD">
        <w:rPr>
          <w:rFonts w:ascii="Calibri" w:hAnsi="Calibri" w:cs="Calibri"/>
          <w:b w:val="0"/>
          <w:bCs/>
          <w:sz w:val="24"/>
          <w:szCs w:val="24"/>
        </w:rPr>
        <w:t xml:space="preserve"> de bens ou serviços que representa o(s) produto(s) combinado(s) para o(s) qual(</w:t>
      </w:r>
      <w:proofErr w:type="spellStart"/>
      <w:r w:rsidRPr="00D81CAD">
        <w:rPr>
          <w:rFonts w:ascii="Calibri" w:hAnsi="Calibri" w:cs="Calibri"/>
          <w:b w:val="0"/>
          <w:bCs/>
          <w:sz w:val="24"/>
          <w:szCs w:val="24"/>
        </w:rPr>
        <w:t>is</w:t>
      </w:r>
      <w:proofErr w:type="spellEnd"/>
      <w:r w:rsidRPr="00D81CAD">
        <w:rPr>
          <w:rFonts w:ascii="Calibri" w:hAnsi="Calibri" w:cs="Calibri"/>
          <w:b w:val="0"/>
          <w:bCs/>
          <w:sz w:val="24"/>
          <w:szCs w:val="24"/>
        </w:rPr>
        <w:t>) o provedor de recursos firmou o acordo vinculante. Em outras palavras, a entidade utiliza os bens ou serviços como insumos para produzir ou entregar o(s) produto(s) combinado(s) especificado(s) pelo provedor de recursos. Um produto combinado pode incluir mais de uma fase, elemento ou unidade.</w:t>
      </w:r>
    </w:p>
    <w:p w14:paraId="7D0B3671" w14:textId="1ED3D72C" w:rsidR="00D81CAD" w:rsidRPr="00D81CAD" w:rsidRDefault="00D81CAD" w:rsidP="00C90136">
      <w:pPr>
        <w:pStyle w:val="IASBSectionTitle1NonInd"/>
        <w:numPr>
          <w:ilvl w:val="1"/>
          <w:numId w:val="2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um ou mais dos bens ou serviços modificam ou personalizam significativamente, ou são significativamente modificados ou personalizados </w:t>
      </w:r>
      <w:proofErr w:type="gramStart"/>
      <w:r w:rsidRPr="00D81CAD">
        <w:rPr>
          <w:rFonts w:ascii="Calibri" w:hAnsi="Calibri" w:cs="Calibri"/>
          <w:b w:val="0"/>
          <w:bCs/>
          <w:sz w:val="24"/>
          <w:szCs w:val="24"/>
        </w:rPr>
        <w:t>por, um</w:t>
      </w:r>
      <w:proofErr w:type="gramEnd"/>
      <w:r w:rsidRPr="00D81CAD">
        <w:rPr>
          <w:rFonts w:ascii="Calibri" w:hAnsi="Calibri" w:cs="Calibri"/>
          <w:b w:val="0"/>
          <w:bCs/>
          <w:sz w:val="24"/>
          <w:szCs w:val="24"/>
        </w:rPr>
        <w:t xml:space="preserve"> ou mais dos outros bens ou serviços prometidos no acordo vinculante.</w:t>
      </w:r>
    </w:p>
    <w:p w14:paraId="32348D8E" w14:textId="3FF2676F" w:rsidR="00D81CAD" w:rsidRPr="00D81CAD" w:rsidRDefault="00D81CAD" w:rsidP="00C90136">
      <w:pPr>
        <w:pStyle w:val="IASBSectionTitle1NonInd"/>
        <w:numPr>
          <w:ilvl w:val="1"/>
          <w:numId w:val="2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bens ou serviços são altamente interdependentes ou altamente inter-relacionados. Em outras palavras, cada um dos bens ou serviços é significativamente afetado por um ou mais dos outros bens ou serviços no acordo vinculante. Por exemplo, em alguns casos, dois ou mais bens ou serviços são significativamente afetados uns pelos outros porque a entidade não seria capaz de cumprir sua promessa utilizando cada um dos bens ou serviços internamente, ou transferindo cada um dos bens ou serviços, de forma independente.</w:t>
      </w:r>
    </w:p>
    <w:p w14:paraId="252747D8" w14:textId="3653C2EE"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Se um bem ou serviço prometido não for distinto, a entidade deverá combiná-lo com outros bens ou serviços prometidos até identificar um conjunto de bens ou serviços que seja distinto. Em alguns casos, isso resultaria na contabilização, pela entidade, de todos os bens ou serviços prometidos em um acordo vinculante como uma única obrigação de cumprimento.</w:t>
      </w:r>
    </w:p>
    <w:p w14:paraId="6EFBF957" w14:textId="77777777" w:rsidR="00D81CAD" w:rsidRPr="00DA1E98"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Reconhecimento Inicial de </w:t>
      </w:r>
      <w:r w:rsidRPr="00DA1E98">
        <w:rPr>
          <w:rFonts w:ascii="Calibri" w:hAnsi="Calibri" w:cs="Calibri"/>
          <w:b w:val="0"/>
          <w:bCs/>
          <w:sz w:val="24"/>
          <w:szCs w:val="24"/>
        </w:rPr>
        <w:t>Transações de Receita com Acordo Vinculante</w:t>
      </w:r>
    </w:p>
    <w:p w14:paraId="53997092" w14:textId="2EEE5928" w:rsidR="00D81CAD" w:rsidRPr="00DA1E98"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t>Quando um acordo vinculante não for integralmente cumprido de acordo com o item 60, a entidade não deverá reconhecer qualquer ativo, passivo ou receita associado a esse acordo, a menos que o acordo seja oneroso. O reconhecimento de ativos, passivos e receitas começa quando uma das partes do acordo vinculante começa a cumprir suas obrigações.</w:t>
      </w:r>
    </w:p>
    <w:p w14:paraId="40807585" w14:textId="7F623BD1" w:rsidR="00D81CAD" w:rsidRPr="00DA1E98"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t>Quando um acordo vinculante se torna oneroso, a entidade deve contabilizar o déficit esperado de acordo com a NBC TSP 03. Os itens A57 a A58 fornecem orientações adicionais sobre acordos vinculantes não cumpridos.</w:t>
      </w:r>
    </w:p>
    <w:p w14:paraId="177E5103" w14:textId="77777777" w:rsidR="00D81CAD" w:rsidRPr="00DA1E98" w:rsidRDefault="00D81CAD" w:rsidP="00C97A3F">
      <w:pPr>
        <w:pStyle w:val="IASBSectionTitle1NonInd"/>
        <w:pBdr>
          <w:bottom w:val="none" w:sz="0" w:space="0" w:color="auto"/>
        </w:pBdr>
        <w:spacing w:before="100" w:after="240"/>
        <w:jc w:val="both"/>
        <w:rPr>
          <w:rFonts w:ascii="Calibri" w:hAnsi="Calibri" w:cs="Calibri"/>
          <w:sz w:val="24"/>
          <w:szCs w:val="24"/>
        </w:rPr>
      </w:pPr>
      <w:r w:rsidRPr="00DA1E98">
        <w:rPr>
          <w:rFonts w:ascii="Calibri" w:hAnsi="Calibri" w:cs="Calibri"/>
          <w:sz w:val="24"/>
          <w:szCs w:val="24"/>
        </w:rPr>
        <w:t>Análise da Entrada Inicial de Recursos</w:t>
      </w:r>
    </w:p>
    <w:p w14:paraId="63F696C9" w14:textId="1C41F9BE" w:rsidR="00D81CAD" w:rsidRPr="00DA1E98"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lastRenderedPageBreak/>
        <w:t>Uma entidade pode receber ou ter direito a uma entrada de recursos decorrente de uma transação de receita com um acordo vinculante antes ou depois de começar a atender as suas obrigações de cumprimento. Uma entidade deve aplicar os itens 18 a 25 e reconhecer uma entrada de recursos de uma transação de receita com um acordo vinculante como um ativo quando a definição e os critérios de reconhecimento de um ativo forem atendidos.</w:t>
      </w:r>
    </w:p>
    <w:p w14:paraId="51634005" w14:textId="77777777" w:rsidR="00D81CAD" w:rsidRPr="00DA1E98" w:rsidRDefault="00D81CAD" w:rsidP="00C97A3F">
      <w:pPr>
        <w:pStyle w:val="IASBSectionTitle1NonInd"/>
        <w:pBdr>
          <w:bottom w:val="none" w:sz="0" w:space="0" w:color="auto"/>
        </w:pBdr>
        <w:spacing w:before="100" w:after="240"/>
        <w:jc w:val="both"/>
        <w:rPr>
          <w:rFonts w:ascii="Calibri" w:hAnsi="Calibri" w:cs="Calibri"/>
          <w:sz w:val="24"/>
          <w:szCs w:val="24"/>
        </w:rPr>
      </w:pPr>
      <w:r w:rsidRPr="00DA1E98">
        <w:rPr>
          <w:rFonts w:ascii="Calibri" w:hAnsi="Calibri" w:cs="Calibri"/>
          <w:sz w:val="24"/>
          <w:szCs w:val="24"/>
        </w:rPr>
        <w:t>Existência e Reconhecimento de Passivo</w:t>
      </w:r>
    </w:p>
    <w:p w14:paraId="679BDE26" w14:textId="5385F4C7" w:rsidR="00D81CAD" w:rsidRPr="00DA1E98"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t>Entidades do setor público normalmente recebem recursos de governos ou outras entidades. Quando uma entidade reconhece um ativo referente a uma entrada de recursos, deve considerar se existem obrigações de cumprimento relacionadas a essa entrada que resultem no reconhecimento de um passivo.</w:t>
      </w:r>
    </w:p>
    <w:p w14:paraId="61A64BF1" w14:textId="4E9C652B" w:rsidR="00D81CAD" w:rsidRPr="00DA1E98"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t>Uma obrigação de cumprimento gera um passivo quando:</w:t>
      </w:r>
    </w:p>
    <w:p w14:paraId="43BC4B38" w14:textId="425A96A5" w:rsidR="00D81CAD" w:rsidRPr="00DA1E98" w:rsidRDefault="00D81CAD" w:rsidP="00C90136">
      <w:pPr>
        <w:pStyle w:val="IASBSectionTitle1NonInd"/>
        <w:numPr>
          <w:ilvl w:val="1"/>
          <w:numId w:val="23"/>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a entidade recebeu recursos associados à sua obrigação de cumprimento não satisfeita ou parcialmente satisfeita em um acordo vinculante; e</w:t>
      </w:r>
    </w:p>
    <w:p w14:paraId="299E880D" w14:textId="52B2C51F" w:rsidR="00D81CAD" w:rsidRPr="00D81CAD" w:rsidRDefault="00D81CAD" w:rsidP="00C90136">
      <w:pPr>
        <w:pStyle w:val="IASBSectionTitle1NonInd"/>
        <w:numPr>
          <w:ilvl w:val="1"/>
          <w:numId w:val="23"/>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 xml:space="preserve">o provedor de recursos pode </w:t>
      </w:r>
      <w:r w:rsidR="00061DB2" w:rsidRPr="00DA1E98">
        <w:rPr>
          <w:rFonts w:ascii="Calibri" w:hAnsi="Calibri" w:cs="Calibri"/>
          <w:b w:val="0"/>
          <w:bCs/>
          <w:sz w:val="24"/>
          <w:szCs w:val="24"/>
        </w:rPr>
        <w:t xml:space="preserve">exigir o cumprimento </w:t>
      </w:r>
      <w:r w:rsidRPr="00DA1E98">
        <w:rPr>
          <w:rFonts w:ascii="Calibri" w:hAnsi="Calibri" w:cs="Calibri"/>
          <w:b w:val="0"/>
          <w:bCs/>
          <w:sz w:val="24"/>
          <w:szCs w:val="24"/>
        </w:rPr>
        <w:t>o acordo vinculante, caso a entidade não atenda à(s) obrigação(</w:t>
      </w:r>
      <w:proofErr w:type="spellStart"/>
      <w:r w:rsidRPr="00DA1E98">
        <w:rPr>
          <w:rFonts w:ascii="Calibri" w:hAnsi="Calibri" w:cs="Calibri"/>
          <w:b w:val="0"/>
          <w:bCs/>
          <w:sz w:val="24"/>
          <w:szCs w:val="24"/>
        </w:rPr>
        <w:t>ões</w:t>
      </w:r>
      <w:proofErr w:type="spellEnd"/>
      <w:r w:rsidRPr="00DA1E98">
        <w:rPr>
          <w:rFonts w:ascii="Calibri" w:hAnsi="Calibri" w:cs="Calibri"/>
          <w:b w:val="0"/>
          <w:bCs/>
          <w:sz w:val="24"/>
          <w:szCs w:val="24"/>
        </w:rPr>
        <w:t>) de cumprimento associadas à contraprestação recebida, exigindo que a entidade transfira recursos para outra parte em conformidade</w:t>
      </w:r>
      <w:r w:rsidRPr="00D81CAD">
        <w:rPr>
          <w:rFonts w:ascii="Calibri" w:hAnsi="Calibri" w:cs="Calibri"/>
          <w:b w:val="0"/>
          <w:bCs/>
          <w:sz w:val="24"/>
          <w:szCs w:val="24"/>
        </w:rPr>
        <w:t xml:space="preserve"> com os termos do acordo vinculante.</w:t>
      </w:r>
    </w:p>
    <w:p w14:paraId="41D612FE"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Consulte as orientações adicionais nos itens A59 a A62.</w:t>
      </w:r>
    </w:p>
    <w:p w14:paraId="4CA383EC" w14:textId="046BE90A"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De acordo com o item 27, existe passivo se a entidade não puder evitar uma transferência de recursos como consequência de eventos passados, e se a transferência de recursos for provável. A entidade deve considerar os fatos e circunstâncias relativos ao acordo vinculante para determinar se a outra parte ou partes (normalmente o provedor de recursos) é (são) </w:t>
      </w:r>
      <w:proofErr w:type="spellStart"/>
      <w:r w:rsidRPr="00D81CAD">
        <w:rPr>
          <w:rFonts w:ascii="Calibri" w:hAnsi="Calibri" w:cs="Calibri"/>
          <w:b w:val="0"/>
          <w:bCs/>
          <w:sz w:val="24"/>
          <w:szCs w:val="24"/>
        </w:rPr>
        <w:t>capaze</w:t>
      </w:r>
      <w:proofErr w:type="spellEnd"/>
      <w:r w:rsidRPr="00D81CAD">
        <w:rPr>
          <w:rFonts w:ascii="Calibri" w:hAnsi="Calibri" w:cs="Calibri"/>
          <w:b w:val="0"/>
          <w:bCs/>
          <w:sz w:val="24"/>
          <w:szCs w:val="24"/>
        </w:rPr>
        <w:t>(s) de fazer valer seus direitos e impor uma consequência que exija uma transferência incremental de recursos como resultado do descumprimento por parte da entidade (ou seja, a inobservância de suas obrigações de cumprimento).</w:t>
      </w:r>
    </w:p>
    <w:p w14:paraId="3808D2EC" w14:textId="2C7E059B"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Por conveniência administrativa, a transferência de recursos decorrente da inobservância, pela entidade, de suas obrigações de cumprimento pode ser efetivamente devolvida mediante a dedução do valor a ser devolvido de outros ativos a serem transferidos para outros fins. A entidade ainda reconhecerá os valores brutos em suas demonstrações contábeis: ou seja, a entidade reconhecerá uma redução nos ativos e passivos pela devolução da transferência nos termos do acordo vinculante descumprido e refletirá o reconhecimento de ativos, passivos e/ou receitas referentes à nova transferência.</w:t>
      </w:r>
    </w:p>
    <w:p w14:paraId="45906793" w14:textId="3472DFE4" w:rsidR="00D81CAD" w:rsidRPr="00DA1E98"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 xml:space="preserve">Se uma entidade recebe recursos antes que ambas as </w:t>
      </w:r>
      <w:r w:rsidRPr="00DA1E98">
        <w:rPr>
          <w:rFonts w:ascii="Calibri" w:hAnsi="Calibri" w:cs="Calibri"/>
          <w:b w:val="0"/>
          <w:bCs/>
          <w:sz w:val="24"/>
          <w:szCs w:val="24"/>
        </w:rPr>
        <w:t>partes concordem com os termos do acordo e se espera que um acordo vinculante seja firmado, ela reconhece um passivo referente ao recebimento antecipado até que o acordo se torne vinculante.</w:t>
      </w:r>
    </w:p>
    <w:p w14:paraId="4FE242F3" w14:textId="47AE84CC"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A1E98">
        <w:rPr>
          <w:rFonts w:ascii="Calibri" w:hAnsi="Calibri" w:cs="Calibri"/>
          <w:b w:val="0"/>
          <w:bCs/>
          <w:sz w:val="24"/>
          <w:szCs w:val="24"/>
        </w:rPr>
        <w:t xml:space="preserve">Uma obrigação de cumprimento que se enquadre na definição de passivo deve ser reconhecida como tal quando, e somente quando, o valor da obrigação puder ser mensurado </w:t>
      </w:r>
      <w:r w:rsidR="0013568F" w:rsidRPr="00DA1E98">
        <w:rPr>
          <w:rFonts w:ascii="Calibri" w:hAnsi="Calibri" w:cs="Calibri"/>
          <w:b w:val="0"/>
          <w:bCs/>
          <w:sz w:val="24"/>
          <w:szCs w:val="24"/>
        </w:rPr>
        <w:t>confiavelmente</w:t>
      </w:r>
      <w:r w:rsidRPr="00DA1E98">
        <w:rPr>
          <w:rFonts w:ascii="Calibri" w:hAnsi="Calibri" w:cs="Calibri"/>
          <w:b w:val="0"/>
          <w:bCs/>
          <w:sz w:val="24"/>
          <w:szCs w:val="24"/>
        </w:rPr>
        <w:t>. A entidade deve continuar a reconhecer o passivo até que um dos eventos previstos no item 58 seja posteriormente atendido.</w:t>
      </w:r>
    </w:p>
    <w:p w14:paraId="362F483C" w14:textId="77777777" w:rsidR="00D81CAD" w:rsidRPr="00776349" w:rsidRDefault="00D81CAD" w:rsidP="00C97A3F">
      <w:pPr>
        <w:pStyle w:val="IASBSectionTitle1NonInd"/>
        <w:pBdr>
          <w:bottom w:val="none" w:sz="0" w:space="0" w:color="auto"/>
        </w:pBdr>
        <w:spacing w:before="100" w:after="240"/>
        <w:jc w:val="both"/>
        <w:rPr>
          <w:rFonts w:ascii="Calibri" w:hAnsi="Calibri" w:cs="Calibri"/>
          <w:sz w:val="24"/>
          <w:szCs w:val="24"/>
        </w:rPr>
      </w:pPr>
      <w:r w:rsidRPr="00776349">
        <w:rPr>
          <w:rFonts w:ascii="Calibri" w:hAnsi="Calibri" w:cs="Calibri"/>
          <w:sz w:val="24"/>
          <w:szCs w:val="24"/>
        </w:rPr>
        <w:t>Reconhecimento de Transações de Receita com Acordo Vinculante</w:t>
      </w:r>
    </w:p>
    <w:p w14:paraId="4EF2E51C" w14:textId="1998CB63"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Quando uma entidade recebe uma entrada de recursos em uma transação de receita com um acordo vinculante que atenda à definição e aos critérios de reconhecimento de um ativo, de acordo com os itens 18 a 25, a entidade deve reconhecer:</w:t>
      </w:r>
    </w:p>
    <w:p w14:paraId="574C4FAB" w14:textId="08A366FD" w:rsidR="00D81CAD" w:rsidRPr="00D81CAD" w:rsidRDefault="00D81CAD" w:rsidP="00C90136">
      <w:pPr>
        <w:pStyle w:val="IASBSectionTitle1NonInd"/>
        <w:numPr>
          <w:ilvl w:val="1"/>
          <w:numId w:val="2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receita referente a quaisquer obrigações de cumprimento satisfeitas em relação à mesma entrada de recursos; e</w:t>
      </w:r>
    </w:p>
    <w:p w14:paraId="25992D90" w14:textId="7FB2B340" w:rsidR="00D81CAD" w:rsidRPr="00D81CAD" w:rsidRDefault="00D81CAD" w:rsidP="00C90136">
      <w:pPr>
        <w:pStyle w:val="IASBSectionTitle1NonInd"/>
        <w:numPr>
          <w:ilvl w:val="1"/>
          <w:numId w:val="2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passivo referente a quaisquer obrigações de cumprimento não satisfeitas em relação à mesma entrada de recursos.</w:t>
      </w:r>
    </w:p>
    <w:p w14:paraId="0075AA02" w14:textId="530430B2"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O momento do reconhecimento da receita é determinado pela natureza das exigências do acordo vinculante e por sua liquidação. Uma entidade deve reconhecer a receita de uma transação com um acordo vinculante quando (ou à medida que) a entidade cumpre uma obrigação de cumprimento, utilizando recursos da maneira especificada, em conformidade com os termos do acordo vinculante.</w:t>
      </w:r>
    </w:p>
    <w:p w14:paraId="6E6FCE07"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 entidade deve reduzir o valor contábil de qualquer passivo reconhecido de acordo com os itens 81 a 86 em montante equivalente. Os itens A63 ao A95 fornecem orientações adicionais sobre o cumprimento das obrigações de cumprimento. </w:t>
      </w:r>
    </w:p>
    <w:p w14:paraId="523FC3F3" w14:textId="6E551782"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Uma entidade atende uma obrigação de cumprimento ao utilizar recursos internamente para um bem ou serviço prometido (ou seja, um ativo), ou ao transferir um bem ou serviço prometido a um comprador ou a um terceiro beneficiário. Um ativo é considerado utilizado internamente ou transferido quando (ou conforme) a entidade que o recebe obtém o controle desse ativo.</w:t>
      </w:r>
    </w:p>
    <w:p w14:paraId="734D2035" w14:textId="76724D68"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Bens e serviços são ativos, mesmo que apenas momentaneamente, quando são recebidos e utilizados (como no caso de muitos serviços). O controle inclui a capacidade de impedir que outras entidades direcionem o uso </w:t>
      </w:r>
      <w:r w:rsidRPr="00DA1E98">
        <w:rPr>
          <w:rFonts w:ascii="Calibri" w:hAnsi="Calibri" w:cs="Calibri"/>
          <w:b w:val="0"/>
          <w:bCs/>
          <w:sz w:val="24"/>
          <w:szCs w:val="24"/>
        </w:rPr>
        <w:t>de um recurso e obtenham os benefícios dele (ver item 18). Os benefícios econômicos ou o potencial de serviço</w:t>
      </w:r>
      <w:r w:rsidR="00476ADB" w:rsidRPr="00DA1E98">
        <w:rPr>
          <w:rFonts w:ascii="Calibri" w:hAnsi="Calibri" w:cs="Calibri"/>
          <w:b w:val="0"/>
          <w:bCs/>
          <w:sz w:val="24"/>
          <w:szCs w:val="24"/>
        </w:rPr>
        <w:t>s</w:t>
      </w:r>
      <w:r w:rsidRPr="00DA1E98">
        <w:rPr>
          <w:rFonts w:ascii="Calibri" w:hAnsi="Calibri" w:cs="Calibri"/>
          <w:b w:val="0"/>
          <w:bCs/>
          <w:sz w:val="24"/>
          <w:szCs w:val="24"/>
        </w:rPr>
        <w:t xml:space="preserve"> incorporados em um recurso são os fluxos de caixa potenciais (entradas ou economias nas saídas), ou a capacidade</w:t>
      </w:r>
      <w:r w:rsidRPr="00D81CAD">
        <w:rPr>
          <w:rFonts w:ascii="Calibri" w:hAnsi="Calibri" w:cs="Calibri"/>
          <w:b w:val="0"/>
          <w:bCs/>
          <w:sz w:val="24"/>
          <w:szCs w:val="24"/>
        </w:rPr>
        <w:t xml:space="preserve"> de fornecer serviços que contribuam para a consecução dos objetivos da entidade, que podem ser obtidos direta ou indiretamente de diversas maneiras, como por meio de:</w:t>
      </w:r>
    </w:p>
    <w:p w14:paraId="70D996C6" w14:textId="5441B70B" w:rsidR="00D81CAD" w:rsidRPr="00D81CAD" w:rsidRDefault="00D81CAD" w:rsidP="00C90136">
      <w:pPr>
        <w:pStyle w:val="IASBSectionTitle1NonInd"/>
        <w:numPr>
          <w:ilvl w:val="1"/>
          <w:numId w:val="2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utilizar o recurso para fornecer treinamento interno;</w:t>
      </w:r>
    </w:p>
    <w:p w14:paraId="667A1E24" w14:textId="7817F536" w:rsidR="00D81CAD" w:rsidRPr="00D81CAD" w:rsidRDefault="00D81CAD" w:rsidP="00C90136">
      <w:pPr>
        <w:pStyle w:val="IASBSectionTitle1NonInd"/>
        <w:numPr>
          <w:ilvl w:val="1"/>
          <w:numId w:val="2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utilizar o recurso para produzir bens ou prestar serviços (incluindo serviços públicos);</w:t>
      </w:r>
    </w:p>
    <w:p w14:paraId="75E340CA" w14:textId="4A271F1D" w:rsidR="00D81CAD" w:rsidRPr="00D81CAD" w:rsidRDefault="00D81CAD" w:rsidP="00C90136">
      <w:pPr>
        <w:pStyle w:val="IASBSectionTitle1NonInd"/>
        <w:numPr>
          <w:ilvl w:val="1"/>
          <w:numId w:val="2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utilizar o recurso para aumentar o valor de outros ativos;</w:t>
      </w:r>
    </w:p>
    <w:p w14:paraId="2A396CEF" w14:textId="59E1772C" w:rsidR="00D81CAD" w:rsidRPr="00D81CAD" w:rsidRDefault="00D81CAD" w:rsidP="00C90136">
      <w:pPr>
        <w:pStyle w:val="IASBSectionTitle1NonInd"/>
        <w:numPr>
          <w:ilvl w:val="1"/>
          <w:numId w:val="2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utilizar o recurso para liquidar passivos ou reduzir despesas;</w:t>
      </w:r>
    </w:p>
    <w:p w14:paraId="7814E7DC" w14:textId="39A5B272" w:rsidR="00D81CAD" w:rsidRPr="00D81CAD" w:rsidRDefault="00D81CAD" w:rsidP="00C90136">
      <w:pPr>
        <w:pStyle w:val="IASBSectionTitle1NonInd"/>
        <w:numPr>
          <w:ilvl w:val="1"/>
          <w:numId w:val="2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vender ou trocar o recurso;</w:t>
      </w:r>
    </w:p>
    <w:p w14:paraId="550FD75C" w14:textId="24BB82A0" w:rsidR="00D81CAD" w:rsidRPr="00D81CAD" w:rsidRDefault="00D81CAD" w:rsidP="00C90136">
      <w:pPr>
        <w:pStyle w:val="IASBSectionTitle1NonInd"/>
        <w:numPr>
          <w:ilvl w:val="1"/>
          <w:numId w:val="2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oferecer o recurso como garantia para um empréstimo; e</w:t>
      </w:r>
    </w:p>
    <w:p w14:paraId="5BC5C8C0" w14:textId="488F0B57" w:rsidR="00D81CAD" w:rsidRPr="00D81CAD" w:rsidRDefault="00D81CAD" w:rsidP="00C90136">
      <w:pPr>
        <w:pStyle w:val="IASBSectionTitle1NonInd"/>
        <w:numPr>
          <w:ilvl w:val="1"/>
          <w:numId w:val="2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deter o recurso.</w:t>
      </w:r>
    </w:p>
    <w:p w14:paraId="4DB34FE8" w14:textId="52E00659"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Para cada obrigação de cumprimento identificada de acordo com os itens 68 ao 77, a entidade deve determinar, no início do acordo vinculante, se atende a obrigação de cumprimento ao longo do tempo (de acordo com os itens 92 a 93 ou 95 a 96) ou se a cumpre em um determinado momento (de acordo com o item 94 ou 97). Se a entidade não atender a uma obrigação de cumprimento ao longo do tempo, considera-se que a obrigação de cumprimento é cumprida em um determinado momento.</w:t>
      </w:r>
    </w:p>
    <w:p w14:paraId="60A3274B" w14:textId="77777777" w:rsidR="00D81CAD" w:rsidRPr="00776349" w:rsidRDefault="00D81CAD" w:rsidP="00C97A3F">
      <w:pPr>
        <w:pStyle w:val="IASBSectionTitle1NonInd"/>
        <w:pBdr>
          <w:bottom w:val="none" w:sz="0" w:space="0" w:color="auto"/>
        </w:pBdr>
        <w:spacing w:before="100" w:after="240"/>
        <w:jc w:val="both"/>
        <w:rPr>
          <w:rFonts w:ascii="Calibri" w:hAnsi="Calibri" w:cs="Calibri"/>
          <w:sz w:val="24"/>
          <w:szCs w:val="24"/>
        </w:rPr>
      </w:pPr>
      <w:r w:rsidRPr="00776349">
        <w:rPr>
          <w:rFonts w:ascii="Calibri" w:hAnsi="Calibri" w:cs="Calibri"/>
          <w:sz w:val="24"/>
          <w:szCs w:val="24"/>
        </w:rPr>
        <w:t>Obrigações de Cumprimento para Utilizar Recursos Internamente para Bens ou Serviços</w:t>
      </w:r>
    </w:p>
    <w:p w14:paraId="6E27600E" w14:textId="77777777" w:rsidR="00D81CAD" w:rsidRPr="00776349"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776349">
        <w:rPr>
          <w:rFonts w:ascii="Calibri" w:hAnsi="Calibri" w:cs="Calibri"/>
          <w:i/>
          <w:iCs/>
          <w:sz w:val="24"/>
          <w:szCs w:val="24"/>
        </w:rPr>
        <w:t>Satisfeitas ao Longo do Tempo</w:t>
      </w:r>
    </w:p>
    <w:p w14:paraId="779CE3EE" w14:textId="434B6676"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 entidade obtém o controle de um bem ou serviço ao longo do tempo e, portanto, satisfaz uma obrigação de cumprimento e reconhece a receita ao longo do tempo, se um dos seguintes critérios for atendido:</w:t>
      </w:r>
    </w:p>
    <w:p w14:paraId="58E12290" w14:textId="26D24A0B" w:rsidR="00D81CAD" w:rsidRPr="00D81CAD" w:rsidRDefault="00D81CAD" w:rsidP="00C90136">
      <w:pPr>
        <w:pStyle w:val="IASBSectionTitle1NonInd"/>
        <w:numPr>
          <w:ilvl w:val="1"/>
          <w:numId w:val="2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 </w:t>
      </w:r>
      <w:r w:rsidRPr="00A70B5D">
        <w:rPr>
          <w:rFonts w:ascii="Calibri" w:hAnsi="Calibri" w:cs="Calibri"/>
          <w:b w:val="0"/>
          <w:bCs/>
          <w:sz w:val="24"/>
          <w:szCs w:val="24"/>
        </w:rPr>
        <w:t>entidade recebe e consome simultaneamente os benefícios econômicos ou o potencial de serviço</w:t>
      </w:r>
      <w:r w:rsidR="00476ADB" w:rsidRPr="00A70B5D">
        <w:rPr>
          <w:rFonts w:ascii="Calibri" w:hAnsi="Calibri" w:cs="Calibri"/>
          <w:b w:val="0"/>
          <w:bCs/>
          <w:sz w:val="24"/>
          <w:szCs w:val="24"/>
        </w:rPr>
        <w:t>s</w:t>
      </w:r>
      <w:r w:rsidRPr="00A70B5D">
        <w:rPr>
          <w:rFonts w:ascii="Calibri" w:hAnsi="Calibri" w:cs="Calibri"/>
          <w:b w:val="0"/>
          <w:bCs/>
          <w:sz w:val="24"/>
          <w:szCs w:val="24"/>
        </w:rPr>
        <w:t xml:space="preserve"> proporcionado pelo desempenho da entidade à medida que a entidade o executa (ver itens A64 –</w:t>
      </w:r>
      <w:r w:rsidRPr="00D81CAD">
        <w:rPr>
          <w:rFonts w:ascii="Calibri" w:hAnsi="Calibri" w:cs="Calibri"/>
          <w:b w:val="0"/>
          <w:bCs/>
          <w:sz w:val="24"/>
          <w:szCs w:val="24"/>
        </w:rPr>
        <w:t xml:space="preserve"> A65);</w:t>
      </w:r>
    </w:p>
    <w:p w14:paraId="4FF7C6F4" w14:textId="502CBA46" w:rsidR="00D81CAD" w:rsidRPr="00D81CAD" w:rsidRDefault="00D81CAD" w:rsidP="00C90136">
      <w:pPr>
        <w:pStyle w:val="IASBSectionTitle1NonInd"/>
        <w:numPr>
          <w:ilvl w:val="1"/>
          <w:numId w:val="2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desempenho da entidade cria ou aprimora um ativo (por exemplo, trabalho em andamento) que a entidade controla à medida que o ativo é criado ou aprimorado (ver item A66); ou</w:t>
      </w:r>
    </w:p>
    <w:p w14:paraId="6F9853E8" w14:textId="5EF2EDFD" w:rsidR="00D81CAD" w:rsidRPr="00D81CAD" w:rsidRDefault="00D81CAD" w:rsidP="00C90136">
      <w:pPr>
        <w:pStyle w:val="IASBSectionTitle1NonInd"/>
        <w:numPr>
          <w:ilvl w:val="1"/>
          <w:numId w:val="2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tem direito exequível à contraprestação pelo desempenho concluído até a data (ver item 93).</w:t>
      </w:r>
    </w:p>
    <w:p w14:paraId="41D7E03F" w14:textId="3CD80850"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Uma entidade deve considerar os termos do acordo vinculante, bem como quaisquer leis aplicáveis a ele, ao avaliar se possui um direito exequível à contraprestação por qualquer obrigação de cumprimento atendida até a presente data, de acordo com o item 92(c). O direito à contraprestação por qualquer obrigação de cumprimento atendida até a presente data não precisa ser de um valor fixo. Contudo, durante toda a vigência do acordo vinculante, a entidade deve ter direito a um valor que, no mínimo, a compense por qualquer obrigação de cumprimento atendida até a presente data, caso o acordo vinculante seja rescindido pelo provedor de recursos ou por outra parte com direitos e obrigações exequíveis no acordo vinculante por motivos que não sejam a falha da entidade em desempenhar conforme prometido. Os itens A67 a A71 fornecem orientações para avaliar a existência e a exequibilidade de um direito à contraprestação e se o direito da entidade à contraprestação lhe daria o direito de ser paga por qualquer obrigação de cumprimento atendida até a presente data.</w:t>
      </w:r>
    </w:p>
    <w:p w14:paraId="11C29932" w14:textId="77777777" w:rsidR="00D81CAD" w:rsidRPr="00776349" w:rsidRDefault="00D81CAD" w:rsidP="00C97A3F">
      <w:pPr>
        <w:pStyle w:val="IASBSectionTitle1NonInd"/>
        <w:pBdr>
          <w:bottom w:val="none" w:sz="0" w:space="0" w:color="auto"/>
        </w:pBdr>
        <w:spacing w:before="100" w:after="240"/>
        <w:jc w:val="both"/>
        <w:rPr>
          <w:rFonts w:ascii="Calibri" w:hAnsi="Calibri" w:cs="Calibri"/>
          <w:sz w:val="24"/>
          <w:szCs w:val="24"/>
        </w:rPr>
      </w:pPr>
      <w:r w:rsidRPr="00776349">
        <w:rPr>
          <w:rFonts w:ascii="Calibri" w:hAnsi="Calibri" w:cs="Calibri"/>
          <w:sz w:val="24"/>
          <w:szCs w:val="24"/>
        </w:rPr>
        <w:t>Satisfeitas em Determinado Momento</w:t>
      </w:r>
    </w:p>
    <w:p w14:paraId="717BD180" w14:textId="65A953BD"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Se uma obrigação de cumprimento não for satisfeita ao longo do tempo, de acordo com os itens 92 a 93, considera-se que a entidade satisfaz a obrigação de cumprimento em um determinado momento. Para determinar o momento em que a entidade obtém o controle de um ativo prometido e satisfaz uma obrigação de cumprimento, a entidade deve considerar os requisitos de controle previstos nos itens 89 a 90.</w:t>
      </w:r>
    </w:p>
    <w:p w14:paraId="2FE891DD" w14:textId="77777777" w:rsidR="00D81CAD" w:rsidRPr="0013304A" w:rsidRDefault="00D81CAD" w:rsidP="00C97A3F">
      <w:pPr>
        <w:pStyle w:val="IASBSectionTitle1NonInd"/>
        <w:pBdr>
          <w:bottom w:val="none" w:sz="0" w:space="0" w:color="auto"/>
        </w:pBdr>
        <w:spacing w:before="100" w:after="240"/>
        <w:jc w:val="both"/>
        <w:rPr>
          <w:rFonts w:ascii="Calibri" w:hAnsi="Calibri" w:cs="Calibri"/>
          <w:sz w:val="24"/>
          <w:szCs w:val="24"/>
        </w:rPr>
      </w:pPr>
      <w:r w:rsidRPr="0013304A">
        <w:rPr>
          <w:rFonts w:ascii="Calibri" w:hAnsi="Calibri" w:cs="Calibri"/>
          <w:sz w:val="24"/>
          <w:szCs w:val="24"/>
        </w:rPr>
        <w:t>Obrigações de Cumprimento de Transferir Bens ou Serviços a Outra Parte (Comprador ou Terceiro Beneficiário)</w:t>
      </w:r>
    </w:p>
    <w:p w14:paraId="08308A14" w14:textId="77777777" w:rsidR="00D81CAD" w:rsidRPr="0013304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13304A">
        <w:rPr>
          <w:rFonts w:ascii="Calibri" w:hAnsi="Calibri" w:cs="Calibri"/>
          <w:i/>
          <w:iCs/>
          <w:sz w:val="24"/>
          <w:szCs w:val="24"/>
        </w:rPr>
        <w:t>Satisfeitas ao Longo do Tempo</w:t>
      </w:r>
    </w:p>
    <w:p w14:paraId="492DDCFC" w14:textId="61643B09"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 entidade transfere o controle de um bem ou serviço ao longo do tempo e, portanto, satisfaz uma obrigação de cumprimento e reconhece a receita ao longo do tempo, se um dos seguintes critérios for atendido:</w:t>
      </w:r>
    </w:p>
    <w:p w14:paraId="7F838077" w14:textId="5600B2D8" w:rsidR="00D81CAD" w:rsidRPr="00D81CAD" w:rsidRDefault="00D81CAD" w:rsidP="00C90136">
      <w:pPr>
        <w:pStyle w:val="IASBSectionTitle1NonInd"/>
        <w:numPr>
          <w:ilvl w:val="1"/>
          <w:numId w:val="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o comprador ou o terceiro beneficiário recebe e consome simultaneamente os benefícios econômicos ou o </w:t>
      </w:r>
      <w:r w:rsidRPr="00DA1E98">
        <w:rPr>
          <w:rFonts w:ascii="Calibri" w:hAnsi="Calibri" w:cs="Calibri"/>
          <w:b w:val="0"/>
          <w:bCs/>
          <w:sz w:val="24"/>
          <w:szCs w:val="24"/>
        </w:rPr>
        <w:t>potencial de serviço</w:t>
      </w:r>
      <w:r w:rsidR="008D6C4B" w:rsidRPr="00DA1E98">
        <w:rPr>
          <w:rFonts w:ascii="Calibri" w:hAnsi="Calibri" w:cs="Calibri"/>
          <w:b w:val="0"/>
          <w:bCs/>
          <w:sz w:val="24"/>
          <w:szCs w:val="24"/>
        </w:rPr>
        <w:t>s</w:t>
      </w:r>
      <w:r w:rsidRPr="00DA1E98">
        <w:rPr>
          <w:rFonts w:ascii="Calibri" w:hAnsi="Calibri" w:cs="Calibri"/>
          <w:b w:val="0"/>
          <w:bCs/>
          <w:sz w:val="24"/>
          <w:szCs w:val="24"/>
        </w:rPr>
        <w:t xml:space="preserve"> proporcionado pelo desempenho da entidade à medida que a entidade o executa (ver itens A73 – A74</w:t>
      </w:r>
      <w:r w:rsidRPr="00D81CAD">
        <w:rPr>
          <w:rFonts w:ascii="Calibri" w:hAnsi="Calibri" w:cs="Calibri"/>
          <w:b w:val="0"/>
          <w:bCs/>
          <w:sz w:val="24"/>
          <w:szCs w:val="24"/>
        </w:rPr>
        <w:t>);</w:t>
      </w:r>
    </w:p>
    <w:p w14:paraId="72E45C06" w14:textId="7CA940BE" w:rsidR="00D81CAD" w:rsidRPr="00D81CAD" w:rsidRDefault="00D81CAD" w:rsidP="00C90136">
      <w:pPr>
        <w:pStyle w:val="IASBSectionTitle1NonInd"/>
        <w:numPr>
          <w:ilvl w:val="1"/>
          <w:numId w:val="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desempenho da entidade cria ou aprimora um ativo (por exemplo, trabalho em andamento) que o comprador ou terceiro beneficiário controla à medida que o ativo é criado ou aprimorado (ver item A75); ou</w:t>
      </w:r>
    </w:p>
    <w:p w14:paraId="3DAB49B1" w14:textId="0425BDBA" w:rsidR="00D81CAD" w:rsidRPr="00D81CAD" w:rsidRDefault="00D81CAD" w:rsidP="00C90136">
      <w:pPr>
        <w:pStyle w:val="IASBSectionTitle1NonInd"/>
        <w:numPr>
          <w:ilvl w:val="1"/>
          <w:numId w:val="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desempenho da entidade não cria um ativo com uso alternativo para a entidade (ver item 96) e a entidade tem um direito exequível à contraprestação pelo desempenho concluído até a data (ver item 93).</w:t>
      </w:r>
    </w:p>
    <w:p w14:paraId="6F36DA59" w14:textId="072B5376"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lastRenderedPageBreak/>
        <w:t>Um ativo criado pelo desempenho de uma entidade não possui uso alternativo para a entidade se esta estiver impedida, pelo acordo vinculante, de direcionar prontamente o ativo para outro uso durante a sua criação ou aprimoramento, ou se estiver praticamente limitada em direcioná-lo para outro uso após sua conclusão. A avaliação sobre se um ativo possui uso alternativo para a entidade é feita no início do acordo vinculante. Após o início do acordo vinculante, a entidade não deve atualizar a avaliação do uso alternativo de um ativo, a menos que as partes do acordo vinculante aprovem uma modificação que altere substancialmente a obrigação de cumprimento. Os itens A76 a A78 fornecem orientações para avaliar se um ativo possui uso alternativo para a entidade.</w:t>
      </w:r>
    </w:p>
    <w:p w14:paraId="26637A60" w14:textId="77777777" w:rsidR="00D81CAD" w:rsidRPr="00B43F06" w:rsidRDefault="00D81CAD" w:rsidP="00C97A3F">
      <w:pPr>
        <w:pStyle w:val="IASBSectionTitle1NonInd"/>
        <w:pBdr>
          <w:bottom w:val="none" w:sz="0" w:space="0" w:color="auto"/>
        </w:pBdr>
        <w:spacing w:before="100" w:after="240"/>
        <w:jc w:val="both"/>
        <w:rPr>
          <w:rFonts w:ascii="Calibri" w:hAnsi="Calibri" w:cs="Calibri"/>
          <w:sz w:val="24"/>
          <w:szCs w:val="24"/>
        </w:rPr>
      </w:pPr>
      <w:r w:rsidRPr="00B43F06">
        <w:rPr>
          <w:rFonts w:ascii="Calibri" w:hAnsi="Calibri" w:cs="Calibri"/>
          <w:sz w:val="24"/>
          <w:szCs w:val="24"/>
        </w:rPr>
        <w:t>Satisfeitas em Determinado Momento</w:t>
      </w:r>
    </w:p>
    <w:p w14:paraId="515A7A08" w14:textId="7E8785EC"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Se uma obrigação de cumprimento não for satisfeita ao longo do tempo, de acordo com os itens 95 a 96, considera-se que a entidade satisfaz a obrigação de cumprimento em determinado momento. Para determinar o momento em que um comprador ou terceiro beneficiário obtém o controle de um ativo prometido e a entidade satisfaz uma obrigação de cumprimento, a entidade deve considerar os requisitos de controle nos itens 89 a 90 (e A183 a A185, se a entidade tiver um acordo de recompra). Além disso, a entidade deve considerar indicadores da transferência de controle, que incluem, entre outros, os seguintes:</w:t>
      </w:r>
    </w:p>
    <w:p w14:paraId="170877D9" w14:textId="7FC860D2" w:rsidR="00D81CAD" w:rsidRPr="00DA1E98" w:rsidRDefault="00D81CAD" w:rsidP="00C90136">
      <w:pPr>
        <w:pStyle w:val="IASBSectionTitle1NonInd"/>
        <w:numPr>
          <w:ilvl w:val="1"/>
          <w:numId w:val="2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 entidade tem direito presente à contraprestação pelo ativo — se um provedor de recursos está </w:t>
      </w:r>
      <w:r w:rsidRPr="00DA1E98">
        <w:rPr>
          <w:rFonts w:ascii="Calibri" w:hAnsi="Calibri" w:cs="Calibri"/>
          <w:b w:val="0"/>
          <w:bCs/>
          <w:sz w:val="24"/>
          <w:szCs w:val="24"/>
        </w:rPr>
        <w:t>atualmente obrigado a pagar por um ativo, isso pode indicar que ele obteve a capacidade de direcionar o uso do ativo e obter substancialmente todos os benefícios econômicos ou o potencial de serviço</w:t>
      </w:r>
      <w:r w:rsidR="008D6C4B" w:rsidRPr="00DA1E98">
        <w:rPr>
          <w:rFonts w:ascii="Calibri" w:hAnsi="Calibri" w:cs="Calibri"/>
          <w:b w:val="0"/>
          <w:bCs/>
          <w:sz w:val="24"/>
          <w:szCs w:val="24"/>
        </w:rPr>
        <w:t>s</w:t>
      </w:r>
      <w:r w:rsidRPr="00DA1E98">
        <w:rPr>
          <w:rFonts w:ascii="Calibri" w:hAnsi="Calibri" w:cs="Calibri"/>
          <w:b w:val="0"/>
          <w:bCs/>
          <w:sz w:val="24"/>
          <w:szCs w:val="24"/>
        </w:rPr>
        <w:t xml:space="preserve"> restantes em troca.</w:t>
      </w:r>
    </w:p>
    <w:p w14:paraId="3AEA8BBC" w14:textId="7724AE4F" w:rsidR="00D81CAD" w:rsidRPr="00D81CAD" w:rsidRDefault="00D81CAD" w:rsidP="00C90136">
      <w:pPr>
        <w:pStyle w:val="IASBSectionTitle1NonInd"/>
        <w:numPr>
          <w:ilvl w:val="1"/>
          <w:numId w:val="28"/>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o comprador ou o terceiro beneficiário detém a titularidade legal do ativo — a titularidade legal pode indicar qual parte em um acordo vinculante tem a capacidade de direcionar o uso e obter substancialmente todos os benefícios econômicos ou o potencial de serviço</w:t>
      </w:r>
      <w:r w:rsidR="008D6C4B" w:rsidRPr="00DA1E98">
        <w:rPr>
          <w:rFonts w:ascii="Calibri" w:hAnsi="Calibri" w:cs="Calibri"/>
          <w:b w:val="0"/>
          <w:bCs/>
          <w:sz w:val="24"/>
          <w:szCs w:val="24"/>
        </w:rPr>
        <w:t>s</w:t>
      </w:r>
      <w:r w:rsidRPr="00DA1E98">
        <w:rPr>
          <w:rFonts w:ascii="Calibri" w:hAnsi="Calibri" w:cs="Calibri"/>
          <w:b w:val="0"/>
          <w:bCs/>
          <w:sz w:val="24"/>
          <w:szCs w:val="24"/>
        </w:rPr>
        <w:t xml:space="preserve"> remanescentes de um ativo, ou de restringir o acesso de outras entidades a esses benefícios econômicos ou potencial de serviço</w:t>
      </w:r>
      <w:r w:rsidR="008D6C4B" w:rsidRPr="00DA1E98">
        <w:rPr>
          <w:rFonts w:ascii="Calibri" w:hAnsi="Calibri" w:cs="Calibri"/>
          <w:b w:val="0"/>
          <w:bCs/>
          <w:sz w:val="24"/>
          <w:szCs w:val="24"/>
        </w:rPr>
        <w:t>s</w:t>
      </w:r>
      <w:r w:rsidRPr="00DA1E98">
        <w:rPr>
          <w:rFonts w:ascii="Calibri" w:hAnsi="Calibri" w:cs="Calibri"/>
          <w:b w:val="0"/>
          <w:bCs/>
          <w:sz w:val="24"/>
          <w:szCs w:val="24"/>
        </w:rPr>
        <w:t>. Portanto, a transferência da titularidade legal de um ativo pode indicar que o comprador ou terceiro beneficiário obteve o controle do ativo. Se uma entidade retém a titularidade legal unicamente como proteção contra a inadimplência do provedor de recursos, esses direitos da entidade não impediriam o comprador ou terceiro beneficiário de obter o controle do ativo</w:t>
      </w:r>
      <w:r w:rsidRPr="00D81CAD">
        <w:rPr>
          <w:rFonts w:ascii="Calibri" w:hAnsi="Calibri" w:cs="Calibri"/>
          <w:b w:val="0"/>
          <w:bCs/>
          <w:sz w:val="24"/>
          <w:szCs w:val="24"/>
        </w:rPr>
        <w:t>.</w:t>
      </w:r>
    </w:p>
    <w:p w14:paraId="52FF8536" w14:textId="6873B472" w:rsidR="00D81CAD" w:rsidRPr="00D81CAD" w:rsidRDefault="00D81CAD" w:rsidP="00C90136">
      <w:pPr>
        <w:pStyle w:val="IASBSectionTitle1NonInd"/>
        <w:numPr>
          <w:ilvl w:val="1"/>
          <w:numId w:val="2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 xml:space="preserve">a entidade transferiu a posse física do ativo — a posse física de um ativo pelo comprador ou por um terceiro beneficiário </w:t>
      </w:r>
      <w:r w:rsidRPr="00DA1E98">
        <w:rPr>
          <w:rFonts w:ascii="Calibri" w:hAnsi="Calibri" w:cs="Calibri"/>
          <w:b w:val="0"/>
          <w:bCs/>
          <w:sz w:val="24"/>
          <w:szCs w:val="24"/>
        </w:rPr>
        <w:t>pode indicar que o provedor de recursos tem a capacidade de direcionar o uso e obter substancialmente todos os benefícios econômicos ou o potencial de serviço</w:t>
      </w:r>
      <w:r w:rsidR="00A0744C" w:rsidRPr="00DA1E98">
        <w:rPr>
          <w:rFonts w:ascii="Calibri" w:hAnsi="Calibri" w:cs="Calibri"/>
          <w:b w:val="0"/>
          <w:bCs/>
          <w:sz w:val="24"/>
          <w:szCs w:val="24"/>
        </w:rPr>
        <w:t>s</w:t>
      </w:r>
      <w:r w:rsidRPr="00DA1E98">
        <w:rPr>
          <w:rFonts w:ascii="Calibri" w:hAnsi="Calibri" w:cs="Calibri"/>
          <w:b w:val="0"/>
          <w:bCs/>
          <w:sz w:val="24"/>
          <w:szCs w:val="24"/>
        </w:rPr>
        <w:t xml:space="preserve"> remanescentes do ativo, ou de restringir o acesso de outras entidades a esses benefícios econômicos ou ao potencial de serviço</w:t>
      </w:r>
      <w:r w:rsidR="00A0744C" w:rsidRPr="00DA1E98">
        <w:rPr>
          <w:rFonts w:ascii="Calibri" w:hAnsi="Calibri" w:cs="Calibri"/>
          <w:b w:val="0"/>
          <w:bCs/>
          <w:sz w:val="24"/>
          <w:szCs w:val="24"/>
        </w:rPr>
        <w:t>s</w:t>
      </w:r>
      <w:r w:rsidRPr="00DA1E98">
        <w:rPr>
          <w:rFonts w:ascii="Calibri" w:hAnsi="Calibri" w:cs="Calibri"/>
          <w:b w:val="0"/>
          <w:bCs/>
          <w:sz w:val="24"/>
          <w:szCs w:val="24"/>
        </w:rPr>
        <w:t>. No entanto, a posse física pode não coincidir com o controle de um ativo. Por exemplo, em alguns contratos de recompra e em alguns contratos de consignação, um provedor de recursos ou consignatário pode ter a posse física de um ativo que a entidade controla. Por outro lado, em alguns contratos de faturamento e retenção, a entidade pode ter a posse física de um ativo que o provedor de recursos controla. Os itens A183–A196, A197–A198 e A199–A202 fornecem orientações sobre a con</w:t>
      </w:r>
      <w:r w:rsidRPr="00D81CAD">
        <w:rPr>
          <w:rFonts w:ascii="Calibri" w:hAnsi="Calibri" w:cs="Calibri"/>
          <w:b w:val="0"/>
          <w:bCs/>
          <w:sz w:val="24"/>
          <w:szCs w:val="24"/>
        </w:rPr>
        <w:t>tabilização de acordos de recompra, acordos de consignação e acordos de faturamento e retenção, respectivamente.</w:t>
      </w:r>
    </w:p>
    <w:p w14:paraId="2FA64142" w14:textId="660BDAA7" w:rsidR="00D81CAD" w:rsidRPr="00D81CAD" w:rsidRDefault="00D81CAD" w:rsidP="00C90136">
      <w:pPr>
        <w:pStyle w:val="IASBSectionTitle1NonInd"/>
        <w:numPr>
          <w:ilvl w:val="1"/>
          <w:numId w:val="2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comprador ou o terceiro beneficiário assume os riscos e benefícios significativos da propriedade do ativo — a transferência desses riscos e benefícios significativos para o comprador ou terceiro beneficiário pode indicar que o provedor de recursos obteve a capacidade de direcionar o uso do ativo e obter substancialmente todos os benefícios econômicos ou o potencial de serviço</w:t>
      </w:r>
      <w:r w:rsidR="000F1AEC" w:rsidRPr="000F1AEC">
        <w:rPr>
          <w:rFonts w:ascii="Calibri" w:hAnsi="Calibri" w:cs="Calibri"/>
          <w:b w:val="0"/>
          <w:bCs/>
          <w:sz w:val="24"/>
          <w:szCs w:val="24"/>
          <w:highlight w:val="cyan"/>
        </w:rPr>
        <w:t>s</w:t>
      </w:r>
      <w:r w:rsidRPr="00D81CAD">
        <w:rPr>
          <w:rFonts w:ascii="Calibri" w:hAnsi="Calibri" w:cs="Calibri"/>
          <w:b w:val="0"/>
          <w:bCs/>
          <w:sz w:val="24"/>
          <w:szCs w:val="24"/>
        </w:rPr>
        <w:t xml:space="preserve"> remanescentes. Contudo, ao avaliar os riscos e benefícios da propriedade de um ativo prometido, a entidade deve excluir quaisquer riscos que gerem uma obrigação de cumprimento adicional à obrigação de transferir o ativo. Por exemplo, uma entidade pode ter transferido o controle de um ativo para um provedor de recursos, mas ainda não ter </w:t>
      </w:r>
      <w:r w:rsidR="00281830">
        <w:rPr>
          <w:rFonts w:ascii="Calibri" w:hAnsi="Calibri" w:cs="Calibri"/>
          <w:b w:val="0"/>
          <w:bCs/>
          <w:sz w:val="24"/>
          <w:szCs w:val="24"/>
        </w:rPr>
        <w:t>realizado</w:t>
      </w:r>
      <w:r w:rsidRPr="00D81CAD">
        <w:rPr>
          <w:rFonts w:ascii="Calibri" w:hAnsi="Calibri" w:cs="Calibri"/>
          <w:b w:val="0"/>
          <w:bCs/>
          <w:sz w:val="24"/>
          <w:szCs w:val="24"/>
        </w:rPr>
        <w:t xml:space="preserve"> uma obrigação de cumprimento adicional de fornecer serviços de manutenção relacionados ao ativo transferido.</w:t>
      </w:r>
    </w:p>
    <w:p w14:paraId="1822563F" w14:textId="1122ADE4" w:rsidR="00D81CAD" w:rsidRPr="00D81CAD" w:rsidRDefault="00D81CAD" w:rsidP="00C90136">
      <w:pPr>
        <w:pStyle w:val="IASBSectionTitle1NonInd"/>
        <w:numPr>
          <w:ilvl w:val="1"/>
          <w:numId w:val="2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o provedor de recursos aceitou o ativo — a aceitação de um ativo pelo provedor de recursos pode indicar que ele obteve a capacidade de direcionar o uso e obter substancialmente todos os benefícios econômicos ou o potencial de </w:t>
      </w:r>
      <w:r w:rsidRPr="00DA1E98">
        <w:rPr>
          <w:rFonts w:ascii="Calibri" w:hAnsi="Calibri" w:cs="Calibri"/>
          <w:b w:val="0"/>
          <w:bCs/>
          <w:sz w:val="24"/>
          <w:szCs w:val="24"/>
        </w:rPr>
        <w:t>serviço</w:t>
      </w:r>
      <w:r w:rsidR="000F1AEC" w:rsidRPr="00DA1E98">
        <w:rPr>
          <w:rFonts w:ascii="Calibri" w:hAnsi="Calibri" w:cs="Calibri"/>
          <w:b w:val="0"/>
          <w:bCs/>
          <w:sz w:val="24"/>
          <w:szCs w:val="24"/>
        </w:rPr>
        <w:t>s</w:t>
      </w:r>
      <w:r w:rsidRPr="00DA1E98">
        <w:rPr>
          <w:rFonts w:ascii="Calibri" w:hAnsi="Calibri" w:cs="Calibri"/>
          <w:b w:val="0"/>
          <w:bCs/>
          <w:sz w:val="24"/>
          <w:szCs w:val="24"/>
        </w:rPr>
        <w:t xml:space="preserve"> restantes do ativo. Para avaliar o efeito de uma cláusula de aceitação em um acordo vinculante sobre o</w:t>
      </w:r>
      <w:r w:rsidRPr="00D81CAD">
        <w:rPr>
          <w:rFonts w:ascii="Calibri" w:hAnsi="Calibri" w:cs="Calibri"/>
          <w:b w:val="0"/>
          <w:bCs/>
          <w:sz w:val="24"/>
          <w:szCs w:val="24"/>
        </w:rPr>
        <w:t xml:space="preserve"> momento da transferência do controle de um ativo, a entidade deve considerar as orientações dos itens A82 a A85.</w:t>
      </w:r>
    </w:p>
    <w:p w14:paraId="3601ECA4" w14:textId="77777777" w:rsidR="00D81CAD" w:rsidRPr="00B43F06" w:rsidRDefault="00D81CAD" w:rsidP="00C97A3F">
      <w:pPr>
        <w:pStyle w:val="IASBSectionTitle1NonInd"/>
        <w:pBdr>
          <w:bottom w:val="none" w:sz="0" w:space="0" w:color="auto"/>
        </w:pBdr>
        <w:spacing w:before="100" w:after="240"/>
        <w:jc w:val="both"/>
        <w:rPr>
          <w:rFonts w:ascii="Calibri" w:hAnsi="Calibri" w:cs="Calibri"/>
          <w:sz w:val="24"/>
          <w:szCs w:val="24"/>
        </w:rPr>
      </w:pPr>
      <w:r w:rsidRPr="00B43F06">
        <w:rPr>
          <w:rFonts w:ascii="Calibri" w:hAnsi="Calibri" w:cs="Calibri"/>
          <w:sz w:val="24"/>
          <w:szCs w:val="24"/>
        </w:rPr>
        <w:t>Mensuração do Progresso rumo à Satisfação Integral da Obrigação de Conformidade</w:t>
      </w:r>
    </w:p>
    <w:p w14:paraId="02E02D51" w14:textId="12D52BAB"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Para cada obrigação de cumprimento satisfeita ao longo do tempo, de acordo com os itens 92 a 93 (para obrigações de cumprimento relativas ao uso interno de bens ou serviços) ou aos itens 95 a 96 (para obrigações de cumprimento relativas à transferência de bens ou serviços para terceiros), a entidade deve reconhecer a receita ao longo do tempo, mensurando o progresso em direção à completa satisfação dessa obrigação de cumprimento. O objetivo da mensuração do progresso é demonstrar o desempenho da entidade no cumprimento de sua obrigação de cumprimento.</w:t>
      </w:r>
    </w:p>
    <w:p w14:paraId="6D3738D1" w14:textId="63D52FA1" w:rsidR="00D81CAD" w:rsidRPr="00D81CAD" w:rsidRDefault="00D81CA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 entidade deve aplicar um único método de mensuração do progresso para cada obrigação de cumprimento cumprida ao longo do tempo, e deve aplicar esse método de forma consistente a obrigações de cumprimento semelhantes e em circunstâncias similares. Ao final de cada período a que se referem as demonstrações contábeis, a entidade </w:t>
      </w:r>
      <w:proofErr w:type="spellStart"/>
      <w:r w:rsidRPr="00D81CAD">
        <w:rPr>
          <w:rFonts w:ascii="Calibri" w:hAnsi="Calibri" w:cs="Calibri"/>
          <w:b w:val="0"/>
          <w:bCs/>
          <w:sz w:val="24"/>
          <w:szCs w:val="24"/>
        </w:rPr>
        <w:t>deve</w:t>
      </w:r>
      <w:proofErr w:type="spellEnd"/>
      <w:r w:rsidRPr="00D81CAD">
        <w:rPr>
          <w:rFonts w:ascii="Calibri" w:hAnsi="Calibri" w:cs="Calibri"/>
          <w:b w:val="0"/>
          <w:bCs/>
          <w:sz w:val="24"/>
          <w:szCs w:val="24"/>
        </w:rPr>
        <w:t xml:space="preserve"> reavaliar seu progresso em direção ao cumprimento integral da obrigação de cumprimento cumprida ao longo do tempo.</w:t>
      </w:r>
    </w:p>
    <w:p w14:paraId="579B043C" w14:textId="77777777" w:rsidR="00D81CAD" w:rsidRPr="00B43F06" w:rsidRDefault="00D81CAD" w:rsidP="00C97A3F">
      <w:pPr>
        <w:pStyle w:val="IASBSectionTitle1NonInd"/>
        <w:pBdr>
          <w:bottom w:val="none" w:sz="0" w:space="0" w:color="auto"/>
        </w:pBdr>
        <w:spacing w:before="100" w:after="240"/>
        <w:jc w:val="both"/>
        <w:rPr>
          <w:rFonts w:ascii="Calibri" w:hAnsi="Calibri" w:cs="Calibri"/>
          <w:sz w:val="24"/>
          <w:szCs w:val="24"/>
        </w:rPr>
      </w:pPr>
      <w:r w:rsidRPr="00B43F06">
        <w:rPr>
          <w:rFonts w:ascii="Calibri" w:hAnsi="Calibri" w:cs="Calibri"/>
          <w:sz w:val="24"/>
          <w:szCs w:val="24"/>
        </w:rPr>
        <w:lastRenderedPageBreak/>
        <w:t>Métodos de Mensuração do Progresso</w:t>
      </w:r>
    </w:p>
    <w:p w14:paraId="70FE639C" w14:textId="0F6A3047"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Os métodos adequados para mensurar o progresso incluem os métodos baseados nos produtos (output) e os métodos baseados nos insumos (input). Os itens A86 a A95 fornecem orientações para o uso dos métodos baseados nos produtos (output) e dos métodos baseados nos insumos (input) para mensurar o progresso de uma entidade em direção ao cumprimento integral de uma obrigação de cumprimento. Ao determinar o método apropriado para medir o progresso, a entidade deve considerar a natureza da sua promessa e se os termos do acordo vinculante especificam as atividades ou despesas que a entidade deve realizar ou incorrer, respectivamente.</w:t>
      </w:r>
    </w:p>
    <w:p w14:paraId="6A405480" w14:textId="5B78B8B7"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Ao aplicar um método para medir o progresso em relação a uma obrigação de cumprimento específica, a entidade deve excluir da mensuração do progresso quaisquer bens ou serviços que não estejam diretamente relacionados a essa obrigação de cumprimento:</w:t>
      </w:r>
    </w:p>
    <w:p w14:paraId="40F6A404" w14:textId="38315ED5" w:rsidR="00D81CAD" w:rsidRPr="00D81CAD" w:rsidRDefault="00D81CAD" w:rsidP="00C90136">
      <w:pPr>
        <w:pStyle w:val="IASBSectionTitle1NonInd"/>
        <w:numPr>
          <w:ilvl w:val="1"/>
          <w:numId w:val="2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para uma obrigação de cumprimento em que a entidade se comprometa a utilizar recursos internamente para um bem ou serviço específico, a entidade deverá excluir da mensuração do progresso quaisquer bens ou serviços sobre os quais não mantenha o controle. Por outro lado, ao cumprir essa obrigação de cumprimento, a entidade deverá incluir na mensuração do progresso quaisquer bens ou serviços sobre os quais mantenha o controle; e</w:t>
      </w:r>
    </w:p>
    <w:p w14:paraId="50FF0E69" w14:textId="590FD051" w:rsidR="00D81CAD" w:rsidRPr="00D81CAD" w:rsidRDefault="00D81CAD" w:rsidP="00C90136">
      <w:pPr>
        <w:pStyle w:val="IASBSectionTitle1NonInd"/>
        <w:numPr>
          <w:ilvl w:val="1"/>
          <w:numId w:val="2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para uma obrigação de cumprimento em que a entidade se comprometa a utilizar recursos para transferir um bem ou serviço específico para outra parte, a entidade deverá excluir da mensuração do progresso quaisquer bens ou serviços para os quais não transfira o controle para outra parte (ou seja, um comprador ou um terceiro beneficiário). Por outro lado, ao cumprir essa obrigação de cumprimento, a entidade deverá incluir na mensuração do progresso quaisquer bens ou serviços para os quais transfira o controle para outra parte (ou seja, um comprador ou um terceiro beneficiário).</w:t>
      </w:r>
    </w:p>
    <w:p w14:paraId="63D8ADA1" w14:textId="4165EEE7"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À medida que as circunstâncias mudam ao longo do tempo, uma entidade deve atualizar sua medida de progresso para refletir quaisquer alterações no cumprimento da obrigação de cumprimento. Essas alterações na medida de progresso de uma entidade devem ser contabilizadas como uma mudança na estimativa contábil, de acordo com a NBC TSP 23.</w:t>
      </w:r>
    </w:p>
    <w:p w14:paraId="68FDBB53" w14:textId="77777777" w:rsidR="00D81CAD" w:rsidRPr="00B43F06" w:rsidRDefault="00D81CAD" w:rsidP="00C97A3F">
      <w:pPr>
        <w:pStyle w:val="IASBSectionTitle1NonInd"/>
        <w:pBdr>
          <w:bottom w:val="none" w:sz="0" w:space="0" w:color="auto"/>
        </w:pBdr>
        <w:spacing w:before="100" w:after="240"/>
        <w:jc w:val="both"/>
        <w:rPr>
          <w:rFonts w:ascii="Calibri" w:hAnsi="Calibri" w:cs="Calibri"/>
          <w:sz w:val="24"/>
          <w:szCs w:val="24"/>
        </w:rPr>
      </w:pPr>
      <w:r w:rsidRPr="00B43F06">
        <w:rPr>
          <w:rFonts w:ascii="Calibri" w:hAnsi="Calibri" w:cs="Calibri"/>
          <w:sz w:val="24"/>
          <w:szCs w:val="24"/>
        </w:rPr>
        <w:t>Mensuração Razoável do Progresso</w:t>
      </w:r>
    </w:p>
    <w:p w14:paraId="69085BFB" w14:textId="1265AD80"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Uma entidade só poderá reconhecer receita por uma obrigação de cumprimento satisfeita ao longo do tempo se puder mensurar razoavelmente seu progresso em direção à satisfação completa dessa obrigação. Uma entidade não poderá mensurar razoavelmente seu progresso em direção à satisfação completa de uma obrigação de cumprimento se não possuir informações confiáveis necessárias para aplicar um método apropriado de mensuração do progresso.</w:t>
      </w:r>
    </w:p>
    <w:p w14:paraId="00BD9D8E"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p>
    <w:p w14:paraId="0551FD3F" w14:textId="669733C1"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 xml:space="preserve">Em algumas circunstâncias (por exemplo, nos estágios iniciais de um acordo vinculante), uma entidade pode não ser capaz de mensurar razoavelmente o resultado de uma obrigação de cumprimento, mas espera recuperar os custos incorridos para satisfazer essa obrigação. Nessas circunstâncias, a entidade deve reconhecer a receita apenas na medida dos custos incorridos até o momento em que possa mensurar razoavelmente o resultado da obrigação de cumprimento. </w:t>
      </w:r>
    </w:p>
    <w:p w14:paraId="3521F4E2" w14:textId="77777777" w:rsidR="00D81CAD" w:rsidRPr="00B43F06" w:rsidRDefault="00D81CAD" w:rsidP="00C97A3F">
      <w:pPr>
        <w:pStyle w:val="IASBSectionTitle1NonInd"/>
        <w:pBdr>
          <w:bottom w:val="none" w:sz="0" w:space="0" w:color="auto"/>
        </w:pBdr>
        <w:spacing w:before="100" w:after="240"/>
        <w:jc w:val="both"/>
        <w:rPr>
          <w:rFonts w:ascii="Calibri" w:hAnsi="Calibri" w:cs="Calibri"/>
          <w:sz w:val="24"/>
          <w:szCs w:val="24"/>
        </w:rPr>
      </w:pPr>
      <w:r w:rsidRPr="00B43F06">
        <w:rPr>
          <w:rFonts w:ascii="Calibri" w:hAnsi="Calibri" w:cs="Calibri"/>
          <w:sz w:val="24"/>
          <w:szCs w:val="24"/>
        </w:rPr>
        <w:t>Avaliação Subsequente dos Critérios de Reconhecimento de Ativo</w:t>
      </w:r>
    </w:p>
    <w:p w14:paraId="72BC5BA3" w14:textId="73A047AD"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Quando uma entrada de recursos proveniente de um acordo vinculante no alcance desta norma não atender aos critérios do item 18, e uma entidade receber posteriormente uma entrada de recursos do provedor de recursos, a entidade deverá reconhecer a entrada recebida como receita somente quando ocorrer um dos seguintes eventos:</w:t>
      </w:r>
    </w:p>
    <w:p w14:paraId="3F147EBE"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a entidade não possui obrigação de cumprimento não satisfeita; ou</w:t>
      </w:r>
    </w:p>
    <w:p w14:paraId="104F02B0"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(b) o acordo foi rescindido e o valor recebido do provedor de recursos não é reembolsável.</w:t>
      </w:r>
    </w:p>
    <w:p w14:paraId="4226CE3D" w14:textId="77777777" w:rsidR="00D81CAD" w:rsidRPr="00B43F06" w:rsidRDefault="00D81CAD" w:rsidP="00C97A3F">
      <w:pPr>
        <w:pStyle w:val="IASBSectionTitle1NonInd"/>
        <w:pBdr>
          <w:bottom w:val="none" w:sz="0" w:space="0" w:color="auto"/>
        </w:pBdr>
        <w:spacing w:before="100" w:after="240"/>
        <w:jc w:val="both"/>
        <w:rPr>
          <w:rFonts w:ascii="Calibri" w:hAnsi="Calibri" w:cs="Calibri"/>
          <w:sz w:val="24"/>
          <w:szCs w:val="24"/>
        </w:rPr>
      </w:pPr>
      <w:r w:rsidRPr="00B43F06">
        <w:rPr>
          <w:rFonts w:ascii="Calibri" w:hAnsi="Calibri" w:cs="Calibri"/>
          <w:sz w:val="24"/>
          <w:szCs w:val="24"/>
        </w:rPr>
        <w:t>Mensuração</w:t>
      </w:r>
    </w:p>
    <w:p w14:paraId="7D0FA3E5" w14:textId="77777777" w:rsidR="00D81CAD" w:rsidRPr="00B43F06"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B43F06">
        <w:rPr>
          <w:rFonts w:ascii="Calibri" w:hAnsi="Calibri" w:cs="Calibri"/>
          <w:i/>
          <w:iCs/>
          <w:sz w:val="24"/>
          <w:szCs w:val="24"/>
        </w:rPr>
        <w:t>Mensuração de Ativos Provenientes de Entrada de Recursos</w:t>
      </w:r>
    </w:p>
    <w:p w14:paraId="5C0F80E6" w14:textId="2381D908"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Um ativo em uma transação de receita com um acordo vinculante deve ser inicialmente mensurado pela entidade pela contraprestação da transação na data em que os critérios para reconhecimento do ativo forem atendidos (ver itens 109 a 132). Posteriormente, a entidade deve mensurar o ativo de acordo com o item 31.</w:t>
      </w:r>
    </w:p>
    <w:p w14:paraId="59D0E95F" w14:textId="77777777" w:rsidR="00D81CAD" w:rsidRPr="00B43F06"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B43F06">
        <w:rPr>
          <w:rFonts w:ascii="Calibri" w:hAnsi="Calibri" w:cs="Calibri"/>
          <w:i/>
          <w:iCs/>
          <w:sz w:val="24"/>
          <w:szCs w:val="24"/>
        </w:rPr>
        <w:t>Mensuração de Passivos</w:t>
      </w:r>
    </w:p>
    <w:p w14:paraId="3E95B7FB" w14:textId="2D00BF86"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 montante reconhecido como passivo deve ser a melhor estimativa do montante necessário para liquidar a obrigação de cumprimento na data das demonstrações contábeis. Para efeitos desta norma, a melhor estimativa de um passivo no reconhecimento inicial limita-se ao valor do ativo associado reconhecido para a entrada de recursos. A entidade deve aplicar o item 33 na determinação da sua melhor estimativa do passivo.</w:t>
      </w:r>
    </w:p>
    <w:p w14:paraId="10BFE331" w14:textId="77777777" w:rsidR="00D81CAD" w:rsidRPr="00B43F06"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B43F06">
        <w:rPr>
          <w:rFonts w:ascii="Calibri" w:hAnsi="Calibri" w:cs="Calibri"/>
          <w:i/>
          <w:iCs/>
          <w:sz w:val="24"/>
          <w:szCs w:val="24"/>
        </w:rPr>
        <w:t>Mensuração de Transações de Receita com Acordos Vinculantes</w:t>
      </w:r>
    </w:p>
    <w:p w14:paraId="2C7B7B76" w14:textId="054EBC01"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Quando (ou conforme) uma obrigação de cumprimento for satisfeita, uma entidade deverá reconhecer como receita o valor da contraprestação da transação (que exclui estimativas de contraprestação variável que são limitadas de acordo com os itens 119 a 121) que for alocada a essa obrigação de cumprimento.</w:t>
      </w:r>
    </w:p>
    <w:p w14:paraId="54ED9D92" w14:textId="77777777" w:rsidR="00D81CAD" w:rsidRPr="00B43F06" w:rsidRDefault="00D81CAD" w:rsidP="00C97A3F">
      <w:pPr>
        <w:pStyle w:val="IASBSectionTitle1NonInd"/>
        <w:pBdr>
          <w:bottom w:val="none" w:sz="0" w:space="0" w:color="auto"/>
        </w:pBdr>
        <w:spacing w:before="100" w:after="240"/>
        <w:jc w:val="both"/>
        <w:rPr>
          <w:rFonts w:ascii="Calibri" w:hAnsi="Calibri" w:cs="Calibri"/>
          <w:sz w:val="24"/>
          <w:szCs w:val="24"/>
        </w:rPr>
      </w:pPr>
      <w:r w:rsidRPr="00B43F06">
        <w:rPr>
          <w:rFonts w:ascii="Calibri" w:hAnsi="Calibri" w:cs="Calibri"/>
          <w:sz w:val="24"/>
          <w:szCs w:val="24"/>
        </w:rPr>
        <w:t>Determinação da Contraprestação da Transação</w:t>
      </w:r>
    </w:p>
    <w:p w14:paraId="3AC2BC89" w14:textId="30E0580B"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 xml:space="preserve">Uma entidade deve considerar os termos do acordo vinculante e suas práticas habituais para determinar a contraprestação da transação. A </w:t>
      </w:r>
      <w:r w:rsidR="00D81CAD" w:rsidRPr="00A70B5D">
        <w:rPr>
          <w:rFonts w:ascii="Calibri" w:hAnsi="Calibri" w:cs="Calibri"/>
          <w:b w:val="0"/>
          <w:bCs/>
          <w:sz w:val="24"/>
          <w:szCs w:val="24"/>
        </w:rPr>
        <w:t xml:space="preserve">contraprestação da transação é o montante de recursos ao qual a entidade espera ter direito no acordo vinculante para </w:t>
      </w:r>
      <w:r w:rsidR="000B3511" w:rsidRPr="00A70B5D">
        <w:rPr>
          <w:rFonts w:ascii="Calibri" w:hAnsi="Calibri" w:cs="Calibri"/>
          <w:b w:val="0"/>
          <w:bCs/>
          <w:sz w:val="24"/>
          <w:szCs w:val="24"/>
        </w:rPr>
        <w:t xml:space="preserve">satisfazer </w:t>
      </w:r>
      <w:r w:rsidR="00D81CAD" w:rsidRPr="00A70B5D">
        <w:rPr>
          <w:rFonts w:ascii="Calibri" w:hAnsi="Calibri" w:cs="Calibri"/>
          <w:b w:val="0"/>
          <w:bCs/>
          <w:sz w:val="24"/>
          <w:szCs w:val="24"/>
        </w:rPr>
        <w:t>suas obrigações de cumprimento, excluindo valores arrecadados em nome de terceiros (por exemplo, alguns tributos sobre vendas). A contraprestação prometida em um acordo vinculante pode incluir valores fixos,</w:t>
      </w:r>
      <w:r w:rsidR="00D81CAD" w:rsidRPr="00D81CAD">
        <w:rPr>
          <w:rFonts w:ascii="Calibri" w:hAnsi="Calibri" w:cs="Calibri"/>
          <w:b w:val="0"/>
          <w:bCs/>
          <w:sz w:val="24"/>
          <w:szCs w:val="24"/>
        </w:rPr>
        <w:t xml:space="preserve"> valores variáveis ou ambos.</w:t>
      </w:r>
    </w:p>
    <w:p w14:paraId="1647EC40" w14:textId="057A179A"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 risco de crédito não é considerado na determinação do montante a que a entidade espera ter direito. As perdas por redução ao valor recuperável relacionadas ao risco de crédito (ou seja, a redução ao valor recuperável de um valor a receber) são mensuradas com base nas orientações da NBC TSP 31.</w:t>
      </w:r>
    </w:p>
    <w:p w14:paraId="603F231F" w14:textId="150C4567"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natureza, o momento e o valor da contraprestação afetam a estimativa da contraprestação da transação. Ao determinar a contraprestação da transação, uma entidade deve considerar os efeitos de todos os seguintes fatores:</w:t>
      </w:r>
    </w:p>
    <w:p w14:paraId="71334E3A" w14:textId="6F5D5B74" w:rsidR="00D81CAD" w:rsidRPr="00D81CAD" w:rsidRDefault="00D81CAD" w:rsidP="00C90136">
      <w:pPr>
        <w:pStyle w:val="IASBSectionTitle1NonInd"/>
        <w:numPr>
          <w:ilvl w:val="1"/>
          <w:numId w:val="3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contraprestação variável (ver itens 113 –117 e 122);</w:t>
      </w:r>
    </w:p>
    <w:p w14:paraId="584CEB79" w14:textId="6B8A6055" w:rsidR="00D81CAD" w:rsidRPr="00D81CAD" w:rsidRDefault="00D81CAD" w:rsidP="00C90136">
      <w:pPr>
        <w:pStyle w:val="IASBSectionTitle1NonInd"/>
        <w:numPr>
          <w:ilvl w:val="1"/>
          <w:numId w:val="3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limitação das estimativas de contraprestação variável (ver itens 119 –121);</w:t>
      </w:r>
    </w:p>
    <w:p w14:paraId="19F26A16" w14:textId="369E8C00" w:rsidR="00D81CAD" w:rsidRPr="00D81CAD" w:rsidRDefault="00D81CAD" w:rsidP="00C90136">
      <w:pPr>
        <w:pStyle w:val="IASBSectionTitle1NonInd"/>
        <w:numPr>
          <w:ilvl w:val="1"/>
          <w:numId w:val="3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existência de componente de financiamento significativo no acordo vinculante (ver itens 123 a 128);</w:t>
      </w:r>
    </w:p>
    <w:p w14:paraId="03DC7B67" w14:textId="7B6D9DDC" w:rsidR="00D81CAD" w:rsidRPr="00D81CAD" w:rsidRDefault="00D81CAD" w:rsidP="00C90136">
      <w:pPr>
        <w:pStyle w:val="IASBSectionTitle1NonInd"/>
        <w:numPr>
          <w:ilvl w:val="1"/>
          <w:numId w:val="3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contraprestação não monetária (ver itens 129 a 132); e</w:t>
      </w:r>
    </w:p>
    <w:p w14:paraId="3C76D4BE" w14:textId="374DF42A" w:rsidR="00D81CAD" w:rsidRPr="00D81CAD" w:rsidRDefault="00D81CAD" w:rsidP="00C90136">
      <w:pPr>
        <w:pStyle w:val="IASBSectionTitle1NonInd"/>
        <w:numPr>
          <w:ilvl w:val="1"/>
          <w:numId w:val="3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contraprestação a pagar ao provedor de recursos (ver itens A104–A106).</w:t>
      </w:r>
    </w:p>
    <w:p w14:paraId="35CC4AF3" w14:textId="20663BD8"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Para efeitos de determinar a contraprestação da transação, a entidade deve presumir que a contraprestação será recebida de acordo com os termos do acordo vinculante existente e que o acordo vinculante não será cancelado, renovado ou modificado.</w:t>
      </w:r>
    </w:p>
    <w:p w14:paraId="79642284" w14:textId="77777777" w:rsidR="00D81CAD" w:rsidRPr="00B43F06"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B43F06">
        <w:rPr>
          <w:rFonts w:ascii="Calibri" w:hAnsi="Calibri" w:cs="Calibri"/>
          <w:i/>
          <w:iCs/>
          <w:sz w:val="24"/>
          <w:szCs w:val="24"/>
        </w:rPr>
        <w:t>Contraprestação Variável</w:t>
      </w:r>
    </w:p>
    <w:p w14:paraId="118D24C8" w14:textId="75FF0C7D" w:rsidR="00D81CAD" w:rsidRPr="00D81CAD" w:rsidRDefault="00A70B5D"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Caso a contraprestação no acordo vinculante inclua um valor variável, a entidade deverá estimar o valor da contraprestação que espera receber do provedor de recursos.</w:t>
      </w:r>
    </w:p>
    <w:p w14:paraId="6EC8C5D3" w14:textId="522D5A1B" w:rsidR="00D81CAD" w:rsidRPr="00D81CAD" w:rsidRDefault="00EA139A" w:rsidP="00A70B5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 valor da contraprestação pode variar devido a descontos, abatimentos, reembolsos, créditos, concessões de preço, incentivos, bônus de desempenho, penalidades ou outros itens semelhantes. A contraprestação também pode variar se o direito da entidade à contraprestação estiver condicionado à ocorrência ou não de um evento futuro. Por exemplo, o valor da contraprestação seria variável se um valor fixo fosse prometido como bônus de desempenho pela conquista de uma meta especificada no acordo vinculante.</w:t>
      </w:r>
    </w:p>
    <w:p w14:paraId="275A2032" w14:textId="518B014C" w:rsidR="00D81CAD" w:rsidRPr="00D81CAD" w:rsidRDefault="00EA139A" w:rsidP="00EA139A">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A variabilidade relativa à contraprestação pode ser explicitamente estipulada em leis, regulamentos ou em um acordo vinculante. Além dos termos das leis, regulamentos ou de um acordo vinculante, a contraprestação é variável se ocorrer uma das seguintes circunstâncias:</w:t>
      </w:r>
    </w:p>
    <w:p w14:paraId="4791F169" w14:textId="050F0088" w:rsidR="00D81CAD" w:rsidRPr="00D81CAD" w:rsidRDefault="00D81CAD" w:rsidP="00C90136">
      <w:pPr>
        <w:pStyle w:val="IASBSectionTitle1NonInd"/>
        <w:numPr>
          <w:ilvl w:val="1"/>
          <w:numId w:val="3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provedor de recursos tem expectativa válida, decorrente das práticas habituais da entidade, de suas políticas divulgadas ou de declarações específicas, de que esta aceitará um valor de contraprestação inferior ao estipulado no acordo vinculante ou na legislação aplicável. Ou seja, espera-se que a entidade ofereça ou aceite um valor reduzido em virtude de uma concessão. Dependendo da jurisdição, do setor ou do provedor de recursos, essa oferta pode ser denominada desconto, abatimento, reembolso ou crédito; ou</w:t>
      </w:r>
    </w:p>
    <w:p w14:paraId="44E71B6A" w14:textId="2B940898" w:rsidR="00D81CAD" w:rsidRPr="00D81CAD" w:rsidRDefault="00D81CAD" w:rsidP="00C90136">
      <w:pPr>
        <w:pStyle w:val="IASBSectionTitle1NonInd"/>
        <w:numPr>
          <w:ilvl w:val="1"/>
          <w:numId w:val="3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outros fatos e circunstâncias indicam que a intenção da entidade, ao celebrar o acordo com o provedor de recursos, é oferecer uma concessão de preço a este.</w:t>
      </w:r>
    </w:p>
    <w:p w14:paraId="71139C47"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item A37 fornece orientações adicionais sobre concessões implícitas de preços.</w:t>
      </w:r>
    </w:p>
    <w:p w14:paraId="185F49C7" w14:textId="2E38FB9E"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Uma entidade deve estimar o valor da contraprestação variável utilizando um dos seguintes métodos, dependendo de qual método a entidade espera que melhor preveja o valor da contraprestação a que espera ter direito:</w:t>
      </w:r>
    </w:p>
    <w:p w14:paraId="40264A2A" w14:textId="11497B57" w:rsidR="00D81CAD" w:rsidRPr="00D81CAD" w:rsidRDefault="00D81CAD" w:rsidP="00C90136">
      <w:pPr>
        <w:pStyle w:val="IASBSectionTitle1NonInd"/>
        <w:numPr>
          <w:ilvl w:val="1"/>
          <w:numId w:val="3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valor esperado — o valor esperado é a soma dos valores ponderados pela probabilidade em uma faixa de valores de contraprestação possíveis. Um valor esperado pode ser uma estimativa apropriada do valor da contraprestação variável se uma entidade tiver um grande número de acordos vinculantes com características semelhantes; ou</w:t>
      </w:r>
    </w:p>
    <w:p w14:paraId="17F802C1" w14:textId="4B0D6A82" w:rsidR="00D81CAD" w:rsidRPr="00D81CAD" w:rsidRDefault="00D81CAD" w:rsidP="00C90136">
      <w:pPr>
        <w:pStyle w:val="IASBSectionTitle1NonInd"/>
        <w:numPr>
          <w:ilvl w:val="1"/>
          <w:numId w:val="3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valor mais provável — o valor mais provável é o valor único mais provável em um intervalo de valores de contraprestação possíveis (ou seja, o resultado único mais provável do acordo vinculante). O valor mais provável pode ser uma estimativa apropriada do valor da contraprestação variável se o acordo vinculante tiver apenas dois resultados possíveis (por exemplo, uma entidade conclui a construção da infraestrutura dentro do prazo ou não).</w:t>
      </w:r>
    </w:p>
    <w:p w14:paraId="208E6342" w14:textId="69BAA377"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Uma entidade deve aplicar um único método de forma consistente ao estimar o efeito da incerteza sobre o valor da contraprestação variável à qual espera ter direito. Além disso, a entidade deve considerar todas as informações (históricas, atuais e projetadas) que estejam razoavelmente disponíveis e identificar um número razoável de valores de contraprestação possíveis. As informações que uma entidade utiliza para estimar o valor da contraprestação variável normalmente seriam semelhantes às informações que a administração da entidade utiliza para estimar o valor a receber. Nos casos em que o acordo vinculante exige que a entidade transfira bens ou serviços distintos para outra parte, as informações normalmente seriam semelhantes às informações que a administração da entidade utiliza durante o processo de licitação e proposta e na definição dos preços dos bens ou serviços prometidos.</w:t>
      </w:r>
    </w:p>
    <w:p w14:paraId="118296D9" w14:textId="77777777" w:rsidR="00D81CAD" w:rsidRPr="009C055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9C055A">
        <w:rPr>
          <w:rFonts w:ascii="Calibri" w:hAnsi="Calibri" w:cs="Calibri"/>
          <w:i/>
          <w:iCs/>
          <w:sz w:val="24"/>
          <w:szCs w:val="24"/>
        </w:rPr>
        <w:t>Passivos de Reembolso</w:t>
      </w:r>
    </w:p>
    <w:p w14:paraId="59E1BB54" w14:textId="3A1A39E1"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Uma entidade pode celebrar um acordo vinculante que inclua um direito de devolução. Nesses casos, a entidade deve reconhecer um passivo de reembolso se receber contraprestação de um provedor de recursos e esperar reembolsar parte ou a totalidade dessa contraprestação ao provedor de recursos em relação à transferência de bens ou serviços distintos para um comprador ou terceiro beneficiário. O passivo de reembolso é mensurado pelo valor da contraprestação recebida (ou a receber) à qual a entidade não espera ter direito (ou seja, valores não incluídos na contraprestação da transação). O passivo de reembolso (e a correspondente alteração na contraprestação da transação e, portanto, no passivo do acordo vinculante) deve ser atualizado ao final de cada período a que se referem as demonstrações contábeis para refletir as mudanças nas circunstâncias. Para contabilizar um passivo de reembolso relativo a uma venda com direito de devolução, a entidade deve aplicar as orientações dos itens A96 a A103.</w:t>
      </w:r>
    </w:p>
    <w:p w14:paraId="43DC5DB5" w14:textId="77777777" w:rsidR="00D81CAD" w:rsidRPr="009C055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9C055A">
        <w:rPr>
          <w:rFonts w:ascii="Calibri" w:hAnsi="Calibri" w:cs="Calibri"/>
          <w:i/>
          <w:iCs/>
          <w:sz w:val="24"/>
          <w:szCs w:val="24"/>
        </w:rPr>
        <w:t>Limitação das Estimativas de Contraprestação Variável</w:t>
      </w:r>
    </w:p>
    <w:p w14:paraId="7803BA93" w14:textId="622AC3B6"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Uma entidade deve incluir na contraprestação da transação parte ou a totalidade de um montante de contraprestação variável estimado de acordo com o item 116, somente na medida em que seja altamente provável que não ocorra uma reversão significativa no montante da receita acumulada reconhecida quando a incerteza associada à contraprestação variável for posteriormente resolvida.</w:t>
      </w:r>
    </w:p>
    <w:p w14:paraId="421980BB" w14:textId="15145DC8"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Ao avaliar se é altamente provável que não ocorra uma reversão significativa no montante da receita acumulada reconhecida após a resolução da incerteza relacionada à contraprestação variável, a entidade deve considerar tanto a probabilidade quanto a magnitude da reversão da receita. Os fatores que podem aumentar a probabilidade ou a magnitude de uma reversão de receita incluem, entre outros, os seguintes:</w:t>
      </w:r>
    </w:p>
    <w:p w14:paraId="676C4BFD" w14:textId="46DD33C1" w:rsidR="00D81CAD" w:rsidRPr="00D81CAD" w:rsidRDefault="00D81CAD" w:rsidP="00C90136">
      <w:pPr>
        <w:pStyle w:val="IASBSectionTitle1NonInd"/>
        <w:numPr>
          <w:ilvl w:val="1"/>
          <w:numId w:val="3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valor da contraprestação é altamente suscetível a fatores fora da influência da entidade. Esses fatores podem incluir a volatilidade do mercado, o julgamento ou as ações de terceiros, as condições climáticas e um alto risco de obsolescência da contraprestação (quando não monetária) ou do bem ou serviço prometido.</w:t>
      </w:r>
    </w:p>
    <w:p w14:paraId="40AC22BE" w14:textId="2F1740F7" w:rsidR="00D81CAD" w:rsidRPr="00D81CAD" w:rsidRDefault="00D81CAD" w:rsidP="00C90136">
      <w:pPr>
        <w:pStyle w:val="IASBSectionTitle1NonInd"/>
        <w:numPr>
          <w:ilvl w:val="1"/>
          <w:numId w:val="3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Não se espera que a incerteza sobre o valor da contraprestação seja resolvida por um longo período de tempo. Esta incerteza pode resultar do fato de a quantia ser determinada num período posterior à ocorrência do evento que gera a obrigação.</w:t>
      </w:r>
    </w:p>
    <w:p w14:paraId="26BDBA34" w14:textId="2A241302" w:rsidR="00D81CAD" w:rsidRPr="00D81CAD" w:rsidRDefault="00D81CAD" w:rsidP="00C90136">
      <w:pPr>
        <w:pStyle w:val="IASBSectionTitle1NonInd"/>
        <w:numPr>
          <w:ilvl w:val="1"/>
          <w:numId w:val="3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experiência da entidade (ou outras evidências) com tipos semelhantes de acordos vinculantes é limitada, ou essa experiência (ou outras evidências) tem valor preditivo limitado.</w:t>
      </w:r>
    </w:p>
    <w:p w14:paraId="579D14F0" w14:textId="44F9EDF2" w:rsidR="00D81CAD" w:rsidRPr="00D81CAD" w:rsidRDefault="00D81CAD" w:rsidP="00C90136">
      <w:pPr>
        <w:pStyle w:val="IASBSectionTitle1NonInd"/>
        <w:numPr>
          <w:ilvl w:val="1"/>
          <w:numId w:val="3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tem a prática de oferecer uma ampla gama de concessões de preço ou de alterar os termos e condições de pagamento de acordos vinculantes semelhantes em circunstâncias similares.</w:t>
      </w:r>
    </w:p>
    <w:p w14:paraId="40390FEF" w14:textId="432A3BEC" w:rsidR="00D81CAD" w:rsidRPr="00D81CAD" w:rsidRDefault="00D81CAD" w:rsidP="00C90136">
      <w:pPr>
        <w:pStyle w:val="IASBSectionTitle1NonInd"/>
        <w:numPr>
          <w:ilvl w:val="1"/>
          <w:numId w:val="3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acordo vinculante possui grande número e ampla faixa de valores possíveis de contraprestação.</w:t>
      </w:r>
    </w:p>
    <w:p w14:paraId="68250802" w14:textId="5343CF4B"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Uma entidade deve aplicar os itens A180 a A182 para contabilizar a contraprestação na forma de royalties baseados em vendas ou em uso, prometidos em troca de uma licença de propriedade intelectual.</w:t>
      </w:r>
    </w:p>
    <w:p w14:paraId="6FB119CD" w14:textId="77777777" w:rsidR="00D81CAD" w:rsidRPr="009C055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9C055A">
        <w:rPr>
          <w:rFonts w:ascii="Calibri" w:hAnsi="Calibri" w:cs="Calibri"/>
          <w:i/>
          <w:iCs/>
          <w:sz w:val="24"/>
          <w:szCs w:val="24"/>
        </w:rPr>
        <w:t>Reavaliação da Contraprestação Variável</w:t>
      </w:r>
    </w:p>
    <w:p w14:paraId="7837CEF2" w14:textId="3F9F7B9E" w:rsidR="00D81CAD" w:rsidRPr="00B84D68"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Ao final de cada período a que se referem as demonstrações contábeis, a entidade deverá atualizar a contraprestação estimada da transação (incluindo a atualização de sua avaliação sobre se a estimativa de entrada variável está limitada) para representar fielmente </w:t>
      </w:r>
      <w:r w:rsidR="00D81CAD" w:rsidRPr="00B84D68">
        <w:rPr>
          <w:rFonts w:ascii="Calibri" w:hAnsi="Calibri" w:cs="Calibri"/>
          <w:b w:val="0"/>
          <w:bCs/>
          <w:sz w:val="24"/>
          <w:szCs w:val="24"/>
        </w:rPr>
        <w:t>as circunstâncias presentes e as mudanças nessas circunstâncias durante o período. A entidade deverá contabilizar as variações na contraprestação da transação de acordo com os itens 144 a 147.</w:t>
      </w:r>
    </w:p>
    <w:p w14:paraId="100B1553" w14:textId="77777777" w:rsidR="00D81CAD" w:rsidRPr="004A25C1"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4A25C1">
        <w:rPr>
          <w:rFonts w:ascii="Calibri" w:hAnsi="Calibri" w:cs="Calibri"/>
          <w:i/>
          <w:iCs/>
          <w:sz w:val="24"/>
          <w:szCs w:val="24"/>
        </w:rPr>
        <w:t>A Existência de Componente de Financiamento Significativo no Acordo Vinculante</w:t>
      </w:r>
    </w:p>
    <w:p w14:paraId="143DCAED" w14:textId="0859031B"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Ao determinar a contraprestação da transação, a entidade deve ajustar o valor da contraprestação pelos efeitos do valor do dinheiro no tempo se o momento das entradas acordado pelas partes no acordo vinculante (seja explícita ou implicitamente) proporcionar ao provedor de recursos ou à entidade um benefício significativo de financiamento do acordo vinculante. Nessas circunstâncias, o acordo vinculante contém um componente de financiamento significativo. Um componente de financiamento significativo pode existir independentemente de a promessa de financiamento estar explicitamente declarada no acordo vinculante ou implícita nos termos acordados pelas partes no acordo vinculante ou nas leis e/ou regulamentos aplicáveis.</w:t>
      </w:r>
    </w:p>
    <w:p w14:paraId="219E9B4D" w14:textId="063C6564"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 objetivo ao ajustar o valor da contraprestação prometida por um componente de financiamento significativo é que a entidade reconheça a receita em um valor que reflita a contraprestação que um provedor de recursos teria transferido se tivesse transferido caixa (ou seja, o preço à vista) pelos bens ou serviços prometidos na obrigação de cumprimento, quando (ou conforme) a entidade os utiliza (internamente) ou os transfere (para o comprador ou terceiro beneficiário). A entidade deve considerar todos os fatos e circunstâncias relevantes ao avaliar se um acordo vinculante contém um componente de financiamento e se esse componente de financiamento é significativo para o acordo vinculante, incluindo os dois aspectos a seguir:</w:t>
      </w:r>
    </w:p>
    <w:p w14:paraId="5CB88B19" w14:textId="145B5BF4" w:rsidR="00D81CAD" w:rsidRPr="00D81CAD" w:rsidRDefault="00D81CAD" w:rsidP="00C90136">
      <w:pPr>
        <w:pStyle w:val="IASBSectionTitle1NonInd"/>
        <w:numPr>
          <w:ilvl w:val="1"/>
          <w:numId w:val="3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diferença, se houver, entre o valor da contraprestação prometida e o preço à vista dos bens ou serviços prometidos na obrigação de cumprimento; e</w:t>
      </w:r>
    </w:p>
    <w:p w14:paraId="2EBD2BC7" w14:textId="0FE35ECF" w:rsidR="00D81CAD" w:rsidRPr="00D81CAD" w:rsidRDefault="00D81CAD" w:rsidP="00C90136">
      <w:pPr>
        <w:pStyle w:val="IASBSectionTitle1NonInd"/>
        <w:numPr>
          <w:ilvl w:val="1"/>
          <w:numId w:val="3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efeito combinado dos dois fatores a seguir:</w:t>
      </w:r>
    </w:p>
    <w:p w14:paraId="3EED2E32" w14:textId="2E74EC55" w:rsidR="00D81CAD" w:rsidRPr="00D81CAD" w:rsidRDefault="00D81CAD" w:rsidP="00C90136">
      <w:pPr>
        <w:pStyle w:val="IASBSectionTitle1NonInd"/>
        <w:numPr>
          <w:ilvl w:val="0"/>
          <w:numId w:val="3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período de tempo previsto entre o momento em que a entidade cumpre a obrigação de cumprimento (se houver) e o momento em que o provedor de recursos transfere a contraprestação; e</w:t>
      </w:r>
    </w:p>
    <w:p w14:paraId="2C1218F2" w14:textId="569B424F" w:rsidR="00D81CAD" w:rsidRPr="00D81CAD" w:rsidRDefault="00D81CAD" w:rsidP="00C90136">
      <w:pPr>
        <w:pStyle w:val="IASBSectionTitle1NonInd"/>
        <w:numPr>
          <w:ilvl w:val="0"/>
          <w:numId w:val="3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as taxas de juros vigentes no mercado relevante.</w:t>
      </w:r>
    </w:p>
    <w:p w14:paraId="4D53BB27" w14:textId="6F3968F2"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Não obstante a avaliação do item 124, um acordo vinculante com um provedor de recursos não teria um componente de financiamento significativo se algum dos seguintes fatores estiver presente:</w:t>
      </w:r>
    </w:p>
    <w:p w14:paraId="203FACB3" w14:textId="2AD99B6F" w:rsidR="00D81CAD" w:rsidRPr="00D81CAD" w:rsidRDefault="00D81CAD" w:rsidP="00C90136">
      <w:pPr>
        <w:pStyle w:val="IASBSectionTitle1NonInd"/>
        <w:numPr>
          <w:ilvl w:val="1"/>
          <w:numId w:val="3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provedor de recursos fez a transferência antecipadamente e o momento em que a obrigação de cumprimento é satisfeita fica a critério do provedor de recursos.</w:t>
      </w:r>
    </w:p>
    <w:p w14:paraId="45D10739" w14:textId="792CC923" w:rsidR="00D81CAD" w:rsidRPr="00D81CAD" w:rsidRDefault="00D81CAD" w:rsidP="00C90136">
      <w:pPr>
        <w:pStyle w:val="IASBSectionTitle1NonInd"/>
        <w:numPr>
          <w:ilvl w:val="1"/>
          <w:numId w:val="3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uma parcela substancial da entrada prometida pelo provedor de recursos é variável, e o valor ou o momento desse pagamento variam com base na ocorrência ou não de um evento futuro que não está substancialmente sob o controle do provedor de recursos ou da entidade.</w:t>
      </w:r>
    </w:p>
    <w:p w14:paraId="7F0EF862" w14:textId="462D3F6C" w:rsidR="00D81CAD" w:rsidRPr="00D81CAD" w:rsidRDefault="00D81CAD" w:rsidP="00C90136">
      <w:pPr>
        <w:pStyle w:val="IASBSectionTitle1NonInd"/>
        <w:numPr>
          <w:ilvl w:val="1"/>
          <w:numId w:val="3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diferença entre a contraprestação e o preço à vista da transferência (conforme descrito no item 124) surge por razões que não sejam o fornecimento de financiamento ao provedor de recursos ou à entidade, e a diferença entre esses valores é proporcional ao motivo da diferença. Por exemplo, os termos podem fornecer à entidade ou ao provedor de recursos proteção contra o descumprimento, pela outra parte, de algumas ou todas as suas obrigações no âmbito do acordo vinculante.</w:t>
      </w:r>
    </w:p>
    <w:p w14:paraId="7C5BD044" w14:textId="6617BAA0"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Como medida prática, uma entidade não precisa ajustar a contraprestação pelos efeitos de um componente de financiamento significativo se, no início do acordo vinculante, a entidade prevê que o período entre o cumprimento da obrigação de cumprimento e a transferência da contraprestação pelo provedor de recursos será de um ano ou menos.</w:t>
      </w:r>
    </w:p>
    <w:p w14:paraId="6951CCE4" w14:textId="6F9A8462"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Para atingir o objetivo do item 124 ao ajustar a contraprestação por um componente de financiamento significativo, a entidade deve utilizar a taxa de desconto que seria refletida em uma transação de financiamento separada entre a entidade e seu provedor de recursos no início do acordo vinculante. Essa taxa refletiria as características de crédito da parte que recebe o financiamento no acordo vinculante, bem </w:t>
      </w:r>
      <w:proofErr w:type="gramStart"/>
      <w:r w:rsidR="00D81CAD" w:rsidRPr="00D81CAD">
        <w:rPr>
          <w:rFonts w:ascii="Calibri" w:hAnsi="Calibri" w:cs="Calibri"/>
          <w:b w:val="0"/>
          <w:bCs/>
          <w:sz w:val="24"/>
          <w:szCs w:val="24"/>
        </w:rPr>
        <w:t>como quaisquer garantias ou segurança fornecidas</w:t>
      </w:r>
      <w:proofErr w:type="gramEnd"/>
      <w:r w:rsidR="00D81CAD" w:rsidRPr="00D81CAD">
        <w:rPr>
          <w:rFonts w:ascii="Calibri" w:hAnsi="Calibri" w:cs="Calibri"/>
          <w:b w:val="0"/>
          <w:bCs/>
          <w:sz w:val="24"/>
          <w:szCs w:val="24"/>
        </w:rPr>
        <w:t xml:space="preserve"> pelo provedor de recursos ou pela entidade, incluindo ativos transferidos no acordo vinculante. A entidade pode determinar essa taxa identificando a taxa que desconta o valor nominal da contraprestação para o preço que o provedor de recursos transferiria quando (ou conforme) a obrigação de cumprimento for satisfeita (quando aplicável). Após o início do acordo vinculante, a entidade não deve atualizar a taxa de desconto em função de alterações nas taxas de juros ou outras circunstâncias (como uma alteração na avaliação do risco de crédito do provedor de recursos).</w:t>
      </w:r>
    </w:p>
    <w:p w14:paraId="022E4157" w14:textId="21657D85"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apresentar os efeitos do financiamento (receita de juros ou despesa de juros) separadamente da receita proveniente de acordos vinculantes na demonstração do resultado. A receita de juros ou a despesa de juros é reconhecida somente na medida em que um ativo de acordo vinculante (ou valor a receber) ou um passivo de acordo vinculante seja reconhecido na sua contabilização.</w:t>
      </w:r>
    </w:p>
    <w:p w14:paraId="438D5968" w14:textId="77777777" w:rsidR="00D81CAD" w:rsidRPr="004A25C1"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4A25C1">
        <w:rPr>
          <w:rFonts w:ascii="Calibri" w:hAnsi="Calibri" w:cs="Calibri"/>
          <w:i/>
          <w:iCs/>
          <w:sz w:val="24"/>
          <w:szCs w:val="24"/>
        </w:rPr>
        <w:t>Contraprestação Não Monetária</w:t>
      </w:r>
    </w:p>
    <w:p w14:paraId="20ABCA78" w14:textId="5C371CEA"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 xml:space="preserve">Para determinar a contraprestação da transação em acordos vinculantes nos quais um provedor de recursos promete uma contraprestação em uma forma que não seja em caixa, a entidade deve mensurar a contraprestação não monetária (ou o direito a uma entrada não monetária) pelo seu valor corrente, de acordo com a NBC TSP aplicável, </w:t>
      </w:r>
      <w:proofErr w:type="gramStart"/>
      <w:r w:rsidR="00D81CAD" w:rsidRPr="00D81CAD">
        <w:rPr>
          <w:rFonts w:ascii="Calibri" w:hAnsi="Calibri" w:cs="Calibri"/>
          <w:b w:val="0"/>
          <w:bCs/>
          <w:sz w:val="24"/>
          <w:szCs w:val="24"/>
        </w:rPr>
        <w:t>no momento em que</w:t>
      </w:r>
      <w:proofErr w:type="gramEnd"/>
      <w:r w:rsidR="00D81CAD" w:rsidRPr="00D81CAD">
        <w:rPr>
          <w:rFonts w:ascii="Calibri" w:hAnsi="Calibri" w:cs="Calibri"/>
          <w:b w:val="0"/>
          <w:bCs/>
          <w:sz w:val="24"/>
          <w:szCs w:val="24"/>
        </w:rPr>
        <w:t xml:space="preserve"> os critérios para o reconhecimento do ativo forem atendidos.</w:t>
      </w:r>
    </w:p>
    <w:p w14:paraId="79832659" w14:textId="24810E78"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Caso uma entidade não consiga estimar razoavelmente o valor corrente da contraprestação não monetária, ela deverá mensurá-la indiretamente, com base no valor individual dos bens ou serviços que devem ser utilizados internamente ou transferidos ao comprador ou a um terceiro beneficiário (ou classe de provedor de recursos) em troca da contraprestação.</w:t>
      </w:r>
    </w:p>
    <w:p w14:paraId="37630C7C" w14:textId="0CF59D7E"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 valor corrente da contraprestação não monetária pode variar devido à forma da contraprestação. Se o valor corrente da contraprestação não monetária prometida por um provedor de recursos variar por razões que não sejam apenas a forma da contraprestação, a entidade deverá aplicar os requisitos dos itens 119 a 121.</w:t>
      </w:r>
    </w:p>
    <w:p w14:paraId="6DE2B71A" w14:textId="34EC3983"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Se um provedor de recursos contribuir com bens ou serviços (por exemplo, materiais, equipamentos ou mão de obra) para facilitar o cumprimento do acordo vinculante por parte de uma entidade, esta deverá avaliar se obtém o controle desses bens ou serviços contribuídos. Em caso afirmativo, a entidade deverá contabilizar os bens ou serviços contribuídos como contraprestação não monetária recebida do provedor de recursos.</w:t>
      </w:r>
    </w:p>
    <w:p w14:paraId="226F3D1F" w14:textId="77777777" w:rsidR="00D81CAD" w:rsidRPr="004A25C1" w:rsidRDefault="00D81CAD" w:rsidP="00C97A3F">
      <w:pPr>
        <w:pStyle w:val="IASBSectionTitle1NonInd"/>
        <w:pBdr>
          <w:bottom w:val="none" w:sz="0" w:space="0" w:color="auto"/>
        </w:pBdr>
        <w:spacing w:before="100" w:after="240"/>
        <w:jc w:val="both"/>
        <w:rPr>
          <w:rFonts w:ascii="Calibri" w:hAnsi="Calibri" w:cs="Calibri"/>
          <w:sz w:val="24"/>
          <w:szCs w:val="24"/>
        </w:rPr>
      </w:pPr>
      <w:r w:rsidRPr="004A25C1">
        <w:rPr>
          <w:rFonts w:ascii="Calibri" w:hAnsi="Calibri" w:cs="Calibri"/>
          <w:sz w:val="24"/>
          <w:szCs w:val="24"/>
        </w:rPr>
        <w:t>Alocação da Contraprestação da Transação às Obrigações de Cumprimento</w:t>
      </w:r>
    </w:p>
    <w:p w14:paraId="2088943F" w14:textId="6E91826F"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 objetivo ao alocar a contraprestação da transação é que a entidade aloque a contraprestação a cada obrigação de cumprimento no montante que represente o valor da contraprestação a que a entidade espera ter direito para satisfazer as obrigações de cumprimento.</w:t>
      </w:r>
    </w:p>
    <w:p w14:paraId="32AC0164" w14:textId="5846228A"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Para atingir o objetivo de alocação, a entidade deve alocar a contraprestação da transação a cada obrigação de cumprimento identificada no acordo vinculante, com base no valor individual relativo, de acordo com os itens 136 a 140, exceto conforme especificado nos itens A107 a A109 (para alocação de descontos) e nos itens 141 a 143 (para alocação de contraprestação que inclui valores variáveis). O valor da receita reconhecida deve ser proporcional à entrada de recursos reconhecida como ativo, com base na porcentagem estimada do total das obrigações de cumprimento satisfeitas.</w:t>
      </w:r>
    </w:p>
    <w:p w14:paraId="0BBE1E44" w14:textId="1A417851"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Os itens 136 a 143 não se aplicam se um acordo vinculante tiver apenas uma obrigação de cumprimento. No entanto, os itens 141 a 143 podem ser aplicáveis se uma entidade prometer usar ou transferir uma série de bens ou serviços distintos identificados como uma única obrigação de cumprimento de acordo com o item 68(b) e a contraprestação prometida incluir valores variáveis.</w:t>
      </w:r>
    </w:p>
    <w:p w14:paraId="179BCE61" w14:textId="77777777" w:rsidR="00D81CAD" w:rsidRPr="004A25C1"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4A25C1">
        <w:rPr>
          <w:rFonts w:ascii="Calibri" w:hAnsi="Calibri" w:cs="Calibri"/>
          <w:i/>
          <w:iCs/>
          <w:sz w:val="24"/>
          <w:szCs w:val="24"/>
        </w:rPr>
        <w:t>Alocação com Base nos Valores Individuais</w:t>
      </w:r>
    </w:p>
    <w:p w14:paraId="4F491124" w14:textId="2DC9084C"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Para alocar a contraprestação da transação a cada obrigação de cumprimento com base em seu valor individual relativo, a entidade deve determinar o valor individual, no início do acordo vinculante, do bem ou serviço específico subjacente a cada obrigação de cumprimento no acordo vinculante e alocar a contraprestação da transação proporcionalmente a esses valores individuais.</w:t>
      </w:r>
    </w:p>
    <w:p w14:paraId="41236ADE" w14:textId="730F4ED4"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 valor individual é o preço de um bem ou serviço que deve ser utilizado internamente ou fornecido separadamente a um comprador ou a um terceiro beneficiário. A melhor evidência de um valor individual é o preço observável de um bem ou serviço quando a entidade fornece esse bem ou serviço separadamente em circunstâncias semelhantes e a provedores de recursos semelhantes. Em um acordo vinculante, o preço declarado ou o preço de tabela de um bem ou serviço pode ser (mas não deve ser presumido como sendo) o valor individual desse bem ou serviço.</w:t>
      </w:r>
    </w:p>
    <w:p w14:paraId="06C7A9DB" w14:textId="173CD3C5"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Caso um valor individual não seja diretamente observável, a entidade deverá estimá-lo em um montante que resulte na alocação da contraprestação da transação atendendo ao objetivo de alocação descrito no item 133. Ao estimar um valor individual, a entidade deverá considerar todas as informações (incluindo fatores específicos da entidade, informações sobre o provedor de recursos ou classe de provedor de recursos e condições de mercado, quando relevantes) que estejam razoavelmente disponíveis. Ao fazê-lo, a entidade deverá maximizar o uso de dados observáveis e aplicar os métodos de estimativa de forma consistente em circunstâncias semelhantes.</w:t>
      </w:r>
    </w:p>
    <w:p w14:paraId="34CBFCEB" w14:textId="3E5A1EFC"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Os métodos adequados para estimar o valor individual de um bem ou serviço incluem, mas não se limitam </w:t>
      </w:r>
      <w:r w:rsidRPr="00D81CAD">
        <w:rPr>
          <w:rFonts w:ascii="Calibri" w:hAnsi="Calibri" w:cs="Calibri"/>
          <w:b w:val="0"/>
          <w:bCs/>
          <w:sz w:val="24"/>
          <w:szCs w:val="24"/>
        </w:rPr>
        <w:t>os</w:t>
      </w:r>
      <w:r w:rsidR="00D81CAD" w:rsidRPr="00D81CAD">
        <w:rPr>
          <w:rFonts w:ascii="Calibri" w:hAnsi="Calibri" w:cs="Calibri"/>
          <w:b w:val="0"/>
          <w:bCs/>
          <w:sz w:val="24"/>
          <w:szCs w:val="24"/>
        </w:rPr>
        <w:t xml:space="preserve"> seguintes:</w:t>
      </w:r>
    </w:p>
    <w:p w14:paraId="10B28C5B" w14:textId="3ED8A46F" w:rsidR="00D81CAD" w:rsidRPr="00D81CAD" w:rsidRDefault="00D81CAD" w:rsidP="00C90136">
      <w:pPr>
        <w:pStyle w:val="IASBSectionTitle1NonInd"/>
        <w:numPr>
          <w:ilvl w:val="1"/>
          <w:numId w:val="3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abordagem de avaliação de mercado ajustada — uma entidade pode avaliar o mercado em que utiliza ou fornece bens ou serviços e estimar o preço que outras entidades nesse mercado estariam dispostas a pagar por esses bens ou serviços, ou por bens ou serviços similares, ajustando esses preços conforme necessário para refletir os custos e margens da entidade.</w:t>
      </w:r>
    </w:p>
    <w:p w14:paraId="2CBF2F64" w14:textId="315D02D5" w:rsidR="00D81CAD" w:rsidRPr="00DA1E98" w:rsidRDefault="00D81CAD" w:rsidP="00C90136">
      <w:pPr>
        <w:pStyle w:val="IASBSectionTitle1NonInd"/>
        <w:numPr>
          <w:ilvl w:val="1"/>
          <w:numId w:val="3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abordagem do custo esperado — uma entidade pode prever </w:t>
      </w:r>
      <w:r w:rsidRPr="00DA1E98">
        <w:rPr>
          <w:rFonts w:ascii="Calibri" w:hAnsi="Calibri" w:cs="Calibri"/>
          <w:b w:val="0"/>
          <w:bCs/>
          <w:sz w:val="24"/>
          <w:szCs w:val="24"/>
        </w:rPr>
        <w:t xml:space="preserve">seus custos esperados para </w:t>
      </w:r>
      <w:r w:rsidR="00281830" w:rsidRPr="00DA1E98">
        <w:rPr>
          <w:rFonts w:ascii="Calibri" w:hAnsi="Calibri" w:cs="Calibri"/>
          <w:b w:val="0"/>
          <w:bCs/>
          <w:sz w:val="24"/>
          <w:szCs w:val="24"/>
        </w:rPr>
        <w:t xml:space="preserve">satisfazer </w:t>
      </w:r>
      <w:r w:rsidRPr="00DA1E98">
        <w:rPr>
          <w:rFonts w:ascii="Calibri" w:hAnsi="Calibri" w:cs="Calibri"/>
          <w:b w:val="0"/>
          <w:bCs/>
          <w:sz w:val="24"/>
          <w:szCs w:val="24"/>
        </w:rPr>
        <w:t>uma obrigação de cumprimento e, se aplicável, adicionar uma margem apropriada para esse bem ou serviço.</w:t>
      </w:r>
    </w:p>
    <w:p w14:paraId="3D89C8E0" w14:textId="78B48011" w:rsidR="00D81CAD" w:rsidRPr="00D81CAD" w:rsidRDefault="00D81CAD" w:rsidP="00C90136">
      <w:pPr>
        <w:pStyle w:val="IASBSectionTitle1NonInd"/>
        <w:numPr>
          <w:ilvl w:val="1"/>
          <w:numId w:val="37"/>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abordagem residual — uma entidade pode estimar o valor individual com base na contraprestação total da transação, menos a soma dos valores individuais observáveis de outros bens ou serviços a serem usados ou transferidos no âmbito do acordo vinculante. No en</w:t>
      </w:r>
      <w:r w:rsidRPr="00D81CAD">
        <w:rPr>
          <w:rFonts w:ascii="Calibri" w:hAnsi="Calibri" w:cs="Calibri"/>
          <w:b w:val="0"/>
          <w:bCs/>
          <w:sz w:val="24"/>
          <w:szCs w:val="24"/>
        </w:rPr>
        <w:t>tanto, uma entidade pode usar uma abordagem residual para estimar, de acordo com o item 138, o valor individual de um bem ou serviço somente se um dos seguintes critérios for atendido:</w:t>
      </w:r>
    </w:p>
    <w:p w14:paraId="69EC0008" w14:textId="5E0B514A" w:rsidR="00D81CAD" w:rsidRPr="00D81CAD" w:rsidRDefault="00D81CAD" w:rsidP="00C90136">
      <w:pPr>
        <w:pStyle w:val="IASBSectionTitle1NonInd"/>
        <w:numPr>
          <w:ilvl w:val="0"/>
          <w:numId w:val="3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utiliza ou fornece o mesmo bem ou serviço a diferentes partes (simultaneamente ou em períodos próximos) por uma ampla gama de valores (ou seja, o preço é altamente variável porque um valor representativo independente não é discernível a partir de transações passadas ou outras evidências observáveis); ou</w:t>
      </w:r>
    </w:p>
    <w:p w14:paraId="1DCA17C3" w14:textId="733A71F3" w:rsidR="00D81CAD" w:rsidRPr="00D81CAD" w:rsidRDefault="00D81CAD" w:rsidP="00C90136">
      <w:pPr>
        <w:pStyle w:val="IASBSectionTitle1NonInd"/>
        <w:numPr>
          <w:ilvl w:val="0"/>
          <w:numId w:val="3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a entidade ainda não determinou um preço para esse bem ou serviço, e o bem ou serviço não foi fornecido anteriormente de forma individual (ou seja, o preço é incerto).</w:t>
      </w:r>
    </w:p>
    <w:p w14:paraId="6CFE5A0C" w14:textId="5DCF5C15"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Uma combinação de métodos pode ser necessária para estimar os valores individuais dos bens ou serviços a serem utilizados ou transferidos no acordo vinculante, caso dois ou mais desses bens ou serviços apresentem valores individuais altamente variáveis ou incertos. Por exemplo, uma entidade pode utilizar uma abordagem residual para estimar o valor individual agregado dos bens ou serviços com valores individuais altamente variáveis ou incertos e, em seguida, utilizar outro método para estimar os valores individuais dos bens ou serviços em relação a esse valor individual agregado estimado pela abordagem residual. Quando uma entidade utiliza uma combinação de métodos para estimar o valor individual de cada bem ou serviço no acordo vinculante, a entidade deve avaliar se a alocação da contraprestação da transação com base nesses valores individuais estimados seria consistente com o objetivo de alocação descrito no item 133 e com os requisitos para estimativa de valores individuais descritos no item 138.</w:t>
      </w:r>
    </w:p>
    <w:p w14:paraId="74D15FC3" w14:textId="77777777" w:rsidR="00D81CAD" w:rsidRPr="004A25C1"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4A25C1">
        <w:rPr>
          <w:rFonts w:ascii="Calibri" w:hAnsi="Calibri" w:cs="Calibri"/>
          <w:i/>
          <w:iCs/>
          <w:sz w:val="24"/>
          <w:szCs w:val="24"/>
        </w:rPr>
        <w:t>Alocação da Contraprestação Variável</w:t>
      </w:r>
    </w:p>
    <w:p w14:paraId="1F53C124" w14:textId="4F916242" w:rsidR="00D81CAD" w:rsidRPr="00D81CAD" w:rsidRDefault="00AB4830" w:rsidP="00AB4830">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contraprestação variável prometida em um acordo vinculante pode ser atribuída à totalidade do acordo vinculante ou a parte específica dele, como, por exemplo, a uma das seguintes:</w:t>
      </w:r>
    </w:p>
    <w:p w14:paraId="6B253AF2" w14:textId="40327424" w:rsidR="00D81CAD" w:rsidRPr="00D81CAD" w:rsidRDefault="00D81CAD" w:rsidP="00C90136">
      <w:pPr>
        <w:pStyle w:val="IASBSectionTitle1NonInd"/>
        <w:numPr>
          <w:ilvl w:val="1"/>
          <w:numId w:val="3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uma ou mais, mas não todas, as obrigações de cumprimento no acordo vinculante (por exemplo, um bônus pode estar condicionado ao uso ou transferência, por parte da entidade, de um bem ou serviço prometido dentro de um período de tempo específico); ou</w:t>
      </w:r>
    </w:p>
    <w:p w14:paraId="0E5350F3" w14:textId="6A9E7233" w:rsidR="00D81CAD" w:rsidRPr="00D81CAD" w:rsidRDefault="00D81CAD" w:rsidP="00C90136">
      <w:pPr>
        <w:pStyle w:val="IASBSectionTitle1NonInd"/>
        <w:numPr>
          <w:ilvl w:val="1"/>
          <w:numId w:val="3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um ou mais, mas não todos, os bens ou serviços distintos em uma série de bens ou serviços distintos que fazem parte de uma única obrigação de cumprimento de acordo com o item 68(b) (por exemplo, a contraprestação prometida para o segundo ano de um acordo vinculante de serviço de limpeza de dois anos aumentará com base nas variações de um índice de inflação especificado).</w:t>
      </w:r>
    </w:p>
    <w:p w14:paraId="2D5537A5" w14:textId="340D88D2" w:rsidR="00D81CAD" w:rsidRPr="00DA1E98"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Uma entidade deve alocar um montante variável (e alterações subsequentes a esse montante) </w:t>
      </w:r>
      <w:r w:rsidR="00D81CAD" w:rsidRPr="00DA1E98">
        <w:rPr>
          <w:rFonts w:ascii="Calibri" w:hAnsi="Calibri" w:cs="Calibri"/>
          <w:b w:val="0"/>
          <w:bCs/>
          <w:sz w:val="24"/>
          <w:szCs w:val="24"/>
        </w:rPr>
        <w:t>integralmente a uma obrigação de cumprimento ou a um bem ou serviço distinto que faça parte de uma única obrigação de cumprimento, de acordo com o item 68(b), se ambos os seguintes critérios forem atendidos:</w:t>
      </w:r>
    </w:p>
    <w:p w14:paraId="394485B7" w14:textId="798293DA" w:rsidR="00D81CAD" w:rsidRPr="00D81CAD" w:rsidRDefault="00D81CAD" w:rsidP="00C90136">
      <w:pPr>
        <w:pStyle w:val="IASBSectionTitle1NonInd"/>
        <w:numPr>
          <w:ilvl w:val="1"/>
          <w:numId w:val="40"/>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 xml:space="preserve">os termos de um pagamento variável relacionam-se especificamente aos esforços da entidade para </w:t>
      </w:r>
      <w:r w:rsidR="00281830" w:rsidRPr="00DA1E98">
        <w:rPr>
          <w:rFonts w:ascii="Calibri" w:hAnsi="Calibri" w:cs="Calibri"/>
          <w:b w:val="0"/>
          <w:bCs/>
          <w:sz w:val="24"/>
          <w:szCs w:val="24"/>
        </w:rPr>
        <w:t>satisfazer</w:t>
      </w:r>
      <w:r w:rsidRPr="00DA1E98">
        <w:rPr>
          <w:rFonts w:ascii="Calibri" w:hAnsi="Calibri" w:cs="Calibri"/>
          <w:b w:val="0"/>
          <w:bCs/>
          <w:sz w:val="24"/>
          <w:szCs w:val="24"/>
        </w:rPr>
        <w:t xml:space="preserve"> a obrigação de cumprimento ou usar ou transferir o bem ou serviço específico (ou a um resultado</w:t>
      </w:r>
      <w:r w:rsidRPr="00D81CAD">
        <w:rPr>
          <w:rFonts w:ascii="Calibri" w:hAnsi="Calibri" w:cs="Calibri"/>
          <w:b w:val="0"/>
          <w:bCs/>
          <w:sz w:val="24"/>
          <w:szCs w:val="24"/>
        </w:rPr>
        <w:t xml:space="preserve"> específico do cumprimento da obrigação de cumprimento ou do uso ou transferência do bem ou serviço específico); e</w:t>
      </w:r>
    </w:p>
    <w:p w14:paraId="14CA8FFB" w14:textId="591830C8" w:rsidR="00D81CAD" w:rsidRPr="00D81CAD" w:rsidRDefault="00D81CAD" w:rsidP="00C90136">
      <w:pPr>
        <w:pStyle w:val="IASBSectionTitle1NonInd"/>
        <w:numPr>
          <w:ilvl w:val="1"/>
          <w:numId w:val="4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alocar o valor variável da contraprestação integralmente à obrigação de cumprimento ou ao bem ou serviço específico é consistente com o objetivo de alocação do item 133, considerando todas as obrigações de cumprimento e os termos de pagamento no acordo vinculante.</w:t>
      </w:r>
    </w:p>
    <w:p w14:paraId="3A024323" w14:textId="4DA75B98"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Os requisitos de alocação nos itens 133 a 140 serão aplicados para alocar o valor restante da contraprestação da transação que não atenda aos critérios do item 142.</w:t>
      </w:r>
    </w:p>
    <w:p w14:paraId="03D65CFA" w14:textId="77777777" w:rsidR="00D81CAD" w:rsidRPr="004A25C1"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4A25C1">
        <w:rPr>
          <w:rFonts w:ascii="Calibri" w:hAnsi="Calibri" w:cs="Calibri"/>
          <w:i/>
          <w:iCs/>
          <w:sz w:val="24"/>
          <w:szCs w:val="24"/>
        </w:rPr>
        <w:t>Alterações na Contraprestação da Transação</w:t>
      </w:r>
    </w:p>
    <w:p w14:paraId="51B98C54" w14:textId="7983A957" w:rsidR="00D81CAD" w:rsidRPr="00DA1E98"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Após o início do acordo vinculante, a contraprestação da transação pode mudar por vários motivos, incluindo a resolução de eventos incertos ou </w:t>
      </w:r>
      <w:r w:rsidR="00D81CAD" w:rsidRPr="00DA1E98">
        <w:rPr>
          <w:rFonts w:ascii="Calibri" w:hAnsi="Calibri" w:cs="Calibri"/>
          <w:b w:val="0"/>
          <w:bCs/>
          <w:sz w:val="24"/>
          <w:szCs w:val="24"/>
        </w:rPr>
        <w:t xml:space="preserve">outras mudanças nas circunstâncias que alterem o valor da contraprestação a que uma entidade espera ter direito para </w:t>
      </w:r>
      <w:r w:rsidR="00281830" w:rsidRPr="00DA1E98">
        <w:rPr>
          <w:rFonts w:ascii="Calibri" w:hAnsi="Calibri" w:cs="Calibri"/>
          <w:b w:val="0"/>
          <w:bCs/>
          <w:sz w:val="24"/>
          <w:szCs w:val="24"/>
        </w:rPr>
        <w:t>satisfazer</w:t>
      </w:r>
      <w:r w:rsidR="00D81CAD" w:rsidRPr="00DA1E98">
        <w:rPr>
          <w:rFonts w:ascii="Calibri" w:hAnsi="Calibri" w:cs="Calibri"/>
          <w:b w:val="0"/>
          <w:bCs/>
          <w:sz w:val="24"/>
          <w:szCs w:val="24"/>
        </w:rPr>
        <w:t xml:space="preserve"> sua obrigação de cumprimento.</w:t>
      </w:r>
    </w:p>
    <w:p w14:paraId="5649647B" w14:textId="1DC69A72"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A1E98">
        <w:rPr>
          <w:rFonts w:ascii="Calibri" w:hAnsi="Calibri" w:cs="Calibri"/>
          <w:b w:val="0"/>
          <w:bCs/>
          <w:sz w:val="24"/>
          <w:szCs w:val="24"/>
        </w:rPr>
        <w:t>Uma entidade deve alocar às obrigações de cumprimento do acordo vinculante quaisquer alterações subsequentes na contraprestação da transação com base</w:t>
      </w:r>
      <w:r w:rsidR="00D81CAD" w:rsidRPr="00D81CAD">
        <w:rPr>
          <w:rFonts w:ascii="Calibri" w:hAnsi="Calibri" w:cs="Calibri"/>
          <w:b w:val="0"/>
          <w:bCs/>
          <w:sz w:val="24"/>
          <w:szCs w:val="24"/>
        </w:rPr>
        <w:t xml:space="preserve"> nos mesmos critérios utilizados no início do acordo vinculante. Consequentemente, uma entidade não deve realocar a contraprestação da transação para refletir alterações nos valores individuais após o início do acordo vinculante. Os valores alocados a uma obrigação de cumprimento satisfeita devem ser reconhecidos como receita, ou como redução de receita, no período em que a contraprestação da transação se altera.</w:t>
      </w:r>
    </w:p>
    <w:p w14:paraId="58A0A716" w14:textId="230BDB07"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Uma entidade deve alocar uma mudança na contraprestação da transação integralmente a uma ou mais, mas não a todas, as obrigações de cumprimento ou a bens ou serviços distintos em uma série que faz parte de uma única obrigação de cumprimento de acordo com o item 68(b) somente se os critérios do item 142 sobre alocação de contraprestação variável forem atendidos.</w:t>
      </w:r>
    </w:p>
    <w:p w14:paraId="2636E01E" w14:textId="13D4278B"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Uma entidade deve contabilizar uma alteração na contraprestação da transação que surja em decorrência de uma modificação em um acordo vinculante de acordo com os itens 63 a 66. No entanto, para uma alteração na contraprestação da transação que ocorra após uma modificação em um acordo vinculante, a entidade deve aplicar os itens 144 a 146 para alocar a alteração na contraprestação da transação da maneira que for aplicável, dentre as seguintes:</w:t>
      </w:r>
    </w:p>
    <w:p w14:paraId="2240B2AC" w14:textId="625E5EDB" w:rsidR="00D81CAD" w:rsidRPr="00D81CAD" w:rsidRDefault="00D81CAD" w:rsidP="00C90136">
      <w:pPr>
        <w:pStyle w:val="IASBSectionTitle1NonInd"/>
        <w:numPr>
          <w:ilvl w:val="1"/>
          <w:numId w:val="4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deve alocar a alteração na contraprestação da transação às obrigações de cumprimento identificadas no acordo vinculante antes da modificação se, e na medida em que, a alteração na contraprestação da transação for atribuível a um montante de contraprestação variável prometido antes da modificação e a modificação for contabilizada de acordo com o item 66(a).</w:t>
      </w:r>
    </w:p>
    <w:p w14:paraId="271326CF" w14:textId="5969D55E" w:rsidR="00D81CAD" w:rsidRPr="00D81CAD" w:rsidRDefault="00D81CAD" w:rsidP="00C90136">
      <w:pPr>
        <w:pStyle w:val="IASBSectionTitle1NonInd"/>
        <w:numPr>
          <w:ilvl w:val="1"/>
          <w:numId w:val="4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em todos os outros casos em que a modificação não foi contabilizada como um acordo vinculante separado, de acordo com o item 65, a entidade deverá alocar a alteração na contraprestação da transação às obrigações de cumprimento no acordo vinculante modificado (ou seja, as obrigações de cumprimento que não foram satisfeitas ou foram parcialmente satisfeitas imediatamente após a modificação).</w:t>
      </w:r>
    </w:p>
    <w:p w14:paraId="24C4A120" w14:textId="77777777" w:rsidR="00D81CAD" w:rsidRPr="004A25C1" w:rsidRDefault="00D81CAD" w:rsidP="00C97A3F">
      <w:pPr>
        <w:pStyle w:val="IASBSectionTitle1NonInd"/>
        <w:pBdr>
          <w:bottom w:val="none" w:sz="0" w:space="0" w:color="auto"/>
        </w:pBdr>
        <w:spacing w:before="100" w:after="240"/>
        <w:jc w:val="both"/>
        <w:rPr>
          <w:rFonts w:ascii="Calibri" w:hAnsi="Calibri" w:cs="Calibri"/>
          <w:sz w:val="24"/>
          <w:szCs w:val="24"/>
        </w:rPr>
      </w:pPr>
      <w:r w:rsidRPr="004A25C1">
        <w:rPr>
          <w:rFonts w:ascii="Calibri" w:hAnsi="Calibri" w:cs="Calibri"/>
          <w:sz w:val="24"/>
          <w:szCs w:val="24"/>
        </w:rPr>
        <w:t>Outros Ativos Decorrentes dos Custos de Transações de Receita com Acordo Vinculante</w:t>
      </w:r>
    </w:p>
    <w:p w14:paraId="36BB071C" w14:textId="77777777" w:rsidR="00D81CAD" w:rsidRPr="004A25C1"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4A25C1">
        <w:rPr>
          <w:rFonts w:ascii="Calibri" w:hAnsi="Calibri" w:cs="Calibri"/>
          <w:i/>
          <w:iCs/>
          <w:sz w:val="24"/>
          <w:szCs w:val="24"/>
        </w:rPr>
        <w:t>Custos Incrementais para a Obtenção de Acordo Vinculante</w:t>
      </w:r>
    </w:p>
    <w:p w14:paraId="400C9C8E" w14:textId="0F7E4F83"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A entidade deve reconhecer como ativo os custos incrementais para a obtenção de um acordo vinculante se a entidade espera recuperar esses custos.</w:t>
      </w:r>
    </w:p>
    <w:p w14:paraId="3EDED631" w14:textId="6DB9CB18"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Os custos incrementais para a obtenção de um acordo vinculante são aqueles em que a entidade incorre para obter um acordo vinculante e que não teria incorrido se o acordo vinculante não tivesse sido obtido (por exemplo, uma comissão de vendas).</w:t>
      </w:r>
    </w:p>
    <w:p w14:paraId="05CBF124" w14:textId="2F193CCE"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Os custos para obter um acordo vinculante que seriam incorridos independentemente da obtenção do acordo vinculante devem ser reconhecidos como despesa </w:t>
      </w:r>
      <w:proofErr w:type="gramStart"/>
      <w:r w:rsidR="00D81CAD" w:rsidRPr="00D81CAD">
        <w:rPr>
          <w:rFonts w:ascii="Calibri" w:hAnsi="Calibri" w:cs="Calibri"/>
          <w:b w:val="0"/>
          <w:bCs/>
          <w:sz w:val="24"/>
          <w:szCs w:val="24"/>
        </w:rPr>
        <w:t>no momento em que</w:t>
      </w:r>
      <w:proofErr w:type="gramEnd"/>
      <w:r w:rsidR="00D81CAD" w:rsidRPr="00D81CAD">
        <w:rPr>
          <w:rFonts w:ascii="Calibri" w:hAnsi="Calibri" w:cs="Calibri"/>
          <w:b w:val="0"/>
          <w:bCs/>
          <w:sz w:val="24"/>
          <w:szCs w:val="24"/>
        </w:rPr>
        <w:t xml:space="preserve"> forem incorridos, a menos que esses custos sejam explicitamente imputáveis ao provedor de recursos, independentemente da obtenção do acordo vinculante.</w:t>
      </w:r>
    </w:p>
    <w:p w14:paraId="7BEEB5A9" w14:textId="45575B09" w:rsidR="00D81CAD" w:rsidRPr="00DA1E98"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Como medida prática, a entidade pode reconhecer os custos incrementais da obtenção de um acordo </w:t>
      </w:r>
      <w:r w:rsidR="00D81CAD" w:rsidRPr="00DA1E98">
        <w:rPr>
          <w:rFonts w:ascii="Calibri" w:hAnsi="Calibri" w:cs="Calibri"/>
          <w:b w:val="0"/>
          <w:bCs/>
          <w:sz w:val="24"/>
          <w:szCs w:val="24"/>
        </w:rPr>
        <w:t xml:space="preserve">vinculante como despesa </w:t>
      </w:r>
      <w:proofErr w:type="gramStart"/>
      <w:r w:rsidR="00D81CAD" w:rsidRPr="00DA1E98">
        <w:rPr>
          <w:rFonts w:ascii="Calibri" w:hAnsi="Calibri" w:cs="Calibri"/>
          <w:b w:val="0"/>
          <w:bCs/>
          <w:sz w:val="24"/>
          <w:szCs w:val="24"/>
        </w:rPr>
        <w:t>no momento em que</w:t>
      </w:r>
      <w:proofErr w:type="gramEnd"/>
      <w:r w:rsidR="00D81CAD" w:rsidRPr="00DA1E98">
        <w:rPr>
          <w:rFonts w:ascii="Calibri" w:hAnsi="Calibri" w:cs="Calibri"/>
          <w:b w:val="0"/>
          <w:bCs/>
          <w:sz w:val="24"/>
          <w:szCs w:val="24"/>
        </w:rPr>
        <w:t xml:space="preserve"> forem incorridos, se o período de amortização do ativo que a entidade teria reconhecido de outra forma for de um ano ou menos.</w:t>
      </w:r>
    </w:p>
    <w:p w14:paraId="0FBC0E75" w14:textId="77777777" w:rsidR="00D81CAD" w:rsidRPr="00DA1E98"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DA1E98">
        <w:rPr>
          <w:rFonts w:ascii="Calibri" w:hAnsi="Calibri" w:cs="Calibri"/>
          <w:i/>
          <w:iCs/>
          <w:sz w:val="24"/>
          <w:szCs w:val="24"/>
        </w:rPr>
        <w:t>Custos para Cumprir Acordo Vinculante</w:t>
      </w:r>
    </w:p>
    <w:p w14:paraId="3C834DEF" w14:textId="0E8106D9" w:rsidR="00D81CAD" w:rsidRPr="00DA1E98"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A1E98">
        <w:rPr>
          <w:rFonts w:ascii="Calibri" w:hAnsi="Calibri" w:cs="Calibri"/>
          <w:b w:val="0"/>
          <w:bCs/>
          <w:sz w:val="24"/>
          <w:szCs w:val="24"/>
        </w:rPr>
        <w:t xml:space="preserve">Se os custos incorridos para cumprir um acordo vinculante não estiverem no alcance de outra norma (por exemplo, NBC TSP 04 – Estoques, NBC TSP 08 ou NBC TSP 37), a entidade deve reconhecer um ativo decorrente dos custos incorridos para </w:t>
      </w:r>
      <w:r w:rsidR="00281830" w:rsidRPr="00DA1E98">
        <w:rPr>
          <w:rFonts w:ascii="Calibri" w:hAnsi="Calibri" w:cs="Calibri"/>
          <w:b w:val="0"/>
          <w:bCs/>
          <w:sz w:val="24"/>
          <w:szCs w:val="24"/>
        </w:rPr>
        <w:t xml:space="preserve">satisfazer </w:t>
      </w:r>
      <w:r w:rsidR="00D81CAD" w:rsidRPr="00DA1E98">
        <w:rPr>
          <w:rFonts w:ascii="Calibri" w:hAnsi="Calibri" w:cs="Calibri"/>
          <w:b w:val="0"/>
          <w:bCs/>
          <w:sz w:val="24"/>
          <w:szCs w:val="24"/>
        </w:rPr>
        <w:t>um acordo vinculante somente se esses custos atenderem a todos os seguintes critérios:</w:t>
      </w:r>
    </w:p>
    <w:p w14:paraId="1451A2D8" w14:textId="2F262D40" w:rsidR="00D81CAD" w:rsidRPr="00DA1E98" w:rsidRDefault="00D81CAD" w:rsidP="00C90136">
      <w:pPr>
        <w:pStyle w:val="IASBSectionTitle1NonInd"/>
        <w:numPr>
          <w:ilvl w:val="1"/>
          <w:numId w:val="42"/>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os custos estão diretamente relacionados a um acordo vinculante ou a um acordo vinculante previsto que a entidade possa identificar especificamente (por exemplo, custos relacionados a serviços a serem prestados no âmbito da renovação de um acordo vinculante existente ou custos de concepção de um ativo a ser transferido nos termos de um acordo vinculante específico que ainda não foi aprovado);</w:t>
      </w:r>
    </w:p>
    <w:p w14:paraId="1AE0E3DB" w14:textId="7CC79305" w:rsidR="00D81CAD" w:rsidRPr="00DA1E98" w:rsidRDefault="00D81CAD" w:rsidP="00C90136">
      <w:pPr>
        <w:pStyle w:val="IASBSectionTitle1NonInd"/>
        <w:numPr>
          <w:ilvl w:val="1"/>
          <w:numId w:val="42"/>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 xml:space="preserve">os custos geram ou aprimoram recursos da entidade que serão utilizados para </w:t>
      </w:r>
      <w:r w:rsidR="00281830" w:rsidRPr="00DA1E98">
        <w:rPr>
          <w:rFonts w:ascii="Calibri" w:hAnsi="Calibri" w:cs="Calibri"/>
          <w:b w:val="0"/>
          <w:bCs/>
          <w:sz w:val="24"/>
          <w:szCs w:val="24"/>
        </w:rPr>
        <w:t>satisfazer</w:t>
      </w:r>
      <w:r w:rsidRPr="00DA1E98">
        <w:rPr>
          <w:rFonts w:ascii="Calibri" w:hAnsi="Calibri" w:cs="Calibri"/>
          <w:b w:val="0"/>
          <w:bCs/>
          <w:sz w:val="24"/>
          <w:szCs w:val="24"/>
        </w:rPr>
        <w:t xml:space="preserve"> (ou continuar </w:t>
      </w:r>
      <w:r w:rsidR="00281830" w:rsidRPr="00DA1E98">
        <w:rPr>
          <w:rFonts w:ascii="Calibri" w:hAnsi="Calibri" w:cs="Calibri"/>
          <w:b w:val="0"/>
          <w:bCs/>
          <w:sz w:val="24"/>
          <w:szCs w:val="24"/>
        </w:rPr>
        <w:t>satisfazendo</w:t>
      </w:r>
      <w:r w:rsidRPr="00DA1E98">
        <w:rPr>
          <w:rFonts w:ascii="Calibri" w:hAnsi="Calibri" w:cs="Calibri"/>
          <w:b w:val="0"/>
          <w:bCs/>
          <w:sz w:val="24"/>
          <w:szCs w:val="24"/>
        </w:rPr>
        <w:t>) as obrigações de cumprimento no futuro; e</w:t>
      </w:r>
    </w:p>
    <w:p w14:paraId="4092028E" w14:textId="0D4F701E" w:rsidR="00D81CAD" w:rsidRPr="00D81CAD" w:rsidRDefault="00D81CAD" w:rsidP="00C90136">
      <w:pPr>
        <w:pStyle w:val="IASBSectionTitle1NonInd"/>
        <w:numPr>
          <w:ilvl w:val="1"/>
          <w:numId w:val="4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espera-se que os custos sejam recuperados.</w:t>
      </w:r>
    </w:p>
    <w:p w14:paraId="3C78CBB1" w14:textId="56A12E60"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Para custos incorridos no cumprimento de um acordo vinculante que estejam no alcance de outra norma, uma entidade deve contabilizar esses custos de acordo com essas outras normas.</w:t>
      </w:r>
    </w:p>
    <w:p w14:paraId="012B116F" w14:textId="2C4C49D6"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Os custos diretamente relacionados a um acordo vinculante (ou a um acordo vinculante específico previsto) incluem qualquer um dos seguintes:</w:t>
      </w:r>
    </w:p>
    <w:p w14:paraId="6C48716A" w14:textId="34813ED1" w:rsidR="00D81CAD" w:rsidRPr="00D81CAD" w:rsidRDefault="00D81CAD" w:rsidP="00C90136">
      <w:pPr>
        <w:pStyle w:val="IASBSectionTitle1NonInd"/>
        <w:numPr>
          <w:ilvl w:val="1"/>
          <w:numId w:val="4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mão de obra direta (por exemplo, salários e vencimentos de funcionários que prestam os serviços prometidos diretamente a um comprador ou terceiro beneficiário);</w:t>
      </w:r>
    </w:p>
    <w:p w14:paraId="3233E227" w14:textId="5D539FDB" w:rsidR="00D81CAD" w:rsidRPr="00D81CAD" w:rsidRDefault="00D81CAD" w:rsidP="00C90136">
      <w:pPr>
        <w:pStyle w:val="IASBSectionTitle1NonInd"/>
        <w:numPr>
          <w:ilvl w:val="1"/>
          <w:numId w:val="4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materiais diretos (por exemplo, suprimentos usados na prestação dos serviços prometidos a um comprador ou terceiro beneficiário);</w:t>
      </w:r>
    </w:p>
    <w:p w14:paraId="0B77ADBD" w14:textId="6C287CC8" w:rsidR="00D81CAD" w:rsidRPr="00D81CAD" w:rsidRDefault="00D81CAD" w:rsidP="00C90136">
      <w:pPr>
        <w:pStyle w:val="IASBSectionTitle1NonInd"/>
        <w:numPr>
          <w:ilvl w:val="1"/>
          <w:numId w:val="4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alocações de custos que se relacionam diretamente com o acordo vinculante ou com atividades dentro do acordo vinculante (por exemplo, custos de gestão e supervisão, seguros e depreciação de ferramentas, equipamentos e ativos de direito de uso utilizados no cumprimento do acordo vinculante);</w:t>
      </w:r>
    </w:p>
    <w:p w14:paraId="0950EEA6" w14:textId="6847F7E5" w:rsidR="00D81CAD" w:rsidRPr="00D81CAD" w:rsidRDefault="00D81CAD" w:rsidP="00C90136">
      <w:pPr>
        <w:pStyle w:val="IASBSectionTitle1NonInd"/>
        <w:numPr>
          <w:ilvl w:val="1"/>
          <w:numId w:val="4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custos que são explicitamente imputáveis ao provedor de recursos nos termos do acordo vinculante; e</w:t>
      </w:r>
    </w:p>
    <w:p w14:paraId="00E0189F" w14:textId="2BFDF41E" w:rsidR="00D81CAD" w:rsidRPr="00D81CAD" w:rsidRDefault="00D81CAD" w:rsidP="00C90136">
      <w:pPr>
        <w:pStyle w:val="IASBSectionTitle1NonInd"/>
        <w:numPr>
          <w:ilvl w:val="1"/>
          <w:numId w:val="4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outros custos que são incorridos somente porque uma entidade firmou o acordo vinculante (por exemplo, pagamentos a subcontratados).</w:t>
      </w:r>
    </w:p>
    <w:p w14:paraId="301D35B9" w14:textId="5A1CDA77" w:rsidR="00D81CAD" w:rsidRPr="00D81CAD" w:rsidRDefault="00D81CAD"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 Uma entidade deve reconhecer os seguintes custos como despesas quando incorridos:</w:t>
      </w:r>
    </w:p>
    <w:p w14:paraId="6BA2C941" w14:textId="4C9D8020" w:rsidR="00D81CAD" w:rsidRPr="00D81CAD" w:rsidRDefault="00D81CAD" w:rsidP="00C90136">
      <w:pPr>
        <w:pStyle w:val="IASBSectionTitle1NonInd"/>
        <w:numPr>
          <w:ilvl w:val="1"/>
          <w:numId w:val="4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custos gerais e administrativos (a menos que esses custos sejam explicitamente imputáveis ao provedor de recursos nos termos do acordo vinculante, caso em que a entidade deverá avaliar esses custos de acordo com o item 154);</w:t>
      </w:r>
    </w:p>
    <w:p w14:paraId="5F0FC027" w14:textId="5149258A" w:rsidR="00D81CAD" w:rsidRPr="00DA1E98" w:rsidRDefault="00D81CAD" w:rsidP="00C90136">
      <w:pPr>
        <w:pStyle w:val="IASBSectionTitle1NonInd"/>
        <w:numPr>
          <w:ilvl w:val="1"/>
          <w:numId w:val="44"/>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custos de materiais, mão de obra ou outros recursos desperdiçados para cumprir o acordo vinculante que não foram refletidos no preço do acordo vinculante;</w:t>
      </w:r>
    </w:p>
    <w:p w14:paraId="7A4B9239" w14:textId="7E31F7C5" w:rsidR="00D81CAD" w:rsidRPr="00D81CAD" w:rsidRDefault="00D81CAD" w:rsidP="00C90136">
      <w:pPr>
        <w:pStyle w:val="IASBSectionTitle1NonInd"/>
        <w:numPr>
          <w:ilvl w:val="1"/>
          <w:numId w:val="44"/>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custos relacionados a obrigações de cumprimento satisfeitas (ou ao cumprimento parcial de obrigações de cumprimento) no acordo vinculante (ou seja, custos</w:t>
      </w:r>
      <w:r w:rsidRPr="00D81CAD">
        <w:rPr>
          <w:rFonts w:ascii="Calibri" w:hAnsi="Calibri" w:cs="Calibri"/>
          <w:b w:val="0"/>
          <w:bCs/>
          <w:sz w:val="24"/>
          <w:szCs w:val="24"/>
        </w:rPr>
        <w:t xml:space="preserve"> relacionados ao cumprimento anterior); e</w:t>
      </w:r>
    </w:p>
    <w:p w14:paraId="403590CA" w14:textId="5DFB3C32" w:rsidR="00D81CAD" w:rsidRPr="00D81CAD" w:rsidRDefault="00D81CAD" w:rsidP="00C90136">
      <w:pPr>
        <w:pStyle w:val="IASBSectionTitle1NonInd"/>
        <w:numPr>
          <w:ilvl w:val="1"/>
          <w:numId w:val="4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custos para os quais uma entidade não consegue distinguir se os custos se referem a obrigações de cumprimento não cumpridas ou a obrigações de cumprimento cumpridas (ou parcialmente cumpridas).</w:t>
      </w:r>
    </w:p>
    <w:p w14:paraId="6200676D" w14:textId="77777777" w:rsidR="00D81CAD" w:rsidRPr="00C47AB4"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C47AB4">
        <w:rPr>
          <w:rFonts w:ascii="Calibri" w:hAnsi="Calibri" w:cs="Calibri"/>
          <w:i/>
          <w:iCs/>
          <w:sz w:val="24"/>
          <w:szCs w:val="24"/>
        </w:rPr>
        <w:t>Amortização e Perda por Redução ao Valor Recuperável</w:t>
      </w:r>
    </w:p>
    <w:p w14:paraId="448CBCD4" w14:textId="5F77CBA0"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 ativo reconhecido de acordo com o item 148 ou 152 deve ser amortizado de forma sistemática, consistente com a satisfação da obrigação de cumprimento à qual o ativo se refere. O ativo pode estar relacionado a promessas a serem cumpridas sob um acordo vinculante específico previsto (conforme descrito no item 152(a)).</w:t>
      </w:r>
    </w:p>
    <w:p w14:paraId="6634F0FF" w14:textId="0D98E720"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atualizar a amortização para refletir uma mudança significativa no prazo esperado para o cumprimento da obrigação de cumprimento à qual o ativo se refere. Essa mudança deve ser contabilizada como uma alteração na estimativa contábil, de acordo com a NBC TSP 23.</w:t>
      </w:r>
    </w:p>
    <w:p w14:paraId="180E5AA1" w14:textId="0AC4B081"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reconhecer perda por redução ao valor recuperável no resultado do período na medida em que o valor contábil de um ativo reconhecido de acordo com o item 148 ou 152 exceda:</w:t>
      </w:r>
    </w:p>
    <w:p w14:paraId="79B78CDB" w14:textId="27D133AC" w:rsidR="00D81CAD" w:rsidRPr="00D81CAD" w:rsidRDefault="00D81CAD" w:rsidP="00C90136">
      <w:pPr>
        <w:pStyle w:val="IASBSectionTitle1NonInd"/>
        <w:numPr>
          <w:ilvl w:val="0"/>
          <w:numId w:val="4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o valor restante da contraprestação que a entidade espera receber pela satisfação das obrigações de cumprimento às quais o ativo se refere; menos</w:t>
      </w:r>
    </w:p>
    <w:p w14:paraId="11A39A82" w14:textId="3467F2DC" w:rsidR="00D81CAD" w:rsidRPr="00D81CAD" w:rsidRDefault="00D81CAD" w:rsidP="00C90136">
      <w:pPr>
        <w:pStyle w:val="IASBSectionTitle1NonInd"/>
        <w:numPr>
          <w:ilvl w:val="0"/>
          <w:numId w:val="4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custos que se relacionam diretamente com o cumprimento das obrigações de cumprimento e que não foram reconhecidos como despesas (ver item 154).</w:t>
      </w:r>
    </w:p>
    <w:p w14:paraId="4C6B24E6" w14:textId="5EA6B048"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Para efeitos de aplicação do item 158 para determinar o montante da contraprestação que uma entidade espera receber, a entidade deve utilizar os princípios para determinar a contraprestação da transação (exceto os requisitos dos itens 119 a 121 sobre a limitação das estimativas da contraprestação variável) e ajustar esse montante para refletir os efeitos do risco de crédito do provedor de recursos.</w:t>
      </w:r>
    </w:p>
    <w:p w14:paraId="457363D2" w14:textId="63A8D248"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Antes de uma entidade reconhecer uma perda por redução ao valor recuperável de um ativo reconhecido de acordo com o item 148 ou 152, a entidade deve reconhecer qualquer perda por redução ao valor recuperável de ativos relacionados ao acordo vinculante que sejam reconhecidos de acordo com outra norma (por exemplo, NBC TSP 04, NBC TSP 08 e NBC TSP 37). Após a aplicação do teste de redução ao valor recuperável previsto no item 158, a entidade deverá incluir o valor contábil resultante do ativo reconhecido de acordo com o item 148 ou 152 no valor contábil da unidade geradora de caixa à qual pertence, para fins de aplicação da NBC TSP 10 – Redução ao Valor Recuperável de Ativo Gerador de Caixa, a essa unidade geradora de caixa.</w:t>
      </w:r>
    </w:p>
    <w:p w14:paraId="76C94813" w14:textId="4F6EB66B"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Uma entidade deve reconhecer no resultado do período a reversão de parte ou da totalidade de uma perda por redução ao valor recuperável previamente reconhecida de acordo com o item 158, quando as condições de redução ao valor recuperável deixarem de existir ou tiverem melhorado. O aumento do valor contábil do ativo não deve exceder o valor que teria sido determinado (líquido de amortização) se nenhuma perda por redução ao valor recuperável tivesse sido reconhecida anteriormente.</w:t>
      </w:r>
    </w:p>
    <w:p w14:paraId="22DF0A79" w14:textId="77777777" w:rsidR="00D81CAD" w:rsidRPr="003D7802" w:rsidRDefault="00D81CAD" w:rsidP="00C97A3F">
      <w:pPr>
        <w:pStyle w:val="IASBSectionTitle1NonInd"/>
        <w:pBdr>
          <w:bottom w:val="none" w:sz="0" w:space="0" w:color="auto"/>
        </w:pBdr>
        <w:spacing w:before="100" w:after="240"/>
        <w:jc w:val="both"/>
        <w:rPr>
          <w:rFonts w:ascii="Calibri" w:hAnsi="Calibri" w:cs="Calibri"/>
          <w:sz w:val="24"/>
          <w:szCs w:val="24"/>
        </w:rPr>
      </w:pPr>
      <w:r w:rsidRPr="003D7802">
        <w:rPr>
          <w:rFonts w:ascii="Calibri" w:hAnsi="Calibri" w:cs="Calibri"/>
          <w:sz w:val="24"/>
          <w:szCs w:val="24"/>
        </w:rPr>
        <w:t>Apresentação</w:t>
      </w:r>
    </w:p>
    <w:p w14:paraId="61A18A50" w14:textId="77777777" w:rsidR="00D81CAD" w:rsidRPr="003D7802" w:rsidRDefault="00D81CAD" w:rsidP="00C97A3F">
      <w:pPr>
        <w:pStyle w:val="IASBSectionTitle1NonInd"/>
        <w:pBdr>
          <w:bottom w:val="none" w:sz="0" w:space="0" w:color="auto"/>
        </w:pBdr>
        <w:spacing w:before="100" w:after="240"/>
        <w:jc w:val="both"/>
        <w:rPr>
          <w:rFonts w:ascii="Calibri" w:hAnsi="Calibri" w:cs="Calibri"/>
          <w:sz w:val="24"/>
          <w:szCs w:val="24"/>
        </w:rPr>
      </w:pPr>
      <w:r w:rsidRPr="003D7802">
        <w:rPr>
          <w:rFonts w:ascii="Calibri" w:hAnsi="Calibri" w:cs="Calibri"/>
          <w:sz w:val="24"/>
          <w:szCs w:val="24"/>
        </w:rPr>
        <w:t>Exposição nas Demonstrações Contábeis</w:t>
      </w:r>
    </w:p>
    <w:p w14:paraId="0D440E69" w14:textId="1973F6DA"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Quando qualquer uma das partes em um </w:t>
      </w:r>
      <w:r w:rsidR="00D81CAD" w:rsidRPr="00DA1E98">
        <w:rPr>
          <w:rFonts w:ascii="Calibri" w:hAnsi="Calibri" w:cs="Calibri"/>
          <w:b w:val="0"/>
          <w:bCs/>
          <w:sz w:val="24"/>
          <w:szCs w:val="24"/>
        </w:rPr>
        <w:t>acordo vinculante tiver cumprido sua obrigação, a entidade deverá apresentar o acordo vinculante no balanço patrimonial como ativo de acordo vinculante ou passivo de acordo vinculante, dependendo da relação entre o desempenho da entidade e a transferência da contraprestação pelo provedor de recursos. A entidade deverá apresentar quaisquer direitos incondicionais à contraprestação separadamente, como valor</w:t>
      </w:r>
      <w:r w:rsidR="00D81CAD" w:rsidRPr="00D81CAD">
        <w:rPr>
          <w:rFonts w:ascii="Calibri" w:hAnsi="Calibri" w:cs="Calibri"/>
          <w:b w:val="0"/>
          <w:bCs/>
          <w:sz w:val="24"/>
          <w:szCs w:val="24"/>
        </w:rPr>
        <w:t xml:space="preserve"> a receber.</w:t>
      </w:r>
    </w:p>
    <w:p w14:paraId="06E9827A" w14:textId="693EF62E"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Se um provedor de recursos transferir caixa ou outro ativo, ou se uma entidade tiver direito a uma contraprestação incondicional (ou seja, um valor a receber), antes que a entidade cumpra sua obrigação de cumprimento, a entidade deverá apresentar o acordo vinculante como um passivo de acordo vinculante quando a transferência da contraprestação for feita ou vencer (o que ocorrer primeiro). Um passivo de acordo vinculante é a obrigação de uma entidade de cumprir uma obrigação de cumprimento pela qual a entidade recebeu contraprestação (ou um valor de transferência incondicional de contraprestação é devido) do provedor de recursos.</w:t>
      </w:r>
    </w:p>
    <w:p w14:paraId="473F3BDD" w14:textId="614F00EB"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Se uma entidade cumprir uma obrigação de cumprimento antes do recebimento da contraprestação ou antes do vencimento da transferência incondicional da contraprestação, a entidade deverá apresentar o acordo vinculante como um ativo de acordo vinculante, excluindo quaisquer valores apresentados como valores a receber. Um ativo de acordo vinculante é o direito de uma entidade à contraprestação pelo cumprimento de suas obrigações de cumprimento de acordo com os termos do acordo vinculante, quando esse direito estiver condicionado a algo que não seja o decurso do tempo. Uma entidade deverá avaliar a perda por redução ao valor recuperável de um ativo de acordo vinculante de acordo com a NBC TSP 31. A perda por redução ao valor recuperável de um ativo de acordo vinculante deve ser mensurada, apresentada e divulgada na mesma base de um ativo financeiro no alcance da NBC TSP 31 (ver também o item 177(b)).</w:t>
      </w:r>
    </w:p>
    <w:p w14:paraId="5FE87A4E" w14:textId="66B5DC71"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Um valor a receber é um direito incondicional de uma entidade a uma contraprestação. Um direito a uma contraprestação é incondicional se apenas o decurso do tempo for necessário para que a contraprestação seja devida. Por exemplo, uma entidade reconheceria um valor a receber se tiver um direito presente a uma transferência, mesmo que esse valor possa estar sujeito a reembolso no futuro. De acordo com o item 31, uma entidade deve posteriormente mensurar um valor a receber de acordo com a NBC TSP 31. No reconhecimento inicial de um valor a receber, qualquer diferença entre a mensuração do valor a receber de acordo com a NBC TSP 31 e o valor correspondente da receita reconhecida deve ser apresentada como uma despesa (por exemplo, como uma perda por redução ao valor recuperável).</w:t>
      </w:r>
    </w:p>
    <w:p w14:paraId="0EBA0903" w14:textId="4302966C"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Esta norma utiliza os termos “ativo de acordo vinculante” e “passivo de acordo vinculante”, mas não impede que uma entidade utilize descrições alternativas para esses itens no balanço patrimonial. Caso uma entidade utilize uma descrição alternativa para um ativo de acordo vinculante, deverá fornecer informações suficientes para que o usuário das demonstrações contábeis possa distinguir entre valores a receber e ativos de acordo vinculante.</w:t>
      </w:r>
    </w:p>
    <w:p w14:paraId="11F87336" w14:textId="77777777" w:rsidR="00D81CAD" w:rsidRPr="003D7802" w:rsidRDefault="00D81CAD" w:rsidP="00C97A3F">
      <w:pPr>
        <w:pStyle w:val="IASBSectionTitle1NonInd"/>
        <w:pBdr>
          <w:bottom w:val="none" w:sz="0" w:space="0" w:color="auto"/>
        </w:pBdr>
        <w:spacing w:before="100" w:after="240"/>
        <w:jc w:val="both"/>
        <w:rPr>
          <w:rFonts w:ascii="Calibri" w:hAnsi="Calibri" w:cs="Calibri"/>
          <w:sz w:val="24"/>
          <w:szCs w:val="24"/>
        </w:rPr>
      </w:pPr>
      <w:r w:rsidRPr="003D7802">
        <w:rPr>
          <w:rFonts w:ascii="Calibri" w:hAnsi="Calibri" w:cs="Calibri"/>
          <w:sz w:val="24"/>
          <w:szCs w:val="24"/>
        </w:rPr>
        <w:t>Divulgação</w:t>
      </w:r>
    </w:p>
    <w:p w14:paraId="03689E29" w14:textId="680B95E0"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O objetivo dos requisitos de divulgação é que uma entidade divulgue informações suficientes para permitir que os usuários das demonstrações contábeis compreendam a natureza, o valor, o momento e a incerteza das receitas e dos fluxos de caixa decorrentes das transações de receita. Para atingir esse objetivo, a entidade deve divulgar informações qualitativas e quantitativas sobre todos os seguintes itens:</w:t>
      </w:r>
    </w:p>
    <w:p w14:paraId="5F883F91" w14:textId="3E8D3081" w:rsidR="00D81CAD" w:rsidRPr="00D81CAD" w:rsidRDefault="00D81CAD" w:rsidP="00C90136">
      <w:pPr>
        <w:pStyle w:val="IASBSectionTitle1NonInd"/>
        <w:numPr>
          <w:ilvl w:val="1"/>
          <w:numId w:val="4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Suas receitas provenientes de transações sem acordos vinculantes (ver itens 172 a 176);</w:t>
      </w:r>
    </w:p>
    <w:p w14:paraId="08FB921E" w14:textId="498AA6F2" w:rsidR="00D81CAD" w:rsidRPr="00D81CAD" w:rsidRDefault="00D81CAD" w:rsidP="00C90136">
      <w:pPr>
        <w:pStyle w:val="IASBSectionTitle1NonInd"/>
        <w:numPr>
          <w:ilvl w:val="1"/>
          <w:numId w:val="4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Suas receitas provenientes de transações com acordos vinculantes (ver itens 177 a 187);</w:t>
      </w:r>
    </w:p>
    <w:p w14:paraId="362146B7" w14:textId="673362D6" w:rsidR="00D81CAD" w:rsidRPr="00D81CAD" w:rsidRDefault="00D81CAD" w:rsidP="00C90136">
      <w:pPr>
        <w:pStyle w:val="IASBSectionTitle1NonInd"/>
        <w:numPr>
          <w:ilvl w:val="1"/>
          <w:numId w:val="4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julgamentos significativos, e as alterações nos julgamentos, feitos na aplicação desta norma a esses acordos vinculantes (ver itens 188 a 190); e</w:t>
      </w:r>
    </w:p>
    <w:p w14:paraId="35A2AEB3" w14:textId="39638C2D" w:rsidR="00D81CAD" w:rsidRPr="00D81CAD" w:rsidRDefault="00D81CAD" w:rsidP="00C90136">
      <w:pPr>
        <w:pStyle w:val="IASBSectionTitle1NonInd"/>
        <w:numPr>
          <w:ilvl w:val="1"/>
          <w:numId w:val="4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Quaisquer ativos reconhecidos a partir dos custos para obter ou cumprir um acordo vinculante com um provedor de recursos de acordo com o item 148 ou 152 (ver itens 191 – 192).</w:t>
      </w:r>
    </w:p>
    <w:p w14:paraId="3D14E929" w14:textId="5ADF7DE4"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considerar o nível de detalhamento necessário para atender ao objetivo de divulgação e a ênfase a ser dada a cada um dos diversos requisitos. A entidade deve agregar ou desagregar as divulgações de forma que as informações úteis não sejam obscurecidas pela inclusão de uma grande quantidade de detalhes insignificantes ou pela agregação de itens com características substancialmente diferentes. Consulte os itens A203 a A204 para obter orientações adicionais.</w:t>
      </w:r>
    </w:p>
    <w:p w14:paraId="6641A574" w14:textId="76793E94"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divulgar, no corpo das demonstrações contábeis de propósito geral ou em notas explicativas:</w:t>
      </w:r>
    </w:p>
    <w:p w14:paraId="7F7551FE" w14:textId="2A9EABCB" w:rsidR="00D81CAD" w:rsidRPr="00D81CAD" w:rsidRDefault="00D81CAD" w:rsidP="00C90136">
      <w:pPr>
        <w:pStyle w:val="IASBSectionTitle1NonInd"/>
        <w:numPr>
          <w:ilvl w:val="1"/>
          <w:numId w:val="4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montante da receita proveniente das transações reconhecida durante o período, apresentado separadamente e por classes principais:</w:t>
      </w:r>
    </w:p>
    <w:p w14:paraId="52D76AF8" w14:textId="18DBABEF" w:rsidR="00D81CAD" w:rsidRPr="00D81CAD" w:rsidRDefault="00D81CAD" w:rsidP="00C90136">
      <w:pPr>
        <w:pStyle w:val="IASBSectionTitle1NonInd"/>
        <w:numPr>
          <w:ilvl w:val="0"/>
          <w:numId w:val="4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tributos;</w:t>
      </w:r>
    </w:p>
    <w:p w14:paraId="2D2F82F0" w14:textId="3E5FBA3A" w:rsidR="00D81CAD" w:rsidRPr="00D81CAD" w:rsidRDefault="00D81CAD" w:rsidP="00C90136">
      <w:pPr>
        <w:pStyle w:val="IASBSectionTitle1NonInd"/>
        <w:numPr>
          <w:ilvl w:val="0"/>
          <w:numId w:val="4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outras contribuições e encargos compulsórios;</w:t>
      </w:r>
    </w:p>
    <w:p w14:paraId="12BEF8AC" w14:textId="79782B11" w:rsidR="00D81CAD" w:rsidRPr="00D81CAD" w:rsidRDefault="00D81CAD" w:rsidP="00C90136">
      <w:pPr>
        <w:pStyle w:val="IASBSectionTitle1NonInd"/>
        <w:numPr>
          <w:ilvl w:val="0"/>
          <w:numId w:val="4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transferências; e</w:t>
      </w:r>
    </w:p>
    <w:p w14:paraId="43569CE6" w14:textId="12192FE0" w:rsidR="00D81CAD" w:rsidRPr="00D81CAD" w:rsidRDefault="00D81CAD" w:rsidP="00C90136">
      <w:pPr>
        <w:pStyle w:val="IASBSectionTitle1NonInd"/>
        <w:numPr>
          <w:ilvl w:val="0"/>
          <w:numId w:val="4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obrigações de cumprimento em acordo vinculante.</w:t>
      </w:r>
    </w:p>
    <w:p w14:paraId="6CCE0928" w14:textId="0EB632A3" w:rsidR="00D81CAD" w:rsidRPr="00D81CAD" w:rsidRDefault="00D81CAD" w:rsidP="00C90136">
      <w:pPr>
        <w:pStyle w:val="IASBSectionTitle1NonInd"/>
        <w:numPr>
          <w:ilvl w:val="1"/>
          <w:numId w:val="4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montante de valores a receber reconhecido na data das demonstrações contábeis em relação à receita;</w:t>
      </w:r>
    </w:p>
    <w:p w14:paraId="3742290F" w14:textId="042216BD" w:rsidR="00D81CAD" w:rsidRPr="00D81CAD" w:rsidRDefault="00D81CAD" w:rsidP="00C90136">
      <w:pPr>
        <w:pStyle w:val="IASBSectionTitle1NonInd"/>
        <w:numPr>
          <w:ilvl w:val="1"/>
          <w:numId w:val="4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montante dos passivos reconhecidos na data das demonstrações contábeis relativamente aos ativos transferidos sujeitos a obrigações de cumprimento;</w:t>
      </w:r>
    </w:p>
    <w:p w14:paraId="002E0316" w14:textId="65DAF7A8" w:rsidR="00D81CAD" w:rsidRPr="00D81CAD" w:rsidRDefault="00D81CAD" w:rsidP="00C90136">
      <w:pPr>
        <w:pStyle w:val="IASBSectionTitle1NonInd"/>
        <w:numPr>
          <w:ilvl w:val="1"/>
          <w:numId w:val="4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montante dos passivos reconhecidos na data das demonstrações contábeis relativamente a empréstimos subsidiados sujeitos a requisitos sobre ativos transferidos;</w:t>
      </w:r>
    </w:p>
    <w:p w14:paraId="00392648" w14:textId="60ACED95" w:rsidR="00D81CAD" w:rsidRPr="00D81CAD" w:rsidRDefault="00D81CAD" w:rsidP="00C90136">
      <w:pPr>
        <w:pStyle w:val="IASBSectionTitle1NonInd"/>
        <w:numPr>
          <w:ilvl w:val="1"/>
          <w:numId w:val="4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existência e os valores de quaisquer recebimentos antecipados relativos a transações; e</w:t>
      </w:r>
    </w:p>
    <w:p w14:paraId="2B7E4FFB" w14:textId="2FD04965" w:rsidR="00D81CAD" w:rsidRPr="00D81CAD" w:rsidRDefault="00D81CAD" w:rsidP="00C90136">
      <w:pPr>
        <w:pStyle w:val="IASBSectionTitle1NonInd"/>
        <w:numPr>
          <w:ilvl w:val="1"/>
          <w:numId w:val="4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montante de quaisquer passivos perdoados.</w:t>
      </w:r>
    </w:p>
    <w:p w14:paraId="4FCDF526" w14:textId="3A96C6CB"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divulgar nas notas explicativas das demonstrações contábeis de propósito geral:</w:t>
      </w:r>
    </w:p>
    <w:p w14:paraId="2B429CF1" w14:textId="5F0B3187" w:rsidR="00D81CAD" w:rsidRPr="00D81CAD" w:rsidRDefault="00D81CAD" w:rsidP="00C90136">
      <w:pPr>
        <w:pStyle w:val="IASBSectionTitle1NonInd"/>
        <w:numPr>
          <w:ilvl w:val="1"/>
          <w:numId w:val="4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as políticas contábeis adotadas para o reconhecimento da receita;</w:t>
      </w:r>
    </w:p>
    <w:p w14:paraId="358B9B86" w14:textId="4B77E268" w:rsidR="00D81CAD" w:rsidRPr="00D81CAD" w:rsidRDefault="00D81CAD" w:rsidP="00C90136">
      <w:pPr>
        <w:pStyle w:val="IASBSectionTitle1NonInd"/>
        <w:numPr>
          <w:ilvl w:val="1"/>
          <w:numId w:val="4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julgamentos, e as alterações nos julgamentos, feitos na aplicação desta norma que afetam significativamente a determinação do montante e do momento da receita;</w:t>
      </w:r>
    </w:p>
    <w:p w14:paraId="47DA3294" w14:textId="51358BDE" w:rsidR="00D81CAD" w:rsidRPr="00D81CAD" w:rsidRDefault="00D81CAD" w:rsidP="00C90136">
      <w:pPr>
        <w:pStyle w:val="IASBSectionTitle1NonInd"/>
        <w:numPr>
          <w:ilvl w:val="1"/>
          <w:numId w:val="4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para as principais classes de receita provenientes de transações, a base sobre a qual a contraprestação da transação em relação aos recursos recebidos foi mensurada;</w:t>
      </w:r>
    </w:p>
    <w:p w14:paraId="18D33BDF" w14:textId="0F601723" w:rsidR="00D81CAD" w:rsidRPr="00DA1E98" w:rsidRDefault="00D81CAD" w:rsidP="00C90136">
      <w:pPr>
        <w:pStyle w:val="IASBSectionTitle1NonInd"/>
        <w:numPr>
          <w:ilvl w:val="1"/>
          <w:numId w:val="4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para as principais classes de receitas tributárias e de receitas provenientes de outras contribuições e encargos compulsórios que a entidade não consiga </w:t>
      </w:r>
      <w:r w:rsidRPr="00DA1E98">
        <w:rPr>
          <w:rFonts w:ascii="Calibri" w:hAnsi="Calibri" w:cs="Calibri"/>
          <w:b w:val="0"/>
          <w:bCs/>
          <w:sz w:val="24"/>
          <w:szCs w:val="24"/>
        </w:rPr>
        <w:t xml:space="preserve">mensurar </w:t>
      </w:r>
      <w:r w:rsidR="0013568F" w:rsidRPr="00DA1E98">
        <w:rPr>
          <w:rFonts w:ascii="Calibri" w:hAnsi="Calibri" w:cs="Calibri"/>
          <w:b w:val="0"/>
          <w:bCs/>
          <w:sz w:val="24"/>
          <w:szCs w:val="24"/>
        </w:rPr>
        <w:t xml:space="preserve">confiavelmente </w:t>
      </w:r>
      <w:r w:rsidRPr="00DA1E98">
        <w:rPr>
          <w:rFonts w:ascii="Calibri" w:hAnsi="Calibri" w:cs="Calibri"/>
          <w:b w:val="0"/>
          <w:bCs/>
          <w:sz w:val="24"/>
          <w:szCs w:val="24"/>
        </w:rPr>
        <w:t>durante o período em que ocorre o evento tributável ou evento equivalente relativo às outras contribuições e encargos compulsórios, informações sobre a natureza do tributo, da contribuição ou do encargo compulsório;</w:t>
      </w:r>
    </w:p>
    <w:p w14:paraId="7AACA742" w14:textId="5459666F" w:rsidR="00D81CAD" w:rsidRPr="00DA1E98" w:rsidRDefault="00D81CAD" w:rsidP="00C90136">
      <w:pPr>
        <w:pStyle w:val="IASBSectionTitle1NonInd"/>
        <w:numPr>
          <w:ilvl w:val="1"/>
          <w:numId w:val="49"/>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a natureza e o tipo das principais classes de heranças, presentes e doações, apresentando separadamente as principais classes de bens em espécie recebidos; e</w:t>
      </w:r>
    </w:p>
    <w:p w14:paraId="4C999998" w14:textId="04BB89CB" w:rsidR="00D81CAD" w:rsidRPr="00DA1E98" w:rsidRDefault="00D81CAD" w:rsidP="00C90136">
      <w:pPr>
        <w:pStyle w:val="IASBSectionTitle1NonInd"/>
        <w:numPr>
          <w:ilvl w:val="1"/>
          <w:numId w:val="49"/>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informações qualitativas e quantitativas sobre serviços em espécie que foram reconhecidos.</w:t>
      </w:r>
    </w:p>
    <w:p w14:paraId="3BA6378F" w14:textId="7B80866C" w:rsidR="00D81CAD" w:rsidRPr="00DA1E98"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A1E98">
        <w:rPr>
          <w:rFonts w:ascii="Calibri" w:hAnsi="Calibri" w:cs="Calibri"/>
          <w:b w:val="0"/>
          <w:bCs/>
          <w:sz w:val="24"/>
          <w:szCs w:val="24"/>
        </w:rPr>
        <w:t>No setor público, uma entidade pode ter uma transação de receita na qual é obrigada a cumprir uma obrigação ou impor um custo à contraparte na transação, e o valor nominal da receita pode nem sempre ser recuperável. Isso pode ocorrer quando a entidade é compelida por meio de legislação, autoridade constitucional, processo legalmente sancionado e decisões políticas, ou outros mecanismos, e a contraparte pode não ter a capacidade ou a intenção de pagar. Exemplos de tais transações incluem receitas provenientes de tributos ou multas sem acordos vinculantes, ou receitas provenientes da satisfação de uma obrigação de cumprimento por meio do fornecimento de bens ou serviços a um terceiro beneficiário em um acordo vinculante. A entidade deve divulgar o seguinte:</w:t>
      </w:r>
    </w:p>
    <w:p w14:paraId="72AE2C88" w14:textId="22432134" w:rsidR="00D81CAD" w:rsidRPr="00DA1E98" w:rsidRDefault="00D81CAD" w:rsidP="00C90136">
      <w:pPr>
        <w:pStyle w:val="IASBSectionTitle1NonInd"/>
        <w:numPr>
          <w:ilvl w:val="1"/>
          <w:numId w:val="50"/>
        </w:numPr>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descrição da legislação ou decisão política que obriga uma das partes na transação de receita a cumprir sua obrigação para com a entidade na transação de receita;</w:t>
      </w:r>
    </w:p>
    <w:p w14:paraId="1EEF5777" w14:textId="045D9D76" w:rsidR="00D81CAD" w:rsidRPr="00D81CAD" w:rsidRDefault="00D81CAD" w:rsidP="00C90136">
      <w:pPr>
        <w:pStyle w:val="IASBSectionTitle1NonInd"/>
        <w:numPr>
          <w:ilvl w:val="1"/>
          <w:numId w:val="5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montante da receita dessas transações que foi reconhecida após a aplicação dos itens 25 e 105 desta norma, ou o montante da receita reconhecida após a consideração de uma concessão implícita de preço decorrente da aplicação do item 115;</w:t>
      </w:r>
    </w:p>
    <w:p w14:paraId="5EFB4606" w14:textId="166E7BFB" w:rsidR="00D81CAD" w:rsidRPr="00D81CAD" w:rsidRDefault="00D81CAD" w:rsidP="00C90136">
      <w:pPr>
        <w:pStyle w:val="IASBSectionTitle1NonInd"/>
        <w:numPr>
          <w:ilvl w:val="1"/>
          <w:numId w:val="5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montante dessas transações que não foi reconhecido como receita, visto que o recebimento da contraprestação não era provável de acordo com o item 119, ou o montante dessas transações que não foi reconhecido como receita por ser considerado uma concessão implícita de preço decorrente da aplicação do item 115; e</w:t>
      </w:r>
    </w:p>
    <w:p w14:paraId="68BA2D31" w14:textId="279703EF" w:rsidR="00D81CAD" w:rsidRPr="00D81CAD" w:rsidRDefault="00D81CAD" w:rsidP="00C90136">
      <w:pPr>
        <w:pStyle w:val="IASBSectionTitle1NonInd"/>
        <w:numPr>
          <w:ilvl w:val="1"/>
          <w:numId w:val="5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caso a contraprestação da transação tenha sido reduzida após a consideração de uma concessão implícita de preço decorrente da aplicação do item 115, a entidade deverá divulgar o seguinte:</w:t>
      </w:r>
    </w:p>
    <w:p w14:paraId="4964A8E9" w14:textId="54F1A07B" w:rsidR="00D81CAD" w:rsidRPr="00D81CAD" w:rsidRDefault="00D81CAD" w:rsidP="00C90136">
      <w:pPr>
        <w:pStyle w:val="IASBSectionTitle1NonInd"/>
        <w:numPr>
          <w:ilvl w:val="0"/>
          <w:numId w:val="5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o montante dessas transações que foi reconhecido como receita após a identificação da concessão implícita de preço; e</w:t>
      </w:r>
    </w:p>
    <w:p w14:paraId="35B0D301" w14:textId="63D36B13" w:rsidR="00D81CAD" w:rsidRPr="00D81CAD" w:rsidRDefault="00D81CAD" w:rsidP="00C90136">
      <w:pPr>
        <w:pStyle w:val="IASBSectionTitle1NonInd"/>
        <w:numPr>
          <w:ilvl w:val="0"/>
          <w:numId w:val="5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montante dessas transações que não foi reconhecido como receita, por ser considerado uma concessão implícita de preço.</w:t>
      </w:r>
    </w:p>
    <w:p w14:paraId="7B0EA2B8" w14:textId="77777777" w:rsidR="00D81CAD" w:rsidRPr="009D50A5" w:rsidRDefault="00D81CAD" w:rsidP="00C97A3F">
      <w:pPr>
        <w:pStyle w:val="IASBSectionTitle1NonInd"/>
        <w:pBdr>
          <w:bottom w:val="none" w:sz="0" w:space="0" w:color="auto"/>
        </w:pBdr>
        <w:spacing w:before="100" w:after="240"/>
        <w:jc w:val="both"/>
        <w:rPr>
          <w:rFonts w:ascii="Calibri" w:hAnsi="Calibri" w:cs="Calibri"/>
          <w:sz w:val="24"/>
          <w:szCs w:val="24"/>
        </w:rPr>
      </w:pPr>
      <w:r w:rsidRPr="009D50A5">
        <w:rPr>
          <w:rFonts w:ascii="Calibri" w:hAnsi="Calibri" w:cs="Calibri"/>
          <w:sz w:val="24"/>
          <w:szCs w:val="24"/>
        </w:rPr>
        <w:t>Divulgação Específica para Receita sem Acordos Vinculantes</w:t>
      </w:r>
    </w:p>
    <w:p w14:paraId="7B855BA9" w14:textId="5AA8B1EB" w:rsidR="00D81CAD" w:rsidRPr="00DA1E98"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Conforme mencionado no item 46, em muitos casos, uma </w:t>
      </w:r>
      <w:r w:rsidR="00D81CAD" w:rsidRPr="00DA1E98">
        <w:rPr>
          <w:rFonts w:ascii="Calibri" w:hAnsi="Calibri" w:cs="Calibri"/>
          <w:b w:val="0"/>
          <w:bCs/>
          <w:sz w:val="24"/>
          <w:szCs w:val="24"/>
        </w:rPr>
        <w:t xml:space="preserve">entidade poderá mensurar </w:t>
      </w:r>
      <w:r w:rsidR="0013568F" w:rsidRPr="00DA1E98">
        <w:rPr>
          <w:rFonts w:ascii="Calibri" w:hAnsi="Calibri" w:cs="Calibri"/>
          <w:b w:val="0"/>
          <w:bCs/>
          <w:sz w:val="24"/>
          <w:szCs w:val="24"/>
        </w:rPr>
        <w:t xml:space="preserve">confiavelmente </w:t>
      </w:r>
      <w:r w:rsidR="00D81CAD" w:rsidRPr="00DA1E98">
        <w:rPr>
          <w:rFonts w:ascii="Calibri" w:hAnsi="Calibri" w:cs="Calibri"/>
          <w:b w:val="0"/>
          <w:bCs/>
          <w:sz w:val="24"/>
          <w:szCs w:val="24"/>
        </w:rPr>
        <w:t xml:space="preserve">os ativos e as receitas decorrentes de transações com tributos e com outras contribuições e encargos compulsórios, utilizando, por exemplo, modelos estatísticos. Contudo, podem existir circunstâncias excepcionais em que uma entidade não consiga mensurar </w:t>
      </w:r>
      <w:r w:rsidR="0013568F" w:rsidRPr="00DA1E98">
        <w:rPr>
          <w:rFonts w:ascii="Calibri" w:hAnsi="Calibri" w:cs="Calibri"/>
          <w:b w:val="0"/>
          <w:bCs/>
          <w:sz w:val="24"/>
          <w:szCs w:val="24"/>
        </w:rPr>
        <w:t xml:space="preserve">confiavelmente </w:t>
      </w:r>
      <w:r w:rsidR="00D81CAD" w:rsidRPr="00DA1E98">
        <w:rPr>
          <w:rFonts w:ascii="Calibri" w:hAnsi="Calibri" w:cs="Calibri"/>
          <w:b w:val="0"/>
          <w:bCs/>
          <w:sz w:val="24"/>
          <w:szCs w:val="24"/>
        </w:rPr>
        <w:t xml:space="preserve">os ativos e receitas até que um ou mais períodos a que se referem as demonstrações contábeis tenham transcorrido desde a ocorrência do evento tributável ou de evento equivalente relativo às outras contribuições e encargos compulsórios. Nesses casos, a entidade divulga informações sobre a natureza das principais classes de tributos ou de outras contribuições e encargos compulsórios que não podem ser mensurados </w:t>
      </w:r>
      <w:r w:rsidR="0013568F" w:rsidRPr="00DA1E98">
        <w:rPr>
          <w:rFonts w:ascii="Calibri" w:hAnsi="Calibri" w:cs="Calibri"/>
          <w:b w:val="0"/>
          <w:bCs/>
          <w:sz w:val="24"/>
          <w:szCs w:val="24"/>
        </w:rPr>
        <w:t xml:space="preserve">confiavelmente </w:t>
      </w:r>
      <w:r w:rsidR="00D81CAD" w:rsidRPr="00DA1E98">
        <w:rPr>
          <w:rFonts w:ascii="Calibri" w:hAnsi="Calibri" w:cs="Calibri"/>
          <w:b w:val="0"/>
          <w:bCs/>
          <w:sz w:val="24"/>
          <w:szCs w:val="24"/>
        </w:rPr>
        <w:t>e, portanto, reconhecidos, durante o período a que se referem as demonstrações contábeis em que ocorre o evento tributável ou evento equivalente relativo às outras contribuições e encargos compulsórios.</w:t>
      </w:r>
    </w:p>
    <w:p w14:paraId="461A551C" w14:textId="034E7CA8"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A1E98">
        <w:rPr>
          <w:rFonts w:ascii="Calibri" w:hAnsi="Calibri" w:cs="Calibri"/>
          <w:b w:val="0"/>
          <w:bCs/>
          <w:sz w:val="24"/>
          <w:szCs w:val="24"/>
        </w:rPr>
        <w:t>O item 169(e) exige que a entidade divulgue a existência de recebimentos antecipados. Esses</w:t>
      </w:r>
      <w:r w:rsidR="00D81CAD" w:rsidRPr="00D81CAD">
        <w:rPr>
          <w:rFonts w:ascii="Calibri" w:hAnsi="Calibri" w:cs="Calibri"/>
          <w:b w:val="0"/>
          <w:bCs/>
          <w:sz w:val="24"/>
          <w:szCs w:val="24"/>
        </w:rPr>
        <w:t xml:space="preserve"> passivos carregam o risco de que a entidade tenha de realizar um sacrifício de benefícios econômicos futuros ou de potencial de serviços caso o evento tributável não ocorra ou caso um acordo de transferência não se torne vinculante. </w:t>
      </w:r>
    </w:p>
    <w:p w14:paraId="7B3FF09B" w14:textId="49C5C229"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O item 170(e) exige que uma entidade divulgue informações sobre a natureza e o tipo das principais classes de heranças, presentes e doações que recebeu. Essas entradas de recursos são </w:t>
      </w:r>
      <w:proofErr w:type="gramStart"/>
      <w:r w:rsidR="00D81CAD" w:rsidRPr="00D81CAD">
        <w:rPr>
          <w:rFonts w:ascii="Calibri" w:hAnsi="Calibri" w:cs="Calibri"/>
          <w:b w:val="0"/>
          <w:bCs/>
          <w:sz w:val="24"/>
          <w:szCs w:val="24"/>
        </w:rPr>
        <w:t>recebidos</w:t>
      </w:r>
      <w:proofErr w:type="gramEnd"/>
      <w:r w:rsidR="00D81CAD" w:rsidRPr="00D81CAD">
        <w:rPr>
          <w:rFonts w:ascii="Calibri" w:hAnsi="Calibri" w:cs="Calibri"/>
          <w:b w:val="0"/>
          <w:bCs/>
          <w:sz w:val="24"/>
          <w:szCs w:val="24"/>
        </w:rPr>
        <w:t xml:space="preserve"> a critério do provedor de recursos, o que expõe a entidade ao risco de que, em períodos futuros, tais fontes de recursos possam mudar significativamente.</w:t>
      </w:r>
    </w:p>
    <w:p w14:paraId="5EFE578D" w14:textId="1C902916"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As entidades que não reconhecem serviços em espécie nas demonstrações contábeis de propósito geral são fortemente encorajadas a divulgar informações qualitativas sobre a natureza e o tipo das principais classes de serviços em espécie recebidos, especialmente se esses serviços forem essenciais para as operações da entidade. O grau de dependência da entidade em relação a uma classe de serviços em espécie determinará as divulgações que ela fará a respeito dessa classe.</w:t>
      </w:r>
    </w:p>
    <w:p w14:paraId="5E71B621" w14:textId="16D12FF3"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Quando os serviços em espécie se enquadram na definição de ativo e satisfazem os critérios para reconhecimento como tal, as entidades podem optar por reconhecê-los em espécie e mensurá-los pelo seu valor justo. O item 175 incentiva fortemente a entidade a divulgar informações qualitativas sobre a natureza e o tipo de todos os serviços em espécie recebidos, sejam eles reconhecidos ou não. Essas divulgações podem auxiliar os usuários a fazer julgamentos informados sobre (a) a contribuição desses serviços para o alcance dos objetivos da entidade durante o período a que se referem as demonstrações contábeis e (b) a dependência da entidade em relação a esses serviços para o alcance de seus objetivos no futuro.</w:t>
      </w:r>
    </w:p>
    <w:p w14:paraId="4B64FE22" w14:textId="77777777" w:rsidR="00D81CAD" w:rsidRPr="00B26BCA" w:rsidRDefault="00D81CAD" w:rsidP="00C97A3F">
      <w:pPr>
        <w:pStyle w:val="IASBSectionTitle1NonInd"/>
        <w:pBdr>
          <w:bottom w:val="none" w:sz="0" w:space="0" w:color="auto"/>
        </w:pBdr>
        <w:spacing w:before="100" w:after="240"/>
        <w:jc w:val="both"/>
        <w:rPr>
          <w:rFonts w:ascii="Calibri" w:hAnsi="Calibri" w:cs="Calibri"/>
          <w:sz w:val="24"/>
          <w:szCs w:val="24"/>
        </w:rPr>
      </w:pPr>
      <w:r w:rsidRPr="00B26BCA">
        <w:rPr>
          <w:rFonts w:ascii="Calibri" w:hAnsi="Calibri" w:cs="Calibri"/>
          <w:sz w:val="24"/>
          <w:szCs w:val="24"/>
        </w:rPr>
        <w:t>Divulgação Específica para Receita com Acordos Vinculantes</w:t>
      </w:r>
    </w:p>
    <w:p w14:paraId="7C7638A3" w14:textId="4CCDA03D"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divulgar todos os seguintes valores referentes ao período a que se referem as demonstrações contábeis, a menos que esses valores sejam apresentados separadamente na demonstração do resultado, de acordo com outras normas:</w:t>
      </w:r>
    </w:p>
    <w:p w14:paraId="5E67C0B2" w14:textId="78E76AEC" w:rsidR="00D81CAD" w:rsidRPr="00D81CAD" w:rsidRDefault="00D81CAD" w:rsidP="00C90136">
      <w:pPr>
        <w:pStyle w:val="IASBSectionTitle1NonInd"/>
        <w:numPr>
          <w:ilvl w:val="1"/>
          <w:numId w:val="5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receita reconhecida a partir de acordos vinculantes com obrigações de cumprimento, separadamente de suas outras fontes de receita; e</w:t>
      </w:r>
    </w:p>
    <w:p w14:paraId="4D5853B1" w14:textId="60FDD67E" w:rsidR="00D81CAD" w:rsidRPr="00D81CAD" w:rsidRDefault="00D81CAD" w:rsidP="00C90136">
      <w:pPr>
        <w:pStyle w:val="IASBSectionTitle1NonInd"/>
        <w:numPr>
          <w:ilvl w:val="1"/>
          <w:numId w:val="5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quaisquer perdas por redução ao valor recuperável reconhecidas (de acordo com a NBC TSP 31) em quaisquer valores a receber ou ativos de acordos vinculantes decorrentes de acordos vinculantes de uma entidade, as quais a entidade deverá divulgar separadamente das perdas por redução ao valor recuperável de outros acordos vinculantes.</w:t>
      </w:r>
    </w:p>
    <w:p w14:paraId="508F7DC6" w14:textId="0B07D587"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As obrigações de cumprimento impõem limites ao uso de ativos, o que impacta as operações da entidade. A divulgação do montante dos passivos reconhecidos em relação às obrigações de cumprimento auxilia os usuários a fazerem julgamentos sobre a capacidade da entidade de usar seus ativos a seu próprio critério. Recomenda-se que as entidades desagreguem por classe as informações que devem ser divulgadas pelo item 169(c).</w:t>
      </w:r>
    </w:p>
    <w:p w14:paraId="3CC587CF" w14:textId="77777777" w:rsidR="00D81CAD" w:rsidRPr="00B26BCA" w:rsidRDefault="00D81CAD" w:rsidP="00C97A3F">
      <w:pPr>
        <w:pStyle w:val="IASBSectionTitle1NonInd"/>
        <w:pBdr>
          <w:bottom w:val="none" w:sz="0" w:space="0" w:color="auto"/>
        </w:pBdr>
        <w:spacing w:before="100" w:after="240"/>
        <w:jc w:val="both"/>
        <w:rPr>
          <w:rFonts w:ascii="Calibri" w:hAnsi="Calibri" w:cs="Calibri"/>
          <w:sz w:val="24"/>
          <w:szCs w:val="24"/>
        </w:rPr>
      </w:pPr>
      <w:r w:rsidRPr="00B26BCA">
        <w:rPr>
          <w:rFonts w:ascii="Calibri" w:hAnsi="Calibri" w:cs="Calibri"/>
          <w:sz w:val="24"/>
          <w:szCs w:val="24"/>
        </w:rPr>
        <w:t>Desagregação da Receita</w:t>
      </w:r>
    </w:p>
    <w:p w14:paraId="00F7D5F6" w14:textId="5CE33B59" w:rsidR="00D81CAD" w:rsidRPr="00D81CAD" w:rsidRDefault="002F0B51"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desagregar a receita reconhecida de acordos vinculantes em categorias que descrevam como a natureza, o valor, o momento e a incerteza da receita e dos fluxos de caixa são afetados por fatores econômicos. A entidade deve aplicar as orientações dos itens A205 a A207 ao selecionar as categorias a serem usadas para desagregar a receita.</w:t>
      </w:r>
    </w:p>
    <w:p w14:paraId="3ED7F5F7" w14:textId="706B4C37" w:rsidR="00D81CAD" w:rsidRPr="00D81CAD" w:rsidRDefault="0028747D" w:rsidP="002F0B51">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Além disso, uma entidade deve divulgar informações suficientes para permitir que os usuários das demonstrações contábeis compreendam a relação entre a divulgação da receita desagregada (de acordo com o item 179) e as informações de receita divulgadas para cada segmento reportável, caso a entidade aplique a NBC TSP 27 – Informações por Segmento.</w:t>
      </w:r>
    </w:p>
    <w:p w14:paraId="7E03D606" w14:textId="77777777" w:rsidR="00D81CAD" w:rsidRPr="00B26BCA" w:rsidRDefault="00D81CAD" w:rsidP="00C97A3F">
      <w:pPr>
        <w:pStyle w:val="IASBSectionTitle1NonInd"/>
        <w:pBdr>
          <w:bottom w:val="none" w:sz="0" w:space="0" w:color="auto"/>
        </w:pBdr>
        <w:spacing w:before="100" w:after="240"/>
        <w:jc w:val="both"/>
        <w:rPr>
          <w:rFonts w:ascii="Calibri" w:hAnsi="Calibri" w:cs="Calibri"/>
          <w:sz w:val="24"/>
          <w:szCs w:val="24"/>
        </w:rPr>
      </w:pPr>
      <w:r w:rsidRPr="00B26BCA">
        <w:rPr>
          <w:rFonts w:ascii="Calibri" w:hAnsi="Calibri" w:cs="Calibri"/>
          <w:sz w:val="24"/>
          <w:szCs w:val="24"/>
        </w:rPr>
        <w:t>Saldos de Acordos Vinculantes</w:t>
      </w:r>
    </w:p>
    <w:p w14:paraId="7436B2EA" w14:textId="55C5DCF8"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A entidade deve divulgar todas as seguintes informações:</w:t>
      </w:r>
    </w:p>
    <w:p w14:paraId="717ABC42" w14:textId="6F094C49" w:rsidR="00D81CAD" w:rsidRPr="00D81CAD" w:rsidRDefault="00D81CAD" w:rsidP="00C90136">
      <w:pPr>
        <w:pStyle w:val="IASBSectionTitle1NonInd"/>
        <w:numPr>
          <w:ilvl w:val="1"/>
          <w:numId w:val="5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saldos iniciais e finais de valores a receber, ativos de acordos vinculantes e passivos de acordos vinculantes, caso não sejam apresentados ou divulgados separadamente;</w:t>
      </w:r>
    </w:p>
    <w:p w14:paraId="0C95168F" w14:textId="52C07F4F" w:rsidR="00D81CAD" w:rsidRPr="00D81CAD" w:rsidRDefault="00D81CAD" w:rsidP="00C90136">
      <w:pPr>
        <w:pStyle w:val="IASBSectionTitle1NonInd"/>
        <w:numPr>
          <w:ilvl w:val="1"/>
          <w:numId w:val="5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receita reconhecida no período a que se referem as demonstrações contábeis que estava incluída no saldo do passivo do acordo vinculante no início do período; e</w:t>
      </w:r>
    </w:p>
    <w:p w14:paraId="4E8F12B0" w14:textId="3DE0DE07" w:rsidR="00D81CAD" w:rsidRPr="00D81CAD" w:rsidRDefault="00D81CAD" w:rsidP="00C90136">
      <w:pPr>
        <w:pStyle w:val="IASBSectionTitle1NonInd"/>
        <w:numPr>
          <w:ilvl w:val="1"/>
          <w:numId w:val="5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receita reconhecida no período a que se referem as demonstrações contábeis decorrente de obrigações de cumprimento satisfeitas (ou parcialmente satisfeitas) em períodos anteriores (por exemplo, alterações na contraprestação da transação).</w:t>
      </w:r>
    </w:p>
    <w:p w14:paraId="61CCC041" w14:textId="29F74FB0"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explicar como o prazo para o cumprimento de suas obrigações de cumprimento (ver item 184(a)) se relaciona com o prazo típico de pagamento (ver item 184(b)) e o efeito que esses fatores têm sobre os saldos do ativo e do passivo do acordo vinculante. A explicação fornecida pode utilizar informações qualitativas.</w:t>
      </w:r>
    </w:p>
    <w:p w14:paraId="06F8610C" w14:textId="65196292"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fornecer uma explicação das alterações significativas nos saldos do ativo e do passivo do acordo vinculante durante o período a que se referem as demonstrações contábeis. A explicação deve incluir informações qualitativas e quantitativas. Exemplos de alterações nos saldos do ativo e do passivo do acordo vinculante da entidade incluem qualquer um dos seguintes:</w:t>
      </w:r>
    </w:p>
    <w:p w14:paraId="01AFBE43" w14:textId="4265E643" w:rsidR="00D81CAD" w:rsidRPr="00D81CAD" w:rsidRDefault="00D81CAD" w:rsidP="00C90136">
      <w:pPr>
        <w:pStyle w:val="IASBSectionTitle1NonInd"/>
        <w:numPr>
          <w:ilvl w:val="1"/>
          <w:numId w:val="5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alterações decorrentes de combinações no setor público;</w:t>
      </w:r>
    </w:p>
    <w:p w14:paraId="4E22CCF5" w14:textId="5A3F63CB" w:rsidR="00D81CAD" w:rsidRPr="00D81CAD" w:rsidRDefault="00D81CAD" w:rsidP="00C90136">
      <w:pPr>
        <w:pStyle w:val="IASBSectionTitle1NonInd"/>
        <w:numPr>
          <w:ilvl w:val="1"/>
          <w:numId w:val="5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ajustes cumulativos de atualização da receita que afetam o ativo ou passivo do acordo vinculante correspondente, incluindo ajustes decorrentes de uma mudança na medida do progresso, uma mudança na estimativa da contraprestação da transação (incluindo quaisquer mudanças na avaliação de se uma estimativa da contraprestação variável é limitada) ou uma modificação em um acordo vinculante;</w:t>
      </w:r>
    </w:p>
    <w:p w14:paraId="281DAAD3" w14:textId="4CE43936" w:rsidR="00D81CAD" w:rsidRPr="00D81CAD" w:rsidRDefault="00D81CAD" w:rsidP="00C90136">
      <w:pPr>
        <w:pStyle w:val="IASBSectionTitle1NonInd"/>
        <w:numPr>
          <w:ilvl w:val="1"/>
          <w:numId w:val="5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perda por redução ao valor recuperável de ativo de acordo vinculante;</w:t>
      </w:r>
    </w:p>
    <w:p w14:paraId="152F26A3" w14:textId="6A73BDFB" w:rsidR="00D81CAD" w:rsidRPr="00D81CAD" w:rsidRDefault="00D81CAD" w:rsidP="00C90136">
      <w:pPr>
        <w:pStyle w:val="IASBSectionTitle1NonInd"/>
        <w:numPr>
          <w:ilvl w:val="1"/>
          <w:numId w:val="5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alteração no prazo para que um direito à contraprestação se torne incondicional (ou seja, para que um ativo de acordo vinculante seja reclassificado como um valor a receber); e</w:t>
      </w:r>
    </w:p>
    <w:p w14:paraId="4CEA07B7" w14:textId="754C3F91" w:rsidR="00D81CAD" w:rsidRPr="00D81CAD" w:rsidRDefault="00D81CAD" w:rsidP="00C90136">
      <w:pPr>
        <w:pStyle w:val="IASBSectionTitle1NonInd"/>
        <w:numPr>
          <w:ilvl w:val="1"/>
          <w:numId w:val="5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alteração no prazo para o cumprimento de uma obrigação de cumprimento (ou seja, para o reconhecimento da receita decorrente de um passivo de acordo vinculante).</w:t>
      </w:r>
    </w:p>
    <w:p w14:paraId="4936E2C7" w14:textId="77777777" w:rsidR="00D81CAD" w:rsidRPr="00B26BC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B26BCA">
        <w:rPr>
          <w:rFonts w:ascii="Calibri" w:hAnsi="Calibri" w:cs="Calibri"/>
          <w:i/>
          <w:iCs/>
          <w:sz w:val="24"/>
          <w:szCs w:val="24"/>
        </w:rPr>
        <w:t>Obrigações de Cumprimento</w:t>
      </w:r>
    </w:p>
    <w:p w14:paraId="59A6CA54" w14:textId="1E76F442"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divulgar informações sobre suas obrigações de cumprimento em acordos vinculantes, incluindo uma descrição de todos os seguintes itens:</w:t>
      </w:r>
    </w:p>
    <w:p w14:paraId="6EACD0C7" w14:textId="6267038C" w:rsidR="00D81CAD" w:rsidRPr="00D81CAD" w:rsidRDefault="00D81CAD" w:rsidP="00C90136">
      <w:pPr>
        <w:pStyle w:val="IASBSectionTitle1NonInd"/>
        <w:numPr>
          <w:ilvl w:val="1"/>
          <w:numId w:val="5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quando a entidade normalmente satisfaz suas obrigações de cumprimento (por exemplo, no momento do envio, na entrega, à medida que os serviços são prestados ou após a conclusão do serviço), inclusive quando as obrigações de cumprimento são cumpridas em um acordo de faturamento e retenção;</w:t>
      </w:r>
    </w:p>
    <w:p w14:paraId="76D26171" w14:textId="250003E7" w:rsidR="00D81CAD" w:rsidRPr="00D81CAD" w:rsidRDefault="00D81CAD" w:rsidP="00C90136">
      <w:pPr>
        <w:pStyle w:val="IASBSectionTitle1NonInd"/>
        <w:numPr>
          <w:ilvl w:val="1"/>
          <w:numId w:val="5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termos de pagamento significativos (por exemplo, quando o pagamento é normalmente devido, se o acordo vinculante tem um componente de financiamento significativo, se o valor da contraprestação é variável e se a estimativa da contraprestação variável é normalmente limitada de acordo com os itens 119 a 121);</w:t>
      </w:r>
    </w:p>
    <w:p w14:paraId="7FF135B1" w14:textId="4578F2B4" w:rsidR="00D81CAD" w:rsidRPr="00D81CAD" w:rsidRDefault="00D81CAD" w:rsidP="00C90136">
      <w:pPr>
        <w:pStyle w:val="IASBSectionTitle1NonInd"/>
        <w:numPr>
          <w:ilvl w:val="1"/>
          <w:numId w:val="5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 natureza das obrigações de cumprimento </w:t>
      </w:r>
      <w:r w:rsidRPr="00DA1E98">
        <w:rPr>
          <w:rFonts w:ascii="Calibri" w:hAnsi="Calibri" w:cs="Calibri"/>
          <w:b w:val="0"/>
          <w:bCs/>
          <w:sz w:val="24"/>
          <w:szCs w:val="24"/>
        </w:rPr>
        <w:t xml:space="preserve">que a entidade se comprometeu a </w:t>
      </w:r>
      <w:r w:rsidR="00281830" w:rsidRPr="00DA1E98">
        <w:rPr>
          <w:rFonts w:ascii="Calibri" w:hAnsi="Calibri" w:cs="Calibri"/>
          <w:b w:val="0"/>
          <w:bCs/>
          <w:sz w:val="24"/>
          <w:szCs w:val="24"/>
        </w:rPr>
        <w:t>satisfazer</w:t>
      </w:r>
      <w:r w:rsidRPr="00DA1E98">
        <w:rPr>
          <w:rFonts w:ascii="Calibri" w:hAnsi="Calibri" w:cs="Calibri"/>
          <w:b w:val="0"/>
          <w:bCs/>
          <w:sz w:val="24"/>
          <w:szCs w:val="24"/>
        </w:rPr>
        <w:t>, destacando quaisquer obrigações de cumprimento para que outra parte assuma obrigações de cumprimento (ou seja, se a entidade estiver atuando co</w:t>
      </w:r>
      <w:r w:rsidRPr="00D81CAD">
        <w:rPr>
          <w:rFonts w:ascii="Calibri" w:hAnsi="Calibri" w:cs="Calibri"/>
          <w:b w:val="0"/>
          <w:bCs/>
          <w:sz w:val="24"/>
          <w:szCs w:val="24"/>
        </w:rPr>
        <w:t>mo agente);</w:t>
      </w:r>
    </w:p>
    <w:p w14:paraId="63A5BB10" w14:textId="502C5E1A" w:rsidR="00D81CAD" w:rsidRPr="00D81CAD" w:rsidRDefault="00D81CAD" w:rsidP="00C90136">
      <w:pPr>
        <w:pStyle w:val="IASBSectionTitle1NonInd"/>
        <w:numPr>
          <w:ilvl w:val="1"/>
          <w:numId w:val="5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obrigações relativas a devoluções, reembolsos e outras obrigações semelhantes; e</w:t>
      </w:r>
    </w:p>
    <w:p w14:paraId="68064713" w14:textId="5122DF97" w:rsidR="00D81CAD" w:rsidRPr="00D81CAD" w:rsidRDefault="00D81CAD" w:rsidP="00C90136">
      <w:pPr>
        <w:pStyle w:val="IASBSectionTitle1NonInd"/>
        <w:numPr>
          <w:ilvl w:val="1"/>
          <w:numId w:val="5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tipos de garantias e obrigações relacionadas. </w:t>
      </w:r>
    </w:p>
    <w:p w14:paraId="1264515B" w14:textId="77777777" w:rsidR="00D81CAD" w:rsidRPr="00B26BCA" w:rsidRDefault="00D81CAD" w:rsidP="00C97A3F">
      <w:pPr>
        <w:pStyle w:val="IASBSectionTitle1NonInd"/>
        <w:pBdr>
          <w:bottom w:val="none" w:sz="0" w:space="0" w:color="auto"/>
        </w:pBdr>
        <w:spacing w:before="100" w:after="240"/>
        <w:jc w:val="both"/>
        <w:rPr>
          <w:rFonts w:ascii="Calibri" w:hAnsi="Calibri" w:cs="Calibri"/>
          <w:sz w:val="24"/>
          <w:szCs w:val="24"/>
        </w:rPr>
      </w:pPr>
      <w:r w:rsidRPr="00B26BCA">
        <w:rPr>
          <w:rFonts w:ascii="Calibri" w:hAnsi="Calibri" w:cs="Calibri"/>
          <w:sz w:val="24"/>
          <w:szCs w:val="24"/>
        </w:rPr>
        <w:t>Contraprestação da Transação Alocada às Obrigações de Cumprimento Remanescentes</w:t>
      </w:r>
    </w:p>
    <w:p w14:paraId="2D91BEF7" w14:textId="254254AA"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divulgar as seguintes informações sobre suas obrigações de cumprimento remanescentes:</w:t>
      </w:r>
    </w:p>
    <w:p w14:paraId="4B57D854" w14:textId="6DAE5648" w:rsidR="00D81CAD" w:rsidRPr="00D81CAD" w:rsidRDefault="00D81CAD" w:rsidP="00C90136">
      <w:pPr>
        <w:pStyle w:val="IASBSectionTitle1NonInd"/>
        <w:numPr>
          <w:ilvl w:val="1"/>
          <w:numId w:val="5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montante total da contraprestação da transação alocado às obrigações de cumprimento que não foram cumpridas (ou foram parcialmente cumpridas) no final do período a que se referem as demonstrações contábeis; e</w:t>
      </w:r>
    </w:p>
    <w:p w14:paraId="0412FD1D" w14:textId="5430EDD5" w:rsidR="00D81CAD" w:rsidRPr="00D81CAD" w:rsidRDefault="00D81CAD" w:rsidP="00C90136">
      <w:pPr>
        <w:pStyle w:val="IASBSectionTitle1NonInd"/>
        <w:numPr>
          <w:ilvl w:val="1"/>
          <w:numId w:val="5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uma explicação de quando a entidade espera reconhecer como receita o valor divulgado de acordo com o item 185 (a), que a entidade deverá divulgar de uma das seguintes maneiras:</w:t>
      </w:r>
    </w:p>
    <w:p w14:paraId="6784F8E8" w14:textId="52105C2D" w:rsidR="00D81CAD" w:rsidRPr="00D81CAD" w:rsidRDefault="00D81CAD" w:rsidP="00C90136">
      <w:pPr>
        <w:pStyle w:val="IASBSectionTitle1NonInd"/>
        <w:numPr>
          <w:ilvl w:val="0"/>
          <w:numId w:val="5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em termos quantitativos, utilizando os intervalos de tempo mais adequados à duração das obrigações de cumprimento restantes; ou</w:t>
      </w:r>
    </w:p>
    <w:p w14:paraId="734DBF09" w14:textId="19E8BDF2" w:rsidR="00D81CAD" w:rsidRPr="00D81CAD" w:rsidRDefault="00D81CAD" w:rsidP="00C90136">
      <w:pPr>
        <w:pStyle w:val="IASBSectionTitle1NonInd"/>
        <w:numPr>
          <w:ilvl w:val="0"/>
          <w:numId w:val="5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utilizando informações qualitativas.</w:t>
      </w:r>
    </w:p>
    <w:p w14:paraId="08A6A58C" w14:textId="3563AB65"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Como medida prática, a entidade não precisa divulgar as informações do item 185 para uma obrigação de cumprimento se uma das seguintes condições for atendida:</w:t>
      </w:r>
    </w:p>
    <w:p w14:paraId="7C29A746" w14:textId="2A53EF0C" w:rsidR="00D81CAD" w:rsidRPr="00D81CAD" w:rsidRDefault="00D81CAD" w:rsidP="00C90136">
      <w:pPr>
        <w:pStyle w:val="IASBSectionTitle1NonInd"/>
        <w:numPr>
          <w:ilvl w:val="1"/>
          <w:numId w:val="5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obrigação de cumprimento faz parte de um acordo vinculante que tem uma duração originalmente prevista de um ano ou menos; ou</w:t>
      </w:r>
    </w:p>
    <w:p w14:paraId="65032A34" w14:textId="71066B1C" w:rsidR="00D81CAD" w:rsidRPr="00D81CAD" w:rsidRDefault="00D81CAD" w:rsidP="00C90136">
      <w:pPr>
        <w:pStyle w:val="IASBSectionTitle1NonInd"/>
        <w:numPr>
          <w:ilvl w:val="1"/>
          <w:numId w:val="5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reconhece a receita decorrente do cumprimento da obrigação de cumprimento, de acordo com o item A90.</w:t>
      </w:r>
    </w:p>
    <w:p w14:paraId="4576FDCF" w14:textId="69C3CF20"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A entidade deve explicar qualitativamente se está aplicando a medida prática prevista no item 186 e se qualquer contraprestação decorrente de acordos vinculantes não está incluída na contraprestação da transação e, portanto, não está incluída nas informações divulgadas de acordo com o item 185. Por exemplo, uma estimativa da contraprestação da transação não incluiria quaisquer valores estimados de contraprestação variável que sejam limitados (ver itens 119 a 121).</w:t>
      </w:r>
    </w:p>
    <w:p w14:paraId="21C42B06" w14:textId="77777777" w:rsidR="00D81CAD" w:rsidRPr="00B26BCA"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B26BCA">
        <w:rPr>
          <w:rFonts w:ascii="Calibri" w:hAnsi="Calibri" w:cs="Calibri"/>
          <w:i/>
          <w:iCs/>
          <w:sz w:val="24"/>
          <w:szCs w:val="24"/>
        </w:rPr>
        <w:t xml:space="preserve">Julgamentos Significativos na Aplicação desta norma </w:t>
      </w:r>
    </w:p>
    <w:p w14:paraId="639F1384"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Determinação do Momento da Satisfação das Obrigações de Cumprimento</w:t>
      </w:r>
    </w:p>
    <w:p w14:paraId="68BC9F91" w14:textId="6A74012F" w:rsidR="00D81CAD" w:rsidRPr="00D81CAD" w:rsidRDefault="00D81CA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 Para obrigações de cumprimento que uma entidade cumpre ao longo do tempo, a entidade deve divulgar ambas as seguintes informações:</w:t>
      </w:r>
    </w:p>
    <w:p w14:paraId="27427E1B" w14:textId="598194DC" w:rsidR="00D81CAD" w:rsidRPr="00D81CAD" w:rsidRDefault="00D81CAD" w:rsidP="00C90136">
      <w:pPr>
        <w:pStyle w:val="IASBSectionTitle1NonInd"/>
        <w:numPr>
          <w:ilvl w:val="1"/>
          <w:numId w:val="5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métodos utilizados para reconhecer a receita (por exemplo, uma descrição dos métodos baseados nos produtos (output) ou nos insumos (input) utilizados e como esses métodos são aplicados); e</w:t>
      </w:r>
    </w:p>
    <w:p w14:paraId="3CEC9206" w14:textId="5B38A75E" w:rsidR="00D81CAD" w:rsidRPr="00D81CAD" w:rsidRDefault="00D81CAD" w:rsidP="00C90136">
      <w:pPr>
        <w:pStyle w:val="IASBSectionTitle1NonInd"/>
        <w:numPr>
          <w:ilvl w:val="1"/>
          <w:numId w:val="5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uma explicação de por que os métodos utilizados fornecem uma representação fiel do uso ou da transferência de bens ou serviços.</w:t>
      </w:r>
    </w:p>
    <w:p w14:paraId="5AAABD34" w14:textId="3A1C072B"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Para obrigações de cumprimento satisfeitas em determinado momento, a entidade deve divulgar os julgamentos significativos feitos na avaliação de quando uma obrigação de cumprimento foi satisfeita. </w:t>
      </w:r>
    </w:p>
    <w:p w14:paraId="46C5207F"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Determinação da Contraprestação da Transação e dos Valores Alocados às Obrigações de Cumprimento</w:t>
      </w:r>
    </w:p>
    <w:p w14:paraId="137C8307" w14:textId="7F22737C"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divulgar informações sobre os métodos, insumos e premissas utilizados para todos os seguintes itens:</w:t>
      </w:r>
    </w:p>
    <w:p w14:paraId="2ABB63AF" w14:textId="5AE0C462" w:rsidR="00D81CAD" w:rsidRPr="00D81CAD" w:rsidRDefault="00D81CAD" w:rsidP="00C90136">
      <w:pPr>
        <w:pStyle w:val="IASBSectionTitle1NonInd"/>
        <w:numPr>
          <w:ilvl w:val="1"/>
          <w:numId w:val="6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determinar a contraprestação da transação, o que inclui, entre outros, estimar a contraprestação variável, ajustar a contraprestação pelos efeitos do valor do dinheiro no tempo e mensurar a contraprestação não monetária;</w:t>
      </w:r>
    </w:p>
    <w:p w14:paraId="71EBF6A1" w14:textId="7BDACF7F" w:rsidR="00D81CAD" w:rsidRPr="00D81CAD" w:rsidRDefault="00D81CAD" w:rsidP="00C90136">
      <w:pPr>
        <w:pStyle w:val="IASBSectionTitle1NonInd"/>
        <w:numPr>
          <w:ilvl w:val="1"/>
          <w:numId w:val="6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avaliar se uma estimativa de contraprestação variável está limitada;</w:t>
      </w:r>
    </w:p>
    <w:p w14:paraId="04617853" w14:textId="14572A8F" w:rsidR="00D81CAD" w:rsidRPr="00D81CAD" w:rsidRDefault="00D81CAD" w:rsidP="00C90136">
      <w:pPr>
        <w:pStyle w:val="IASBSectionTitle1NonInd"/>
        <w:numPr>
          <w:ilvl w:val="1"/>
          <w:numId w:val="6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alocar a contraprestação da transação, incluindo a estimativa dos valores individuais dos bens ou serviços prometidos e a alocação de descontos e contraprestação variável a uma parte específica do acordo vinculante (se aplicável); e</w:t>
      </w:r>
    </w:p>
    <w:p w14:paraId="2A51C91E" w14:textId="6F086752" w:rsidR="00D81CAD" w:rsidRPr="00D81CAD" w:rsidRDefault="00D81CAD" w:rsidP="00C90136">
      <w:pPr>
        <w:pStyle w:val="IASBSectionTitle1NonInd"/>
        <w:numPr>
          <w:ilvl w:val="1"/>
          <w:numId w:val="6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mensurar as obrigações relativas a devoluções, reembolsos e outras obrigações semelhantes.</w:t>
      </w:r>
    </w:p>
    <w:p w14:paraId="13282F9B" w14:textId="77777777" w:rsidR="00D81CAD" w:rsidRPr="00E4359F"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E4359F">
        <w:rPr>
          <w:rFonts w:ascii="Calibri" w:hAnsi="Calibri" w:cs="Calibri"/>
          <w:i/>
          <w:iCs/>
          <w:sz w:val="24"/>
          <w:szCs w:val="24"/>
        </w:rPr>
        <w:t>Ativos Reconhecidos a partir dos Custos para Obter ou Cumprir Acordo Vinculante com Provedor de Recursos</w:t>
      </w:r>
    </w:p>
    <w:p w14:paraId="07B7123F" w14:textId="4C02B3C9"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lastRenderedPageBreak/>
        <w:t xml:space="preserve"> </w:t>
      </w:r>
      <w:r w:rsidR="00D81CAD" w:rsidRPr="00D81CAD">
        <w:rPr>
          <w:rFonts w:ascii="Calibri" w:hAnsi="Calibri" w:cs="Calibri"/>
          <w:b w:val="0"/>
          <w:bCs/>
          <w:sz w:val="24"/>
          <w:szCs w:val="24"/>
        </w:rPr>
        <w:t>A entidade deve descrever ambos os seguintes aspectos:</w:t>
      </w:r>
    </w:p>
    <w:p w14:paraId="1543B290" w14:textId="44996F18" w:rsidR="00D81CAD" w:rsidRPr="00D81CAD" w:rsidRDefault="00D81CAD" w:rsidP="00C90136">
      <w:pPr>
        <w:pStyle w:val="IASBSectionTitle1NonInd"/>
        <w:numPr>
          <w:ilvl w:val="1"/>
          <w:numId w:val="6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julgamentos feitos na determinação do montante dos custos incorridos para obter ou cumprir um acordo vinculante com um provedor de recursos (de acordo com o item 148 ou 152); e</w:t>
      </w:r>
    </w:p>
    <w:p w14:paraId="6125F037" w14:textId="4D47B419" w:rsidR="00D81CAD" w:rsidRPr="00D81CAD" w:rsidRDefault="00D81CAD" w:rsidP="00C90136">
      <w:pPr>
        <w:pStyle w:val="IASBSectionTitle1NonInd"/>
        <w:numPr>
          <w:ilvl w:val="1"/>
          <w:numId w:val="6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método que utiliza para determinar a amortização de cada período a que se referem as demonstrações contábeis.</w:t>
      </w:r>
    </w:p>
    <w:p w14:paraId="077D46C6" w14:textId="1AC9171E"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divulgar todas as seguintes informações:</w:t>
      </w:r>
    </w:p>
    <w:p w14:paraId="6C10D6C5" w14:textId="6950FAC8" w:rsidR="00D81CAD" w:rsidRPr="00D81CAD" w:rsidRDefault="00D81CAD" w:rsidP="00C90136">
      <w:pPr>
        <w:pStyle w:val="IASBSectionTitle1NonInd"/>
        <w:numPr>
          <w:ilvl w:val="1"/>
          <w:numId w:val="6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saldos finais dos ativos reconhecidos a partir dos custos incorridos para obter ou cumprir um acordo vinculante com um provedor de recursos (de acordo com o item 148 ou 152), por categoria principal de ativo (por exemplo, custos para obter acordos vinculantes com provedores de recursos, custos anteriores ao acordo vinculante e custos de estruturação); e</w:t>
      </w:r>
    </w:p>
    <w:p w14:paraId="5D0C3049" w14:textId="62B1B7D3" w:rsidR="00D81CAD" w:rsidRPr="00D81CAD" w:rsidRDefault="00D81CAD" w:rsidP="00C90136">
      <w:pPr>
        <w:pStyle w:val="IASBSectionTitle1NonInd"/>
        <w:numPr>
          <w:ilvl w:val="1"/>
          <w:numId w:val="6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montante da amortização e quaisquer perdas por redução ao valor recuperável reconhecidas no período a que se referem as demonstrações contábeis.</w:t>
      </w:r>
    </w:p>
    <w:p w14:paraId="5BF887D9" w14:textId="77777777" w:rsidR="00D81CAD" w:rsidRPr="001B64FF" w:rsidRDefault="00D81CAD" w:rsidP="00C97A3F">
      <w:pPr>
        <w:pStyle w:val="IASBSectionTitle1NonInd"/>
        <w:pBdr>
          <w:bottom w:val="none" w:sz="0" w:space="0" w:color="auto"/>
        </w:pBdr>
        <w:spacing w:before="100" w:after="240"/>
        <w:jc w:val="both"/>
        <w:rPr>
          <w:rFonts w:ascii="Calibri" w:hAnsi="Calibri" w:cs="Calibri"/>
          <w:i/>
          <w:iCs/>
          <w:sz w:val="24"/>
          <w:szCs w:val="24"/>
        </w:rPr>
      </w:pPr>
      <w:r w:rsidRPr="001B64FF">
        <w:rPr>
          <w:rFonts w:ascii="Calibri" w:hAnsi="Calibri" w:cs="Calibri"/>
          <w:i/>
          <w:iCs/>
          <w:sz w:val="24"/>
          <w:szCs w:val="24"/>
        </w:rPr>
        <w:t>Medidas Práticas</w:t>
      </w:r>
    </w:p>
    <w:p w14:paraId="68806B9E" w14:textId="255CEAE6"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Se a entidade optar por utilizar a medida prática prevista no item 126 (sobre a existência de um componente de financiamento significativo) ou no item 151 (sobre os custos incrementais da obtenção de um acordo vinculante), a entidade deverá divulgar esse fato.</w:t>
      </w:r>
    </w:p>
    <w:p w14:paraId="17264215" w14:textId="77777777" w:rsidR="00D81CAD" w:rsidRPr="001B64FF" w:rsidRDefault="00D81CAD" w:rsidP="00C97A3F">
      <w:pPr>
        <w:pStyle w:val="IASBSectionTitle1NonInd"/>
        <w:pBdr>
          <w:bottom w:val="none" w:sz="0" w:space="0" w:color="auto"/>
        </w:pBdr>
        <w:spacing w:before="100" w:after="240"/>
        <w:jc w:val="both"/>
        <w:rPr>
          <w:rFonts w:ascii="Calibri" w:hAnsi="Calibri" w:cs="Calibri"/>
          <w:sz w:val="24"/>
          <w:szCs w:val="24"/>
        </w:rPr>
      </w:pPr>
      <w:r w:rsidRPr="001B64FF">
        <w:rPr>
          <w:rFonts w:ascii="Calibri" w:hAnsi="Calibri" w:cs="Calibri"/>
          <w:sz w:val="24"/>
          <w:szCs w:val="24"/>
        </w:rPr>
        <w:t>Vigência e Transição</w:t>
      </w:r>
    </w:p>
    <w:p w14:paraId="31C1D13C" w14:textId="77777777" w:rsidR="00D81CAD" w:rsidRPr="001B64FF" w:rsidRDefault="00D81CAD" w:rsidP="00C97A3F">
      <w:pPr>
        <w:pStyle w:val="IASBSectionTitle1NonInd"/>
        <w:pBdr>
          <w:bottom w:val="none" w:sz="0" w:space="0" w:color="auto"/>
        </w:pBdr>
        <w:spacing w:before="100" w:after="240"/>
        <w:jc w:val="both"/>
        <w:rPr>
          <w:rFonts w:ascii="Calibri" w:hAnsi="Calibri" w:cs="Calibri"/>
          <w:sz w:val="24"/>
          <w:szCs w:val="24"/>
        </w:rPr>
      </w:pPr>
      <w:r w:rsidRPr="001B64FF">
        <w:rPr>
          <w:rFonts w:ascii="Calibri" w:hAnsi="Calibri" w:cs="Calibri"/>
          <w:sz w:val="24"/>
          <w:szCs w:val="24"/>
        </w:rPr>
        <w:t>Vigência</w:t>
      </w:r>
    </w:p>
    <w:p w14:paraId="7384A7B6" w14:textId="77A28E0F"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aplicar esta norma às demonstrações contábeis anuais referentes a períodos iniciados em ou após 1º de janeiro de 2027. A aplicação antecipada é permitida. Caso a entidade aplique esta norma antecipadamente, deverá divulgar esse fato.</w:t>
      </w:r>
    </w:p>
    <w:p w14:paraId="4322E4CE" w14:textId="3828A34B" w:rsidR="00D81CAD" w:rsidRPr="00D81CAD" w:rsidRDefault="009D7C87" w:rsidP="00C97A3F">
      <w:pPr>
        <w:pStyle w:val="IASBSectionTitle1NonInd"/>
        <w:pBdr>
          <w:bottom w:val="none" w:sz="0" w:space="0" w:color="auto"/>
        </w:pBdr>
        <w:spacing w:before="100" w:after="240"/>
        <w:jc w:val="both"/>
        <w:rPr>
          <w:rFonts w:ascii="Calibri" w:hAnsi="Calibri" w:cs="Calibri"/>
          <w:b w:val="0"/>
          <w:bCs/>
          <w:sz w:val="24"/>
          <w:szCs w:val="24"/>
        </w:rPr>
      </w:pPr>
      <w:r>
        <w:rPr>
          <w:rFonts w:ascii="Calibri" w:hAnsi="Calibri" w:cs="Calibri"/>
          <w:b w:val="0"/>
          <w:bCs/>
          <w:sz w:val="24"/>
          <w:szCs w:val="24"/>
        </w:rPr>
        <w:t xml:space="preserve">194A. </w:t>
      </w:r>
      <w:r w:rsidR="00D81CAD" w:rsidRPr="00D81CAD">
        <w:rPr>
          <w:rFonts w:ascii="Calibri" w:hAnsi="Calibri" w:cs="Calibri"/>
          <w:b w:val="0"/>
          <w:bCs/>
          <w:sz w:val="24"/>
          <w:szCs w:val="24"/>
        </w:rPr>
        <w:t>(não convergido).</w:t>
      </w:r>
    </w:p>
    <w:p w14:paraId="2CB09E0F" w14:textId="39757D59"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(não convergido).</w:t>
      </w:r>
    </w:p>
    <w:p w14:paraId="0EAC7C85" w14:textId="77777777" w:rsidR="00D81CAD" w:rsidRPr="001B64FF" w:rsidRDefault="00D81CAD" w:rsidP="00C97A3F">
      <w:pPr>
        <w:pStyle w:val="IASBSectionTitle1NonInd"/>
        <w:pBdr>
          <w:bottom w:val="none" w:sz="0" w:space="0" w:color="auto"/>
        </w:pBdr>
        <w:spacing w:before="100" w:after="240"/>
        <w:jc w:val="both"/>
        <w:rPr>
          <w:rFonts w:ascii="Calibri" w:hAnsi="Calibri" w:cs="Calibri"/>
          <w:sz w:val="24"/>
          <w:szCs w:val="24"/>
        </w:rPr>
      </w:pPr>
      <w:r w:rsidRPr="001B64FF">
        <w:rPr>
          <w:rFonts w:ascii="Calibri" w:hAnsi="Calibri" w:cs="Calibri"/>
          <w:sz w:val="24"/>
          <w:szCs w:val="24"/>
        </w:rPr>
        <w:t>Transição</w:t>
      </w:r>
    </w:p>
    <w:p w14:paraId="0A31B058" w14:textId="3AF2F965"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Para fins dos requisitos de transição previstos nos itens 197 a 203:</w:t>
      </w:r>
    </w:p>
    <w:p w14:paraId="2F46D206" w14:textId="3A29B38C" w:rsidR="00D81CAD" w:rsidRPr="00D81CAD" w:rsidRDefault="00D81CAD" w:rsidP="00C90136">
      <w:pPr>
        <w:pStyle w:val="IASBSectionTitle1NonInd"/>
        <w:numPr>
          <w:ilvl w:val="1"/>
          <w:numId w:val="6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data de aplicação inicial é o início do período a que se referem as demonstrações contábeis em que uma entidade aplica esta norma pela primeira vez; e</w:t>
      </w:r>
    </w:p>
    <w:p w14:paraId="4AF3F08B" w14:textId="6CD9C91D" w:rsidR="00D81CAD" w:rsidRPr="00D81CAD" w:rsidRDefault="00D81CAD" w:rsidP="00C90136">
      <w:pPr>
        <w:pStyle w:val="IASBSectionTitle1NonInd"/>
        <w:numPr>
          <w:ilvl w:val="1"/>
          <w:numId w:val="6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acordo vinculante concluído é aquele para o qual:</w:t>
      </w:r>
    </w:p>
    <w:p w14:paraId="0B5FDF76" w14:textId="200AA204" w:rsidR="00D81CAD" w:rsidRPr="00D81CAD" w:rsidRDefault="00D81CAD" w:rsidP="00C90136">
      <w:pPr>
        <w:pStyle w:val="IASBSectionTitle1NonInd"/>
        <w:numPr>
          <w:ilvl w:val="0"/>
          <w:numId w:val="6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a entidade satisfez todas as condições identificadas de acordo com a NBC TSP 01 -Receita de Transação sem Contraprestação; ou</w:t>
      </w:r>
    </w:p>
    <w:p w14:paraId="780C78F9" w14:textId="364BC182" w:rsidR="00D81CAD" w:rsidRPr="00D81CAD" w:rsidRDefault="00D81CAD" w:rsidP="00C90136">
      <w:pPr>
        <w:pStyle w:val="IASBSectionTitle1NonInd"/>
        <w:numPr>
          <w:ilvl w:val="0"/>
          <w:numId w:val="6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cumpriu todas as suas promessas identificadas de acordo com a NBC TSP 02 - Receita de Transação com Contraprestação.</w:t>
      </w:r>
    </w:p>
    <w:p w14:paraId="1189D0C3" w14:textId="1D416C9D"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deve aplicar esta norma utilizando um dos dois métodos seguintes:</w:t>
      </w:r>
    </w:p>
    <w:p w14:paraId="6F1A7652" w14:textId="5E35F2C8" w:rsidR="00D81CAD" w:rsidRPr="00B84D68" w:rsidRDefault="00D81CAD" w:rsidP="00C90136">
      <w:pPr>
        <w:pStyle w:val="IASBSectionTitle1NonInd"/>
        <w:numPr>
          <w:ilvl w:val="1"/>
          <w:numId w:val="65"/>
        </w:numPr>
        <w:pBdr>
          <w:bottom w:val="none" w:sz="0" w:space="0" w:color="auto"/>
        </w:pBdr>
        <w:spacing w:before="100" w:after="240"/>
        <w:jc w:val="both"/>
        <w:rPr>
          <w:rFonts w:ascii="Calibri" w:hAnsi="Calibri" w:cs="Calibri"/>
          <w:b w:val="0"/>
          <w:bCs/>
          <w:sz w:val="24"/>
          <w:szCs w:val="24"/>
        </w:rPr>
      </w:pPr>
      <w:r w:rsidRPr="00B84D68">
        <w:rPr>
          <w:rFonts w:ascii="Calibri" w:hAnsi="Calibri" w:cs="Calibri"/>
          <w:b w:val="0"/>
          <w:bCs/>
          <w:sz w:val="24"/>
          <w:szCs w:val="24"/>
        </w:rPr>
        <w:t>retrospectivamente a cada período anterior apresentado, de acordo com a NBC TSP 23, sujeito às medidas práticas previstas no item 199; ou</w:t>
      </w:r>
    </w:p>
    <w:p w14:paraId="653A0B71" w14:textId="56AFDD76" w:rsidR="00D81CAD" w:rsidRPr="00D81CAD" w:rsidRDefault="00D81CAD" w:rsidP="00C90136">
      <w:pPr>
        <w:pStyle w:val="IASBSectionTitle1NonInd"/>
        <w:numPr>
          <w:ilvl w:val="1"/>
          <w:numId w:val="6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retrospectivamente, com o efeito cumulativo da aplicação inicial desta norma reconhecido na data da aplicação inicial, de acordo com os itens 201 a 203.</w:t>
      </w:r>
    </w:p>
    <w:p w14:paraId="7ED5DE5D" w14:textId="56B98C9D"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Não obstante os requisitos do item 33 da NBC TSP 23, quando esta norma for aplicada pela primeira vez, a entidade só precisa apresentar as informações quantitativas exigidas pelo item 33(f) da NBC TSP 23 para o período anual imediatamente anterior ao primeiro período anual para o qual esta norma é aplicada (o “período imediatamente anterior”) e somente se a entidade aplicar esta norma retroativamente de acordo com o item 197(a). A entidade também pode apresentar essas informações para o período atual ou para períodos comparativos anteriores, mas não é obrigada a fazê-lo.</w:t>
      </w:r>
    </w:p>
    <w:p w14:paraId="6DC0A0B3" w14:textId="7841E41A"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pode utilizar uma ou mais das seguintes medidas práticas ao aplicar esta norma retrospectivamente de acordo com o item 197(a):</w:t>
      </w:r>
    </w:p>
    <w:p w14:paraId="11E1EA3E" w14:textId="6B851951" w:rsidR="00D81CAD" w:rsidRPr="00D81CAD" w:rsidRDefault="00D81CAD" w:rsidP="00C90136">
      <w:pPr>
        <w:pStyle w:val="IASBSectionTitle1NonInd"/>
        <w:numPr>
          <w:ilvl w:val="1"/>
          <w:numId w:val="6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para acordos vinculantes concluídos, a entidade não precisa reapresentar os acordos vinculantes que:</w:t>
      </w:r>
    </w:p>
    <w:p w14:paraId="22E3FFB4" w14:textId="7937175C" w:rsidR="00D81CAD" w:rsidRPr="00D81CAD" w:rsidRDefault="00D81CAD" w:rsidP="00C90136">
      <w:pPr>
        <w:pStyle w:val="IASBSectionTitle1NonInd"/>
        <w:numPr>
          <w:ilvl w:val="0"/>
          <w:numId w:val="6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comecem e terminem dentro do mesmo período anual; ou</w:t>
      </w:r>
    </w:p>
    <w:p w14:paraId="1FD55231" w14:textId="466CFA1F" w:rsidR="00D81CAD" w:rsidRPr="00D81CAD" w:rsidRDefault="00D81CAD" w:rsidP="00C90136">
      <w:pPr>
        <w:pStyle w:val="IASBSectionTitle1NonInd"/>
        <w:numPr>
          <w:ilvl w:val="0"/>
          <w:numId w:val="6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sejam acordos vinculantes concluídos no início do período mais antigo apresentado.</w:t>
      </w:r>
    </w:p>
    <w:p w14:paraId="55BEE54F" w14:textId="082FCCE1" w:rsidR="00D81CAD" w:rsidRPr="00D81CAD" w:rsidRDefault="00D81CAD" w:rsidP="00C90136">
      <w:pPr>
        <w:pStyle w:val="IASBSectionTitle1NonInd"/>
        <w:numPr>
          <w:ilvl w:val="1"/>
          <w:numId w:val="6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para acordos vinculantes concluídos que envolvam contraprestação variável, a entidade pode utilizar a contraprestação da transação na data de conclusão do acordo vinculante, em vez de estimar os valores da contraprestação variável nos períodos comparativos.</w:t>
      </w:r>
    </w:p>
    <w:p w14:paraId="176FFACB" w14:textId="2886B267" w:rsidR="00D81CAD" w:rsidRPr="00D81CAD" w:rsidRDefault="00D81CAD" w:rsidP="00C90136">
      <w:pPr>
        <w:pStyle w:val="IASBSectionTitle1NonInd"/>
        <w:numPr>
          <w:ilvl w:val="1"/>
          <w:numId w:val="6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para acordos vinculantes que foram modificados antes do início do período mais antigo apresentado, a entidade não precisa reformular retroativamente o acordo vinculante para essas modificações, de acordo com os itens 65 a 66. Em vez disso, a entidade deve refletir o efeito agregado de todas as modificações que ocorreram antes do início do período mais antigo apresentado quando:</w:t>
      </w:r>
    </w:p>
    <w:p w14:paraId="3DF4F139" w14:textId="1F854E53" w:rsidR="00D81CAD" w:rsidRPr="00D81CAD" w:rsidRDefault="00D81CAD" w:rsidP="00C90136">
      <w:pPr>
        <w:pStyle w:val="IASBSectionTitle1NonInd"/>
        <w:numPr>
          <w:ilvl w:val="0"/>
          <w:numId w:val="6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identificar as obrigações de cumprimento satisfeitas e não satisfeitas;</w:t>
      </w:r>
    </w:p>
    <w:p w14:paraId="78D6E960" w14:textId="53066397" w:rsidR="00D81CAD" w:rsidRPr="00D81CAD" w:rsidRDefault="00D81CAD" w:rsidP="00C90136">
      <w:pPr>
        <w:pStyle w:val="IASBSectionTitle1NonInd"/>
        <w:numPr>
          <w:ilvl w:val="0"/>
          <w:numId w:val="6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determinar a contraprestação da transação; e</w:t>
      </w:r>
    </w:p>
    <w:p w14:paraId="67C407A0" w14:textId="37277B83" w:rsidR="00D81CAD" w:rsidRPr="00D81CAD" w:rsidRDefault="00D81CAD" w:rsidP="00C90136">
      <w:pPr>
        <w:pStyle w:val="IASBSectionTitle1NonInd"/>
        <w:numPr>
          <w:ilvl w:val="0"/>
          <w:numId w:val="6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alocar a contraprestação da transação às obrigações de cumprimento satisfeitas e não satisfeitas.</w:t>
      </w:r>
    </w:p>
    <w:p w14:paraId="666579C9" w14:textId="2DEE05AE" w:rsidR="00D81CAD" w:rsidRPr="00D81CAD" w:rsidRDefault="00D81CAD" w:rsidP="00C90136">
      <w:pPr>
        <w:pStyle w:val="IASBSectionTitle1NonInd"/>
        <w:numPr>
          <w:ilvl w:val="1"/>
          <w:numId w:val="6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para todos os períodos apresentados antes da data da aplicação inicial, a entidade não precisa divulgar o valor da contraprestação da transação alocado às obrigações de cumprimento restantes, nem explicar quando espera reconhecer esse valor como receita.</w:t>
      </w:r>
    </w:p>
    <w:p w14:paraId="5DFE0D1A" w14:textId="0776B95B"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Para qualquer uma das medidas práticas mencionadas no item 199 que a entidade utilize, ela deve aplicá-la de forma consistente a todos os acordos vinculantes em todos os períodos apresentados a que se referem as demonstrações contábeis. Além disso, a entidade deverá divulgar todas as seguintes informações:</w:t>
      </w:r>
    </w:p>
    <w:p w14:paraId="76498CA9" w14:textId="3369500C" w:rsidR="00D81CAD" w:rsidRPr="00D81CAD" w:rsidRDefault="00D81CAD" w:rsidP="00C90136">
      <w:pPr>
        <w:pStyle w:val="IASBSectionTitle1NonInd"/>
        <w:numPr>
          <w:ilvl w:val="1"/>
          <w:numId w:val="6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as medidas práticas que foram utilizadas; e</w:t>
      </w:r>
    </w:p>
    <w:p w14:paraId="7EA63703" w14:textId="6A30B8AB" w:rsidR="00D81CAD" w:rsidRPr="00D81CAD" w:rsidRDefault="00D81CAD" w:rsidP="00C90136">
      <w:pPr>
        <w:pStyle w:val="IASBSectionTitle1NonInd"/>
        <w:numPr>
          <w:ilvl w:val="1"/>
          <w:numId w:val="6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na medida do razoavelmente possível, uma avaliação qualitativa do efeito estimado da aplicação de cada uma dessas medidas práticas.</w:t>
      </w:r>
    </w:p>
    <w:p w14:paraId="4999659A" w14:textId="1919DC14"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Se a entidade optar por aplicar esta norma retrospectivamente, de acordo com o item 197(b), deverá reconhecer o efeito cumulativo da aplicação inicial desta norma como um ajuste ao saldo inicial dos resultados acumulados (ou de outro componente dos ativos líquidos/patrimônio líquido, conforme o caso) do período anual que inclui a data da aplicação inicial. Neste método de transição, uma entidade pode optar por aplicar esta norma retroativamente apenas a acordos vinculantes que não estejam concluídos na data da aplicação inicial (por exemplo, 1º de janeiro de 20XX para uma entidade com exercício social encerrado em 31 de dezembro).</w:t>
      </w:r>
    </w:p>
    <w:p w14:paraId="1CDB93FF" w14:textId="60914F0D"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A entidade que aplique esta norma retrospectivamente, de acordo com o item 197(b), também poderá utilizar a medida prática descrita no item 199(c), ou seja:</w:t>
      </w:r>
    </w:p>
    <w:p w14:paraId="2EC96951" w14:textId="4A913BF7" w:rsidR="00D81CAD" w:rsidRPr="00D81CAD" w:rsidRDefault="00D81CAD" w:rsidP="00C90136">
      <w:pPr>
        <w:pStyle w:val="IASBSectionTitle1NonInd"/>
        <w:numPr>
          <w:ilvl w:val="1"/>
          <w:numId w:val="7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para todas as modificações em um acordo vinculante que ocorram antes do início do período mais antigo apresentado; ou</w:t>
      </w:r>
    </w:p>
    <w:p w14:paraId="7FDA0D6E" w14:textId="40B646CD" w:rsidR="00D81CAD" w:rsidRPr="00D81CAD" w:rsidRDefault="00D81CAD" w:rsidP="00C90136">
      <w:pPr>
        <w:pStyle w:val="IASBSectionTitle1NonInd"/>
        <w:numPr>
          <w:ilvl w:val="1"/>
          <w:numId w:val="7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para todas as modificações em um acordo vinculante que ocorram antes da data de aplicação inicial.</w:t>
      </w:r>
    </w:p>
    <w:p w14:paraId="6B424053"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Se uma entidade utilizar esta medida prática, deverá aplicá-la de forma consistente a todos os acordos vinculantes e divulgar as informações exigidas pelo item 200.</w:t>
      </w:r>
    </w:p>
    <w:p w14:paraId="67AAAAA8" w14:textId="68785019" w:rsidR="00D81CAD" w:rsidRPr="0028747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Para períodos que incluam a data de aplicação inicial, a entidade deve fornecer ambas as divulgações </w:t>
      </w:r>
      <w:r w:rsidR="00D81CAD" w:rsidRPr="0028747D">
        <w:rPr>
          <w:rFonts w:ascii="Calibri" w:hAnsi="Calibri" w:cs="Calibri"/>
          <w:b w:val="0"/>
          <w:bCs/>
          <w:sz w:val="24"/>
          <w:szCs w:val="24"/>
        </w:rPr>
        <w:t>adicionais a seguir se esta norma for aplicada retrospectivamente de acordo com o item 197(b):</w:t>
      </w:r>
    </w:p>
    <w:p w14:paraId="1961EEA3" w14:textId="1CBAEA91" w:rsidR="00D81CAD" w:rsidRPr="0028747D" w:rsidRDefault="00D81CAD" w:rsidP="00C90136">
      <w:pPr>
        <w:pStyle w:val="IASBSectionTitle1NonInd"/>
        <w:numPr>
          <w:ilvl w:val="1"/>
          <w:numId w:val="71"/>
        </w:numPr>
        <w:pBdr>
          <w:bottom w:val="none" w:sz="0" w:space="0" w:color="auto"/>
        </w:pBdr>
        <w:spacing w:before="100" w:after="240"/>
        <w:jc w:val="both"/>
        <w:rPr>
          <w:rFonts w:ascii="Calibri" w:hAnsi="Calibri" w:cs="Calibri"/>
          <w:b w:val="0"/>
          <w:bCs/>
          <w:sz w:val="24"/>
          <w:szCs w:val="24"/>
        </w:rPr>
      </w:pPr>
      <w:r w:rsidRPr="0028747D">
        <w:rPr>
          <w:rFonts w:ascii="Calibri" w:hAnsi="Calibri" w:cs="Calibri"/>
          <w:b w:val="0"/>
          <w:bCs/>
          <w:sz w:val="24"/>
          <w:szCs w:val="24"/>
        </w:rPr>
        <w:t>o montante pelo qual cada rubrica das demonstrações contábeis é afetada no período corrente pela aplicação desta norma em comparação com as NBC TSP 01 e NBC TSP 02.</w:t>
      </w:r>
    </w:p>
    <w:p w14:paraId="5D0CA380" w14:textId="49C58189" w:rsidR="00D81CAD" w:rsidRPr="00D81CAD" w:rsidRDefault="00D81CAD" w:rsidP="00C90136">
      <w:pPr>
        <w:pStyle w:val="IASBSectionTitle1NonInd"/>
        <w:numPr>
          <w:ilvl w:val="1"/>
          <w:numId w:val="7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uma explicação das razões para as mudanças significativas identificadas.</w:t>
      </w:r>
    </w:p>
    <w:p w14:paraId="48E95FDC" w14:textId="31454974" w:rsidR="00D81CAD" w:rsidRPr="00D81CAD" w:rsidRDefault="00D81CAD" w:rsidP="0028747D">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203A. </w:t>
      </w:r>
      <w:r w:rsidR="0028747D">
        <w:rPr>
          <w:rFonts w:ascii="Calibri" w:hAnsi="Calibri" w:cs="Calibri"/>
          <w:b w:val="0"/>
          <w:bCs/>
          <w:sz w:val="24"/>
          <w:szCs w:val="24"/>
        </w:rPr>
        <w:tab/>
      </w:r>
      <w:r w:rsidRPr="00D81CAD">
        <w:rPr>
          <w:rFonts w:ascii="Calibri" w:hAnsi="Calibri" w:cs="Calibri"/>
          <w:b w:val="0"/>
          <w:bCs/>
          <w:sz w:val="24"/>
          <w:szCs w:val="24"/>
        </w:rPr>
        <w:t>Os requisitos de transição aplicáveis aos ativos de direito de uso previstos nos itens 106–117, 123 e 124–126 da NBC TSP 35 também se aplicam, conforme apropriado, à mensuração dos ativos de direito de uso recebidos em espécie (</w:t>
      </w:r>
      <w:proofErr w:type="spellStart"/>
      <w:r w:rsidRPr="00281830">
        <w:rPr>
          <w:rFonts w:ascii="Calibri" w:hAnsi="Calibri" w:cs="Calibri"/>
          <w:b w:val="0"/>
          <w:bCs/>
          <w:i/>
          <w:iCs/>
          <w:sz w:val="24"/>
          <w:szCs w:val="24"/>
        </w:rPr>
        <w:t>right</w:t>
      </w:r>
      <w:proofErr w:type="spellEnd"/>
      <w:r w:rsidRPr="00281830">
        <w:rPr>
          <w:rFonts w:ascii="Calibri" w:hAnsi="Calibri" w:cs="Calibri"/>
          <w:b w:val="0"/>
          <w:bCs/>
          <w:i/>
          <w:iCs/>
          <w:sz w:val="24"/>
          <w:szCs w:val="24"/>
        </w:rPr>
        <w:t>-</w:t>
      </w:r>
      <w:proofErr w:type="spellStart"/>
      <w:r w:rsidRPr="00281830">
        <w:rPr>
          <w:rFonts w:ascii="Calibri" w:hAnsi="Calibri" w:cs="Calibri"/>
          <w:b w:val="0"/>
          <w:bCs/>
          <w:i/>
          <w:iCs/>
          <w:sz w:val="24"/>
          <w:szCs w:val="24"/>
        </w:rPr>
        <w:t>of</w:t>
      </w:r>
      <w:proofErr w:type="spellEnd"/>
      <w:r w:rsidRPr="00281830">
        <w:rPr>
          <w:rFonts w:ascii="Calibri" w:hAnsi="Calibri" w:cs="Calibri"/>
          <w:b w:val="0"/>
          <w:bCs/>
          <w:i/>
          <w:iCs/>
          <w:sz w:val="24"/>
          <w:szCs w:val="24"/>
        </w:rPr>
        <w:t xml:space="preserve">-use </w:t>
      </w:r>
      <w:proofErr w:type="spellStart"/>
      <w:r w:rsidRPr="00281830">
        <w:rPr>
          <w:rFonts w:ascii="Calibri" w:hAnsi="Calibri" w:cs="Calibri"/>
          <w:b w:val="0"/>
          <w:bCs/>
          <w:i/>
          <w:iCs/>
          <w:sz w:val="24"/>
          <w:szCs w:val="24"/>
        </w:rPr>
        <w:t>assets</w:t>
      </w:r>
      <w:proofErr w:type="spellEnd"/>
      <w:r w:rsidRPr="00281830">
        <w:rPr>
          <w:rFonts w:ascii="Calibri" w:hAnsi="Calibri" w:cs="Calibri"/>
          <w:b w:val="0"/>
          <w:bCs/>
          <w:i/>
          <w:iCs/>
          <w:sz w:val="24"/>
          <w:szCs w:val="24"/>
        </w:rPr>
        <w:t xml:space="preserve"> </w:t>
      </w:r>
      <w:proofErr w:type="spellStart"/>
      <w:r w:rsidRPr="00281830">
        <w:rPr>
          <w:rFonts w:ascii="Calibri" w:hAnsi="Calibri" w:cs="Calibri"/>
          <w:b w:val="0"/>
          <w:bCs/>
          <w:i/>
          <w:iCs/>
          <w:sz w:val="24"/>
          <w:szCs w:val="24"/>
        </w:rPr>
        <w:t>in-kind</w:t>
      </w:r>
      <w:proofErr w:type="spellEnd"/>
      <w:r w:rsidRPr="00D81CAD">
        <w:rPr>
          <w:rFonts w:ascii="Calibri" w:hAnsi="Calibri" w:cs="Calibri"/>
          <w:b w:val="0"/>
          <w:bCs/>
          <w:sz w:val="24"/>
          <w:szCs w:val="24"/>
        </w:rPr>
        <w:t>) mantidos por uma entidade.</w:t>
      </w:r>
    </w:p>
    <w:p w14:paraId="310307BB"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Revogação de Outras Normas</w:t>
      </w:r>
    </w:p>
    <w:p w14:paraId="5C4C684C" w14:textId="36CBE7BB" w:rsidR="00D81CAD" w:rsidRPr="00D81CAD" w:rsidRDefault="0028747D" w:rsidP="0028747D">
      <w:pPr>
        <w:pStyle w:val="IASBSectionTitle1NonInd"/>
        <w:numPr>
          <w:ilvl w:val="0"/>
          <w:numId w:val="128"/>
        </w:numPr>
        <w:pBdr>
          <w:bottom w:val="none" w:sz="0" w:space="0" w:color="auto"/>
        </w:pBdr>
        <w:spacing w:before="100" w:after="240"/>
        <w:ind w:left="426" w:hanging="426"/>
        <w:jc w:val="both"/>
        <w:rPr>
          <w:rFonts w:ascii="Calibri" w:hAnsi="Calibri" w:cs="Calibri"/>
          <w:b w:val="0"/>
          <w:bCs/>
          <w:sz w:val="24"/>
          <w:szCs w:val="24"/>
        </w:rPr>
      </w:pPr>
      <w:r>
        <w:rPr>
          <w:rFonts w:ascii="Calibri" w:hAnsi="Calibri" w:cs="Calibri"/>
          <w:b w:val="0"/>
          <w:bCs/>
          <w:sz w:val="24"/>
          <w:szCs w:val="24"/>
        </w:rPr>
        <w:t xml:space="preserve"> </w:t>
      </w:r>
      <w:r w:rsidR="00D81CAD" w:rsidRPr="00D81CAD">
        <w:rPr>
          <w:rFonts w:ascii="Calibri" w:hAnsi="Calibri" w:cs="Calibri"/>
          <w:b w:val="0"/>
          <w:bCs/>
          <w:sz w:val="24"/>
          <w:szCs w:val="24"/>
        </w:rPr>
        <w:t xml:space="preserve">Esta norma substitui as seguintes </w:t>
      </w:r>
      <w:r w:rsidR="00061DB2">
        <w:rPr>
          <w:rFonts w:ascii="Calibri" w:hAnsi="Calibri" w:cs="Calibri"/>
          <w:b w:val="0"/>
          <w:bCs/>
          <w:sz w:val="24"/>
          <w:szCs w:val="24"/>
        </w:rPr>
        <w:t>N</w:t>
      </w:r>
      <w:r w:rsidR="00D81CAD" w:rsidRPr="00D81CAD">
        <w:rPr>
          <w:rFonts w:ascii="Calibri" w:hAnsi="Calibri" w:cs="Calibri"/>
          <w:b w:val="0"/>
          <w:bCs/>
          <w:sz w:val="24"/>
          <w:szCs w:val="24"/>
        </w:rPr>
        <w:t>ormas:</w:t>
      </w:r>
    </w:p>
    <w:p w14:paraId="7A4A23DE" w14:textId="3BBD5C14" w:rsidR="00D81CAD" w:rsidRPr="00D81CAD" w:rsidRDefault="00D81CAD" w:rsidP="00C90136">
      <w:pPr>
        <w:pStyle w:val="IASBSectionTitle1NonInd"/>
        <w:numPr>
          <w:ilvl w:val="1"/>
          <w:numId w:val="7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NBC TSP 02 – Receita de Transação com Contraprestação; e</w:t>
      </w:r>
    </w:p>
    <w:p w14:paraId="094EE9F2" w14:textId="6A8232BF" w:rsidR="00D81CAD" w:rsidRPr="00D81CAD" w:rsidRDefault="00D81CAD" w:rsidP="00C90136">
      <w:pPr>
        <w:pStyle w:val="IASBSectionTitle1NonInd"/>
        <w:numPr>
          <w:ilvl w:val="1"/>
          <w:numId w:val="7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(Não convergido).</w:t>
      </w:r>
    </w:p>
    <w:p w14:paraId="3371AAC7" w14:textId="1FE1AE2B" w:rsidR="00D81CAD" w:rsidRPr="00D81CAD" w:rsidRDefault="00D81CAD" w:rsidP="00C90136">
      <w:pPr>
        <w:pStyle w:val="IASBSectionTitle1NonInd"/>
        <w:numPr>
          <w:ilvl w:val="1"/>
          <w:numId w:val="7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NBC TSP 01 – Receita de Transação sem Contraprestação.</w:t>
      </w:r>
    </w:p>
    <w:p w14:paraId="2AB1612C" w14:textId="77777777" w:rsidR="00D81CAD" w:rsidRPr="00B84D68"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B84D68">
        <w:rPr>
          <w:rFonts w:ascii="Calibri" w:hAnsi="Calibri" w:cs="Calibri"/>
          <w:b w:val="0"/>
          <w:bCs/>
          <w:sz w:val="24"/>
          <w:szCs w:val="24"/>
        </w:rPr>
        <w:t>As NBC TSP 01 e NBC TSP 02 permanecem aplicáveis até que a NBC TSP 39 seja aplicada ou entre em vigor, o que ocorrer primeiro.</w:t>
      </w:r>
    </w:p>
    <w:p w14:paraId="71E99665" w14:textId="77777777" w:rsid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p>
    <w:p w14:paraId="34CBCD18" w14:textId="205085A0" w:rsidR="00D22770" w:rsidRPr="00F11E2E" w:rsidRDefault="00D22770" w:rsidP="00D22770">
      <w:pPr>
        <w:spacing w:after="0"/>
        <w:ind w:right="-142"/>
        <w:jc w:val="right"/>
        <w:rPr>
          <w:rFonts w:asciiTheme="majorHAnsi" w:eastAsia="Calibri" w:hAnsiTheme="majorHAnsi" w:cstheme="majorHAnsi"/>
          <w:szCs w:val="24"/>
        </w:rPr>
      </w:pPr>
      <w:r w:rsidRPr="00F11E2E">
        <w:rPr>
          <w:rFonts w:asciiTheme="majorHAnsi" w:eastAsia="Calibri" w:hAnsiTheme="majorHAnsi" w:cstheme="majorHAnsi"/>
          <w:szCs w:val="24"/>
        </w:rPr>
        <w:t xml:space="preserve">Brasília, </w:t>
      </w:r>
      <w:r w:rsidR="0028747D">
        <w:rPr>
          <w:rFonts w:asciiTheme="majorHAnsi" w:eastAsia="Calibri" w:hAnsiTheme="majorHAnsi" w:cstheme="majorHAnsi"/>
          <w:szCs w:val="24"/>
        </w:rPr>
        <w:t>XX</w:t>
      </w:r>
      <w:r w:rsidRPr="00F11E2E">
        <w:rPr>
          <w:rFonts w:asciiTheme="majorHAnsi" w:eastAsia="Calibri" w:hAnsiTheme="majorHAnsi" w:cstheme="majorHAnsi"/>
          <w:szCs w:val="24"/>
        </w:rPr>
        <w:t xml:space="preserve"> de </w:t>
      </w:r>
      <w:r w:rsidR="0028747D">
        <w:rPr>
          <w:rFonts w:asciiTheme="majorHAnsi" w:eastAsia="Calibri" w:hAnsiTheme="majorHAnsi" w:cstheme="majorHAnsi"/>
          <w:szCs w:val="24"/>
        </w:rPr>
        <w:t>XXXX</w:t>
      </w:r>
      <w:r w:rsidRPr="00F11E2E">
        <w:rPr>
          <w:rFonts w:asciiTheme="majorHAnsi" w:eastAsia="Calibri" w:hAnsiTheme="majorHAnsi" w:cstheme="majorHAnsi"/>
          <w:szCs w:val="24"/>
        </w:rPr>
        <w:t xml:space="preserve"> de 202</w:t>
      </w:r>
      <w:r>
        <w:rPr>
          <w:rFonts w:asciiTheme="majorHAnsi" w:eastAsia="Calibri" w:hAnsiTheme="majorHAnsi" w:cstheme="majorHAnsi"/>
          <w:szCs w:val="24"/>
        </w:rPr>
        <w:t>6</w:t>
      </w:r>
      <w:r w:rsidRPr="00F11E2E">
        <w:rPr>
          <w:rFonts w:asciiTheme="majorHAnsi" w:eastAsia="Calibri" w:hAnsiTheme="majorHAnsi" w:cstheme="majorHAnsi"/>
          <w:szCs w:val="24"/>
        </w:rPr>
        <w:t xml:space="preserve">. </w:t>
      </w:r>
    </w:p>
    <w:p w14:paraId="0987E9B0" w14:textId="77777777" w:rsidR="00D22770" w:rsidRDefault="00D22770" w:rsidP="00D22770">
      <w:pPr>
        <w:spacing w:after="0"/>
        <w:ind w:right="-142"/>
        <w:jc w:val="center"/>
        <w:rPr>
          <w:rFonts w:asciiTheme="majorHAnsi" w:eastAsia="Calibri" w:hAnsiTheme="majorHAnsi" w:cstheme="majorHAnsi"/>
          <w:szCs w:val="24"/>
        </w:rPr>
      </w:pPr>
    </w:p>
    <w:p w14:paraId="3E1CC1DB" w14:textId="77777777" w:rsidR="00D22770" w:rsidRPr="00F11E2E" w:rsidRDefault="00D22770" w:rsidP="00D22770">
      <w:pPr>
        <w:spacing w:after="0"/>
        <w:ind w:right="-142"/>
        <w:jc w:val="center"/>
        <w:rPr>
          <w:rFonts w:asciiTheme="majorHAnsi" w:eastAsia="Calibri" w:hAnsiTheme="majorHAnsi" w:cstheme="majorHAnsi"/>
          <w:szCs w:val="24"/>
        </w:rPr>
      </w:pPr>
    </w:p>
    <w:p w14:paraId="7045BBE2" w14:textId="77777777" w:rsidR="00D22770" w:rsidRPr="00F11E2E" w:rsidRDefault="00D22770" w:rsidP="00D22770">
      <w:pPr>
        <w:spacing w:after="0"/>
        <w:ind w:right="-142"/>
        <w:jc w:val="center"/>
        <w:rPr>
          <w:rFonts w:asciiTheme="majorHAnsi" w:eastAsia="Calibri" w:hAnsiTheme="majorHAnsi" w:cstheme="majorHAnsi"/>
          <w:szCs w:val="24"/>
        </w:rPr>
      </w:pPr>
      <w:r w:rsidRPr="00F11E2E">
        <w:rPr>
          <w:rFonts w:asciiTheme="majorHAnsi" w:eastAsia="Calibri" w:hAnsiTheme="majorHAnsi" w:cstheme="majorHAnsi"/>
          <w:szCs w:val="24"/>
        </w:rPr>
        <w:t xml:space="preserve">CONTADOR </w:t>
      </w:r>
      <w:r w:rsidRPr="00A96139">
        <w:rPr>
          <w:rFonts w:asciiTheme="majorHAnsi" w:eastAsia="Calibri" w:hAnsiTheme="majorHAnsi" w:cstheme="majorHAnsi"/>
          <w:szCs w:val="24"/>
        </w:rPr>
        <w:t>JOAQUIM DE ALENCAR BEZERRA FILHO</w:t>
      </w:r>
    </w:p>
    <w:p w14:paraId="3E45B853" w14:textId="77777777" w:rsidR="00D22770" w:rsidRDefault="00D22770" w:rsidP="00D22770">
      <w:pPr>
        <w:spacing w:after="0"/>
        <w:ind w:right="-142"/>
        <w:jc w:val="center"/>
        <w:rPr>
          <w:rFonts w:asciiTheme="majorHAnsi" w:eastAsia="Calibri" w:hAnsiTheme="majorHAnsi" w:cstheme="majorHAnsi"/>
          <w:szCs w:val="24"/>
        </w:rPr>
      </w:pPr>
      <w:r w:rsidRPr="00F11E2E">
        <w:rPr>
          <w:rFonts w:asciiTheme="majorHAnsi" w:eastAsia="Calibri" w:hAnsiTheme="majorHAnsi" w:cstheme="majorHAnsi"/>
          <w:szCs w:val="24"/>
        </w:rPr>
        <w:t>Presidente</w:t>
      </w:r>
    </w:p>
    <w:p w14:paraId="21EB87B5" w14:textId="77777777" w:rsidR="0028747D" w:rsidRDefault="0028747D" w:rsidP="00D22770">
      <w:pPr>
        <w:spacing w:after="0"/>
        <w:ind w:right="-142"/>
        <w:jc w:val="center"/>
        <w:rPr>
          <w:rFonts w:asciiTheme="majorHAnsi" w:eastAsia="Calibri" w:hAnsiTheme="majorHAnsi" w:cstheme="majorHAnsi"/>
          <w:szCs w:val="24"/>
        </w:rPr>
      </w:pPr>
    </w:p>
    <w:p w14:paraId="448D83A4" w14:textId="0ACB268D" w:rsidR="0028747D" w:rsidRPr="0028747D" w:rsidRDefault="0028747D" w:rsidP="0028747D">
      <w:pPr>
        <w:spacing w:after="0"/>
        <w:ind w:right="-142"/>
        <w:rPr>
          <w:rFonts w:asciiTheme="majorHAnsi" w:eastAsia="Calibri" w:hAnsiTheme="majorHAnsi" w:cstheme="majorHAnsi"/>
          <w:szCs w:val="24"/>
        </w:rPr>
      </w:pPr>
      <w:r w:rsidRPr="0028747D">
        <w:rPr>
          <w:rFonts w:asciiTheme="majorHAnsi" w:eastAsia="Calibri" w:hAnsiTheme="majorHAnsi" w:cstheme="majorHAnsi"/>
          <w:szCs w:val="24"/>
        </w:rPr>
        <w:t>Ata CFC nº 1.1</w:t>
      </w:r>
      <w:r>
        <w:rPr>
          <w:rFonts w:asciiTheme="majorHAnsi" w:eastAsia="Calibri" w:hAnsiTheme="majorHAnsi" w:cstheme="majorHAnsi"/>
          <w:szCs w:val="24"/>
        </w:rPr>
        <w:t>XX</w:t>
      </w:r>
    </w:p>
    <w:p w14:paraId="1FD34AF8" w14:textId="77777777" w:rsidR="0028747D" w:rsidRPr="00F11E2E" w:rsidRDefault="0028747D" w:rsidP="00D22770">
      <w:pPr>
        <w:spacing w:after="0"/>
        <w:ind w:right="-142"/>
        <w:jc w:val="center"/>
        <w:rPr>
          <w:rFonts w:asciiTheme="majorHAnsi" w:eastAsia="Calibri" w:hAnsiTheme="majorHAnsi" w:cstheme="majorHAnsi"/>
          <w:szCs w:val="24"/>
        </w:rPr>
      </w:pPr>
    </w:p>
    <w:p w14:paraId="293B907C" w14:textId="6658DD28" w:rsidR="00D81CAD" w:rsidRPr="0028747D" w:rsidRDefault="00D81CAD" w:rsidP="00C97A3F">
      <w:pPr>
        <w:pStyle w:val="IASBSectionTitle1NonInd"/>
        <w:pBdr>
          <w:bottom w:val="none" w:sz="0" w:space="0" w:color="auto"/>
        </w:pBdr>
        <w:spacing w:before="100" w:after="240"/>
        <w:jc w:val="both"/>
        <w:rPr>
          <w:rFonts w:ascii="Calibri" w:hAnsi="Calibri" w:cs="Calibri"/>
          <w:sz w:val="24"/>
          <w:szCs w:val="24"/>
        </w:rPr>
      </w:pPr>
      <w:r w:rsidRPr="0028747D">
        <w:rPr>
          <w:rFonts w:ascii="Calibri" w:hAnsi="Calibri" w:cs="Calibri"/>
          <w:sz w:val="24"/>
          <w:szCs w:val="24"/>
        </w:rPr>
        <w:lastRenderedPageBreak/>
        <w:t>APÊNDICE A —</w:t>
      </w:r>
      <w:r w:rsidR="00FF44FF" w:rsidRPr="0028747D">
        <w:rPr>
          <w:rFonts w:ascii="Calibri" w:hAnsi="Calibri" w:cs="Calibri"/>
          <w:sz w:val="24"/>
          <w:szCs w:val="24"/>
        </w:rPr>
        <w:t>GUIA</w:t>
      </w:r>
      <w:r w:rsidR="00061DB2" w:rsidRPr="0028747D">
        <w:rPr>
          <w:rFonts w:ascii="Calibri" w:hAnsi="Calibri" w:cs="Calibri"/>
          <w:sz w:val="24"/>
          <w:szCs w:val="24"/>
        </w:rPr>
        <w:t xml:space="preserve"> </w:t>
      </w:r>
      <w:r w:rsidRPr="0028747D">
        <w:rPr>
          <w:rFonts w:ascii="Calibri" w:hAnsi="Calibri" w:cs="Calibri"/>
          <w:sz w:val="24"/>
          <w:szCs w:val="24"/>
        </w:rPr>
        <w:t>DE APLICAÇÃO</w:t>
      </w:r>
    </w:p>
    <w:p w14:paraId="6D22BF2F" w14:textId="77777777" w:rsidR="00D81CAD" w:rsidRPr="0028747D" w:rsidRDefault="00D81CAD" w:rsidP="00C97A3F">
      <w:pPr>
        <w:pStyle w:val="IASBSectionTitle1NonInd"/>
        <w:pBdr>
          <w:bottom w:val="none" w:sz="0" w:space="0" w:color="auto"/>
        </w:pBdr>
        <w:spacing w:before="100" w:after="240"/>
        <w:jc w:val="both"/>
        <w:rPr>
          <w:rFonts w:ascii="Calibri" w:hAnsi="Calibri" w:cs="Calibri"/>
          <w:sz w:val="24"/>
          <w:szCs w:val="24"/>
        </w:rPr>
      </w:pPr>
      <w:r w:rsidRPr="0028747D">
        <w:rPr>
          <w:rFonts w:ascii="Calibri" w:hAnsi="Calibri" w:cs="Calibri"/>
          <w:sz w:val="24"/>
          <w:szCs w:val="24"/>
        </w:rPr>
        <w:t>Apêndice A</w:t>
      </w:r>
    </w:p>
    <w:p w14:paraId="4080ABD1"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Este Apêndice é parte integrante da NBC TSP 39.</w:t>
      </w:r>
    </w:p>
    <w:p w14:paraId="234C4E97" w14:textId="2864D4B8"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A1. Este </w:t>
      </w:r>
      <w:r w:rsidR="00281830" w:rsidRPr="00281830">
        <w:rPr>
          <w:rFonts w:ascii="Calibri" w:hAnsi="Calibri" w:cs="Calibri"/>
          <w:b w:val="0"/>
          <w:bCs/>
          <w:sz w:val="24"/>
          <w:szCs w:val="24"/>
        </w:rPr>
        <w:t>Apêndice</w:t>
      </w:r>
      <w:r w:rsidRPr="00D81CAD">
        <w:rPr>
          <w:rFonts w:ascii="Calibri" w:hAnsi="Calibri" w:cs="Calibri"/>
          <w:b w:val="0"/>
          <w:bCs/>
          <w:sz w:val="24"/>
          <w:szCs w:val="24"/>
        </w:rPr>
        <w:t xml:space="preserve"> está organizado nas seguintes categorias:</w:t>
      </w:r>
    </w:p>
    <w:p w14:paraId="416FAC48" w14:textId="725B25D3" w:rsidR="00D81CAD" w:rsidRPr="00D81CAD" w:rsidRDefault="00D81CAD" w:rsidP="00C90136">
      <w:pPr>
        <w:pStyle w:val="IASBSectionTitle1NonInd"/>
        <w:numPr>
          <w:ilvl w:val="1"/>
          <w:numId w:val="7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alcance (itens A2–A9);</w:t>
      </w:r>
    </w:p>
    <w:p w14:paraId="74310D2F" w14:textId="2DC6F5A2" w:rsidR="00D81CAD" w:rsidRPr="00D81CAD" w:rsidRDefault="00D81CAD" w:rsidP="00C90136">
      <w:pPr>
        <w:pStyle w:val="IASBSectionTitle1NonInd"/>
        <w:numPr>
          <w:ilvl w:val="1"/>
          <w:numId w:val="7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definições (itens A10–A12);</w:t>
      </w:r>
    </w:p>
    <w:p w14:paraId="18D3CBC6" w14:textId="44CA0392" w:rsidR="00D81CAD" w:rsidRPr="00D81CAD" w:rsidRDefault="00D81CAD" w:rsidP="00C90136">
      <w:pPr>
        <w:pStyle w:val="IASBSectionTitle1NonInd"/>
        <w:numPr>
          <w:ilvl w:val="1"/>
          <w:numId w:val="7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identificação da transação de receita (itens A13–A31);</w:t>
      </w:r>
    </w:p>
    <w:p w14:paraId="103D1C9C" w14:textId="4138CFCF" w:rsidR="00D81CAD" w:rsidRPr="00D81CAD" w:rsidRDefault="00D81CAD" w:rsidP="00C90136">
      <w:pPr>
        <w:pStyle w:val="IASBSectionTitle1NonInd"/>
        <w:numPr>
          <w:ilvl w:val="0"/>
          <w:numId w:val="7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exequibilidade (itens A14–A25);</w:t>
      </w:r>
    </w:p>
    <w:p w14:paraId="137F508F" w14:textId="579605E2" w:rsidR="00D81CAD" w:rsidRPr="00D81CAD" w:rsidRDefault="00D81CAD" w:rsidP="00C90136">
      <w:pPr>
        <w:pStyle w:val="IASBSectionTitle1NonInd"/>
        <w:numPr>
          <w:ilvl w:val="0"/>
          <w:numId w:val="7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partes de um acordo (itens A26–A31);</w:t>
      </w:r>
    </w:p>
    <w:p w14:paraId="16424728" w14:textId="207C88F4" w:rsidR="00D81CAD" w:rsidRPr="00D81CAD" w:rsidRDefault="00D81CAD" w:rsidP="00C90136">
      <w:pPr>
        <w:pStyle w:val="IASBSectionTitle1NonInd"/>
        <w:numPr>
          <w:ilvl w:val="1"/>
          <w:numId w:val="7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receita proveniente de transações com acordos vinculantes (itens A32–A138);</w:t>
      </w:r>
    </w:p>
    <w:p w14:paraId="07B08EC5" w14:textId="52595E15"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critérios para o modelo contábil de acordos vinculantes (itens A32–A39);</w:t>
      </w:r>
    </w:p>
    <w:p w14:paraId="1B61C8C0" w14:textId="5756D3F4"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descumprimento dos termos e condições do acordo vinculante (itens A40–A42);</w:t>
      </w:r>
    </w:p>
    <w:p w14:paraId="115F3589" w14:textId="390E2962"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identificação das obrigações de cumprimento no acordo vinculante (itens A43–A56);</w:t>
      </w:r>
    </w:p>
    <w:p w14:paraId="0C957CB3" w14:textId="6F566419"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reconhecimento inicial da receita (itens A57–A58);</w:t>
      </w:r>
    </w:p>
    <w:p w14:paraId="5DDD8DC8" w14:textId="604B0891"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existência e reconhecimento de passivo (itens A59–A62);</w:t>
      </w:r>
    </w:p>
    <w:p w14:paraId="179518AF" w14:textId="39949BB0"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satisfação das obrigações de cumprimento (itens A63–A81);</w:t>
      </w:r>
    </w:p>
    <w:p w14:paraId="4DE0C20C" w14:textId="15256FD4"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aceitação, pelo provedor de recursos, da transferência de bens ou serviços realizada pela entidade (itens A82–A85);</w:t>
      </w:r>
    </w:p>
    <w:p w14:paraId="42812358" w14:textId="583FD707"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métodos de mensuração do progresso rumo à satisfação integral da obrigação de cumprimento (itens A86–A95);</w:t>
      </w:r>
    </w:p>
    <w:p w14:paraId="6F35D0C4" w14:textId="24291E88"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 de devolução na transferência de bens ou serviços a outra parte (itens A96–A103);</w:t>
      </w:r>
    </w:p>
    <w:p w14:paraId="7E96DB52" w14:textId="58850BF7"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contraprestação a pagar ao provedor de recursos na transferência de bens ou serviços a outra parte (itens A104–A106);</w:t>
      </w:r>
    </w:p>
    <w:p w14:paraId="7C68DD2F" w14:textId="0328E44B"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alocação de desconto na transferência de bens ou serviços a outra parte (itens A107–A109);</w:t>
      </w:r>
    </w:p>
    <w:p w14:paraId="5DFA52C7" w14:textId="52CAB164"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determinação do valor individual (item A110); (</w:t>
      </w:r>
      <w:proofErr w:type="spellStart"/>
      <w:r w:rsidRPr="00D81CAD">
        <w:rPr>
          <w:rFonts w:ascii="Calibri" w:hAnsi="Calibri" w:cs="Calibri"/>
          <w:b w:val="0"/>
          <w:bCs/>
          <w:sz w:val="24"/>
          <w:szCs w:val="24"/>
        </w:rPr>
        <w:t>xiii</w:t>
      </w:r>
      <w:proofErr w:type="spellEnd"/>
      <w:r w:rsidRPr="00D81CAD">
        <w:rPr>
          <w:rFonts w:ascii="Calibri" w:hAnsi="Calibri" w:cs="Calibri"/>
          <w:b w:val="0"/>
          <w:bCs/>
          <w:sz w:val="24"/>
          <w:szCs w:val="24"/>
        </w:rPr>
        <w:t>) garantias sobre bens ou serviços transferidos a outra parte (itens A111–A116);</w:t>
      </w:r>
    </w:p>
    <w:p w14:paraId="67467C20" w14:textId="4504203F"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considerações sobre a relação entre principal e agente (itens A117–A125);</w:t>
      </w:r>
    </w:p>
    <w:p w14:paraId="1614BDAE" w14:textId="4A55F657"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opções do provedor de recursos por bens ou serviços adicionais (itens A126–A130);</w:t>
      </w:r>
    </w:p>
    <w:p w14:paraId="34BD7ED3" w14:textId="5ED83F32"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direitos não exercidos pelos provedores de recursos (itens A131–A134);</w:t>
      </w:r>
    </w:p>
    <w:p w14:paraId="64B72A7C" w14:textId="28FD47F8" w:rsidR="00D81CAD" w:rsidRPr="00D81CAD" w:rsidRDefault="00D81CAD" w:rsidP="00C90136">
      <w:pPr>
        <w:pStyle w:val="IASBSectionTitle1NonInd"/>
        <w:numPr>
          <w:ilvl w:val="0"/>
          <w:numId w:val="7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tarifas iniciais não reembolsáveis (e alguns custos relacionados) na transferência de bens ou serviços a outra parte (itens A135–A138);</w:t>
      </w:r>
    </w:p>
    <w:p w14:paraId="61E5BBF9" w14:textId="24C6D02B" w:rsidR="00D81CAD" w:rsidRPr="00D81CAD" w:rsidRDefault="00D81CAD" w:rsidP="00C90136">
      <w:pPr>
        <w:pStyle w:val="IASBSectionTitle1NonInd"/>
        <w:numPr>
          <w:ilvl w:val="1"/>
          <w:numId w:val="7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aplicação dos princípios a transações específicas (itens A139–A202);</w:t>
      </w:r>
    </w:p>
    <w:p w14:paraId="456932FF" w14:textId="210EB6FF"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transferências de capital (itens A140–A142);</w:t>
      </w:r>
    </w:p>
    <w:p w14:paraId="6FD63DEB" w14:textId="572E9B8F"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serviços em espécie (itens A143–A149);</w:t>
      </w:r>
    </w:p>
    <w:p w14:paraId="0912660C" w14:textId="321290F2"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compromissos de doação (item A150);</w:t>
      </w:r>
    </w:p>
    <w:p w14:paraId="21E18FA3" w14:textId="0D4F5F25"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recebimentos antecipados de transferências (item A151);</w:t>
      </w:r>
    </w:p>
    <w:p w14:paraId="6550194F" w14:textId="3901D001"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empréstimos subsidiados (itens A152–A153);</w:t>
      </w:r>
    </w:p>
    <w:p w14:paraId="4CE7D546" w14:textId="77777777"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w:t>
      </w:r>
      <w:proofErr w:type="spellStart"/>
      <w:r w:rsidRPr="00D81CAD">
        <w:rPr>
          <w:rFonts w:ascii="Calibri" w:hAnsi="Calibri" w:cs="Calibri"/>
          <w:b w:val="0"/>
          <w:bCs/>
          <w:sz w:val="24"/>
          <w:szCs w:val="24"/>
        </w:rPr>
        <w:t>va</w:t>
      </w:r>
      <w:proofErr w:type="spellEnd"/>
      <w:r w:rsidRPr="00D81CAD">
        <w:rPr>
          <w:rFonts w:ascii="Calibri" w:hAnsi="Calibri" w:cs="Calibri"/>
          <w:b w:val="0"/>
          <w:bCs/>
          <w:sz w:val="24"/>
          <w:szCs w:val="24"/>
        </w:rPr>
        <w:t>) arrendamentos subsidiados para arrendatários (itens A153A–A153B);</w:t>
      </w:r>
    </w:p>
    <w:p w14:paraId="74EDB5A5" w14:textId="15958DBC"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mensuração dos ativos transferidos (item A154);</w:t>
      </w:r>
    </w:p>
    <w:p w14:paraId="5E5E6543" w14:textId="256B10D5"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perdão de dívida e assunção de passivos (itens A155–A158);</w:t>
      </w:r>
    </w:p>
    <w:p w14:paraId="665FB1F3" w14:textId="17718350"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multas (itens A159–A160);</w:t>
      </w:r>
    </w:p>
    <w:p w14:paraId="003AA5BA" w14:textId="78C755EC"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heranças (itens A161–A163);</w:t>
      </w:r>
    </w:p>
    <w:p w14:paraId="64F47A01" w14:textId="123831FA"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presentes e doações, incluindo bens em espécie (itens A164–A167);</w:t>
      </w:r>
    </w:p>
    <w:p w14:paraId="11F9635E" w14:textId="10E20563"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licenciamento (itens A168–A182);</w:t>
      </w:r>
    </w:p>
    <w:p w14:paraId="2765B756" w14:textId="49F557F8"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acordos de recompra (itens A183–A196); (</w:t>
      </w:r>
      <w:proofErr w:type="spellStart"/>
      <w:r w:rsidRPr="00D81CAD">
        <w:rPr>
          <w:rFonts w:ascii="Calibri" w:hAnsi="Calibri" w:cs="Calibri"/>
          <w:b w:val="0"/>
          <w:bCs/>
          <w:sz w:val="24"/>
          <w:szCs w:val="24"/>
        </w:rPr>
        <w:t>xiii</w:t>
      </w:r>
      <w:proofErr w:type="spellEnd"/>
      <w:r w:rsidRPr="00D81CAD">
        <w:rPr>
          <w:rFonts w:ascii="Calibri" w:hAnsi="Calibri" w:cs="Calibri"/>
          <w:b w:val="0"/>
          <w:bCs/>
          <w:sz w:val="24"/>
          <w:szCs w:val="24"/>
        </w:rPr>
        <w:t>) acordos de consignação (itens A197–A198);</w:t>
      </w:r>
    </w:p>
    <w:p w14:paraId="04371BD6" w14:textId="643C96FD"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acordos de faturamento e retenção (itens A199–A202);</w:t>
      </w:r>
    </w:p>
    <w:p w14:paraId="5133A00E" w14:textId="03795635" w:rsidR="00D81CAD" w:rsidRPr="00D81CAD" w:rsidRDefault="00D81CAD" w:rsidP="00C90136">
      <w:pPr>
        <w:pStyle w:val="IASBSectionTitle1NonInd"/>
        <w:numPr>
          <w:ilvl w:val="0"/>
          <w:numId w:val="7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ativos de direito de uso em espécie (itens A202A–A202J); e</w:t>
      </w:r>
    </w:p>
    <w:p w14:paraId="44902595" w14:textId="5BCC6D0F" w:rsidR="00D81CAD" w:rsidRPr="00D81CAD" w:rsidRDefault="00D81CAD" w:rsidP="00C90136">
      <w:pPr>
        <w:pStyle w:val="IASBSectionTitle1NonInd"/>
        <w:numPr>
          <w:ilvl w:val="1"/>
          <w:numId w:val="7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divulgação (itens A203–A207);</w:t>
      </w:r>
    </w:p>
    <w:p w14:paraId="68FE9F91" w14:textId="274D0321" w:rsidR="00D81CAD" w:rsidRPr="00D81CAD" w:rsidRDefault="00D81CAD" w:rsidP="00C90136">
      <w:pPr>
        <w:pStyle w:val="IASBSectionTitle1NonInd"/>
        <w:numPr>
          <w:ilvl w:val="0"/>
          <w:numId w:val="7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divulgação da receita desagregada (itens A205–A207).</w:t>
      </w:r>
    </w:p>
    <w:p w14:paraId="0B3C60BC"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Alcance (item 3)</w:t>
      </w:r>
    </w:p>
    <w:p w14:paraId="2657C4B8" w14:textId="66D61D48" w:rsidR="00D81CAD" w:rsidRPr="00D81CAD" w:rsidRDefault="00D81CAD" w:rsidP="006A2D38">
      <w:pPr>
        <w:pStyle w:val="IASBSectionTitle1NonInd"/>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A2. O alcance desta norma concentra-se no estabelecimento de princípios e requisitos para a contabilização das transações de receita. A receita pode decorrer de transações sem acordos vinculantes ou com acordos vinculantes. As definições do item 4 estabelecem os elementos essenciais para a aplicação do alcance da norma.</w:t>
      </w:r>
    </w:p>
    <w:p w14:paraId="10229812" w14:textId="3F2E3397" w:rsidR="00D81CAD" w:rsidRPr="00D81CAD" w:rsidRDefault="00D81CAD" w:rsidP="006A2D38">
      <w:pPr>
        <w:pStyle w:val="IASBSectionTitle1NonInd"/>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A3. Embora a tributação seja a principal fonte de receita de muitos governos, outras entidades do setor público dependem de transferências (por vezes denominadas subvenções) e de outras fontes de financiamento. Exemplos dessas receitas incluem, entre outros:</w:t>
      </w:r>
    </w:p>
    <w:p w14:paraId="1A309A1F" w14:textId="5795B428" w:rsidR="00D81CAD" w:rsidRPr="00D81CAD" w:rsidRDefault="00D81CAD" w:rsidP="00C90136">
      <w:pPr>
        <w:pStyle w:val="IASBSectionTitle1NonInd"/>
        <w:numPr>
          <w:ilvl w:val="1"/>
          <w:numId w:val="7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tributos;</w:t>
      </w:r>
    </w:p>
    <w:p w14:paraId="559557D9" w14:textId="252D56BF" w:rsidR="00D81CAD" w:rsidRPr="00D81CAD" w:rsidRDefault="00D81CAD" w:rsidP="00C90136">
      <w:pPr>
        <w:pStyle w:val="IASBSectionTitle1NonInd"/>
        <w:numPr>
          <w:ilvl w:val="1"/>
          <w:numId w:val="7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transferências (monetárias ou não monetárias), incluindo perdão de dívida, multas, heranças, presentes, doações, bens em espécie, serviços em espécie e a parcela fora de mercado dos empréstimos subsidiados recebidos; e</w:t>
      </w:r>
    </w:p>
    <w:p w14:paraId="5D580FB3" w14:textId="5765ACA9" w:rsidR="00D81CAD" w:rsidRPr="00D81CAD" w:rsidRDefault="00D81CAD" w:rsidP="00C90136">
      <w:pPr>
        <w:pStyle w:val="IASBSectionTitle1NonInd"/>
        <w:numPr>
          <w:ilvl w:val="1"/>
          <w:numId w:val="7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transferências de capital.</w:t>
      </w:r>
    </w:p>
    <w:p w14:paraId="165F2723" w14:textId="09617F23" w:rsidR="00D81CAD" w:rsidRPr="00D81CAD" w:rsidRDefault="00D81CAD" w:rsidP="006A2D38">
      <w:pPr>
        <w:pStyle w:val="IASBSectionTitle1NonInd"/>
        <w:pBdr>
          <w:bottom w:val="none" w:sz="0" w:space="0" w:color="auto"/>
        </w:pBdr>
        <w:spacing w:before="100" w:after="240"/>
        <w:ind w:left="360" w:hanging="360"/>
        <w:jc w:val="both"/>
        <w:rPr>
          <w:rFonts w:ascii="Calibri" w:hAnsi="Calibri" w:cs="Calibri"/>
          <w:b w:val="0"/>
          <w:bCs/>
          <w:sz w:val="24"/>
          <w:szCs w:val="24"/>
        </w:rPr>
      </w:pPr>
      <w:r w:rsidRPr="00D81CAD">
        <w:rPr>
          <w:rFonts w:ascii="Calibri" w:hAnsi="Calibri" w:cs="Calibri"/>
          <w:b w:val="0"/>
          <w:bCs/>
          <w:sz w:val="24"/>
          <w:szCs w:val="24"/>
        </w:rPr>
        <w:t xml:space="preserve">A4. Esta norma especifica a </w:t>
      </w:r>
      <w:r w:rsidRPr="00DA1E98">
        <w:rPr>
          <w:rFonts w:ascii="Calibri" w:hAnsi="Calibri" w:cs="Calibri"/>
          <w:b w:val="0"/>
          <w:bCs/>
          <w:sz w:val="24"/>
          <w:szCs w:val="24"/>
        </w:rPr>
        <w:t>contabilização dos custos incrementais para a obtenção de um acordo vinculante e dos custos incorridos para cumprir um</w:t>
      </w:r>
      <w:r w:rsidRPr="00D81CAD">
        <w:rPr>
          <w:rFonts w:ascii="Calibri" w:hAnsi="Calibri" w:cs="Calibri"/>
          <w:b w:val="0"/>
          <w:bCs/>
          <w:sz w:val="24"/>
          <w:szCs w:val="24"/>
        </w:rPr>
        <w:t xml:space="preserve"> acordo vinculante, quando esses custos não estiverem no alcance de outra norma (ver itens 148–161). A entidade deve aplicar esses itens somente aos custos incorridos que se relacionem a um acordo vinculante (ou a parte dele) que esteja no alcance desta norma.</w:t>
      </w:r>
    </w:p>
    <w:p w14:paraId="5B6D2CC6"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Exclusões do Alcance</w:t>
      </w:r>
    </w:p>
    <w:p w14:paraId="065B9794" w14:textId="36306F51" w:rsidR="00D81CAD" w:rsidRPr="00D81CAD" w:rsidRDefault="00D81CAD" w:rsidP="006A2D38">
      <w:pPr>
        <w:pStyle w:val="IASBSectionTitle1NonInd"/>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A5. Os ganhos provenientes da venda de ativos não financeiros no alcance da NBC TSP 06 – Propriedade para Investimento, da NBC TSP 08 – Ativo Intangível ou da NBC TSP 37 – Ativo Imobilizado, que não constituam produto das atividades da entidade, não são considerados receita. Contudo, os princípios de reconhecimento e mensuração desta norma podem ser aplicados na contabilização da alienação desses ativos.</w:t>
      </w:r>
    </w:p>
    <w:p w14:paraId="02D2AE9C" w14:textId="6D994704" w:rsidR="00D81CAD" w:rsidRPr="00D81CAD" w:rsidRDefault="00D81CAD" w:rsidP="006A2D38">
      <w:pPr>
        <w:pStyle w:val="IASBSectionTitle1NonInd"/>
        <w:pBdr>
          <w:bottom w:val="none" w:sz="0" w:space="0" w:color="auto"/>
        </w:pBdr>
        <w:spacing w:before="100" w:after="240"/>
        <w:ind w:left="426" w:hanging="426"/>
        <w:jc w:val="both"/>
        <w:rPr>
          <w:rFonts w:ascii="Calibri" w:hAnsi="Calibri" w:cs="Calibri"/>
          <w:b w:val="0"/>
          <w:bCs/>
          <w:sz w:val="24"/>
          <w:szCs w:val="24"/>
        </w:rPr>
      </w:pPr>
      <w:r w:rsidRPr="00D81CAD">
        <w:rPr>
          <w:rFonts w:ascii="Calibri" w:hAnsi="Calibri" w:cs="Calibri"/>
          <w:b w:val="0"/>
          <w:bCs/>
          <w:sz w:val="24"/>
          <w:szCs w:val="24"/>
        </w:rPr>
        <w:t xml:space="preserve">A6. </w:t>
      </w:r>
      <w:r w:rsidR="006A2D38">
        <w:rPr>
          <w:rFonts w:ascii="Calibri" w:hAnsi="Calibri" w:cs="Calibri"/>
          <w:b w:val="0"/>
          <w:bCs/>
          <w:sz w:val="24"/>
          <w:szCs w:val="24"/>
        </w:rPr>
        <w:tab/>
      </w:r>
      <w:r w:rsidRPr="00D81CAD">
        <w:rPr>
          <w:rFonts w:ascii="Calibri" w:hAnsi="Calibri" w:cs="Calibri"/>
          <w:b w:val="0"/>
          <w:bCs/>
          <w:sz w:val="24"/>
          <w:szCs w:val="24"/>
        </w:rPr>
        <w:t>Esta norma não se aplica às combinações no setor público. Os governos podem reorganizar o setor público, fundindo algumas entidades e dividindo outras em duas ou mais entidades distintas. Uma combinação no setor público ocorre quando duas ou mais operações são reunidas para formar uma única entidade que reporta a informação. Essas reestruturações normalmente não envolvem a compra de uma operação ou entidade por outra, mas podem resultar na aquisição, por entidade nova ou já existente, de todos os ativos e passivos de outra operação ou entidade. As combinações no setor público são contabilizadas de acordo com a NBC TSP 21 – Combinações no Setor Público.</w:t>
      </w:r>
    </w:p>
    <w:p w14:paraId="67813FBB" w14:textId="23F20E62" w:rsidR="00D81CAD" w:rsidRPr="00D81CAD" w:rsidRDefault="00D81CAD" w:rsidP="006A2D38">
      <w:pPr>
        <w:pStyle w:val="IASBSectionTitle1NonInd"/>
        <w:pBdr>
          <w:bottom w:val="none" w:sz="0" w:space="0" w:color="auto"/>
        </w:pBdr>
        <w:spacing w:before="100" w:after="240"/>
        <w:ind w:left="360" w:hanging="360"/>
        <w:jc w:val="both"/>
        <w:rPr>
          <w:rFonts w:ascii="Calibri" w:hAnsi="Calibri" w:cs="Calibri"/>
          <w:b w:val="0"/>
          <w:bCs/>
          <w:sz w:val="24"/>
          <w:szCs w:val="24"/>
        </w:rPr>
      </w:pPr>
      <w:r w:rsidRPr="00D81CAD">
        <w:rPr>
          <w:rFonts w:ascii="Calibri" w:hAnsi="Calibri" w:cs="Calibri"/>
          <w:b w:val="0"/>
          <w:bCs/>
          <w:sz w:val="24"/>
          <w:szCs w:val="24"/>
        </w:rPr>
        <w:lastRenderedPageBreak/>
        <w:t>A7. As transferências de recursos que satisfaçam a definição de contribuições dos proprietários não dão origem a receita. As contribuições dos proprietários são definidas na NBC TSP 11 – Apresentação das Demonstrações Contábeis. Para que uma transação se qualifique como contribuição dos proprietários, é necessário satisfazer as características identificadas naquela definição e considerar a essência, e não a forma, da transação. A contribuição dos proprietários pode ser evidenciada, por exemplo, por:</w:t>
      </w:r>
    </w:p>
    <w:p w14:paraId="6476D774" w14:textId="51B7AB7E" w:rsidR="00D81CAD" w:rsidRPr="00D81CAD" w:rsidRDefault="00D81CAD" w:rsidP="00C90136">
      <w:pPr>
        <w:pStyle w:val="IASBSectionTitle1NonInd"/>
        <w:numPr>
          <w:ilvl w:val="1"/>
          <w:numId w:val="7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designação formal da transferência (ou de uma classe de transferências) pelo contribuidor, ou por entidade que o controle, como parte integrante </w:t>
      </w:r>
      <w:proofErr w:type="gramStart"/>
      <w:r w:rsidRPr="00D81CAD">
        <w:rPr>
          <w:rFonts w:ascii="Calibri" w:hAnsi="Calibri" w:cs="Calibri"/>
          <w:b w:val="0"/>
          <w:bCs/>
          <w:sz w:val="24"/>
          <w:szCs w:val="24"/>
        </w:rPr>
        <w:t>dos ativos líquidos/patrimônio líquido</w:t>
      </w:r>
      <w:proofErr w:type="gramEnd"/>
      <w:r w:rsidRPr="00D81CAD">
        <w:rPr>
          <w:rFonts w:ascii="Calibri" w:hAnsi="Calibri" w:cs="Calibri"/>
          <w:b w:val="0"/>
          <w:bCs/>
          <w:sz w:val="24"/>
          <w:szCs w:val="24"/>
        </w:rPr>
        <w:t xml:space="preserve"> do </w:t>
      </w:r>
      <w:r w:rsidR="0013568F">
        <w:rPr>
          <w:rFonts w:ascii="Calibri" w:hAnsi="Calibri" w:cs="Calibri"/>
          <w:b w:val="0"/>
          <w:bCs/>
          <w:sz w:val="24"/>
          <w:szCs w:val="24"/>
        </w:rPr>
        <w:t>destinatário</w:t>
      </w:r>
      <w:r w:rsidRPr="00D81CAD">
        <w:rPr>
          <w:rFonts w:ascii="Calibri" w:hAnsi="Calibri" w:cs="Calibri"/>
          <w:b w:val="0"/>
          <w:bCs/>
          <w:sz w:val="24"/>
          <w:szCs w:val="24"/>
        </w:rPr>
        <w:t xml:space="preserve">, antes da contribuição ocorrer ou </w:t>
      </w:r>
      <w:proofErr w:type="gramStart"/>
      <w:r w:rsidRPr="00D81CAD">
        <w:rPr>
          <w:rFonts w:ascii="Calibri" w:hAnsi="Calibri" w:cs="Calibri"/>
          <w:b w:val="0"/>
          <w:bCs/>
          <w:sz w:val="24"/>
          <w:szCs w:val="24"/>
        </w:rPr>
        <w:t>no momento em que</w:t>
      </w:r>
      <w:proofErr w:type="gramEnd"/>
      <w:r w:rsidRPr="00D81CAD">
        <w:rPr>
          <w:rFonts w:ascii="Calibri" w:hAnsi="Calibri" w:cs="Calibri"/>
          <w:b w:val="0"/>
          <w:bCs/>
          <w:sz w:val="24"/>
          <w:szCs w:val="24"/>
        </w:rPr>
        <w:t xml:space="preserve"> ela ocorre;</w:t>
      </w:r>
    </w:p>
    <w:p w14:paraId="3E346AE9" w14:textId="0E3AD1B3" w:rsidR="00D81CAD" w:rsidRPr="00D81CAD" w:rsidRDefault="00D81CAD" w:rsidP="00C90136">
      <w:pPr>
        <w:pStyle w:val="IASBSectionTitle1NonInd"/>
        <w:numPr>
          <w:ilvl w:val="1"/>
          <w:numId w:val="7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acordo formal, relativo à contribuição, que estabeleça ou aumente participação financeira existente </w:t>
      </w:r>
      <w:proofErr w:type="gramStart"/>
      <w:r w:rsidRPr="00D81CAD">
        <w:rPr>
          <w:rFonts w:ascii="Calibri" w:hAnsi="Calibri" w:cs="Calibri"/>
          <w:b w:val="0"/>
          <w:bCs/>
          <w:sz w:val="24"/>
          <w:szCs w:val="24"/>
        </w:rPr>
        <w:t>nos ativos líquidos/patrimônio líquido</w:t>
      </w:r>
      <w:proofErr w:type="gramEnd"/>
      <w:r w:rsidRPr="00D81CAD">
        <w:rPr>
          <w:rFonts w:ascii="Calibri" w:hAnsi="Calibri" w:cs="Calibri"/>
          <w:b w:val="0"/>
          <w:bCs/>
          <w:sz w:val="24"/>
          <w:szCs w:val="24"/>
        </w:rPr>
        <w:t xml:space="preserve"> do </w:t>
      </w:r>
      <w:r w:rsidR="0013568F">
        <w:rPr>
          <w:rFonts w:ascii="Calibri" w:hAnsi="Calibri" w:cs="Calibri"/>
          <w:b w:val="0"/>
          <w:bCs/>
          <w:sz w:val="24"/>
          <w:szCs w:val="24"/>
        </w:rPr>
        <w:t>destinatário</w:t>
      </w:r>
      <w:r w:rsidRPr="00D81CAD">
        <w:rPr>
          <w:rFonts w:ascii="Calibri" w:hAnsi="Calibri" w:cs="Calibri"/>
          <w:b w:val="0"/>
          <w:bCs/>
          <w:sz w:val="24"/>
          <w:szCs w:val="24"/>
        </w:rPr>
        <w:t>, passível de venda, transferência ou resgate; ou</w:t>
      </w:r>
    </w:p>
    <w:p w14:paraId="7BF64A74" w14:textId="5183E2F9" w:rsidR="00D81CAD" w:rsidRPr="00D81CAD" w:rsidRDefault="00D81CAD" w:rsidP="00C90136">
      <w:pPr>
        <w:pStyle w:val="IASBSectionTitle1NonInd"/>
        <w:numPr>
          <w:ilvl w:val="1"/>
          <w:numId w:val="7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emissão, relativa à contribuição, de instrumentos patrimoniais passíveis de venda, transferência ou resgate.</w:t>
      </w:r>
    </w:p>
    <w:p w14:paraId="32932DDE" w14:textId="1F08627C" w:rsidR="00D81CAD" w:rsidRPr="00D81CAD" w:rsidRDefault="00D81CAD" w:rsidP="006A2D38">
      <w:pPr>
        <w:pStyle w:val="IASBSectionTitle1NonInd"/>
        <w:pBdr>
          <w:bottom w:val="none" w:sz="0" w:space="0" w:color="auto"/>
        </w:pBdr>
        <w:spacing w:before="100" w:after="240"/>
        <w:ind w:left="360" w:hanging="360"/>
        <w:jc w:val="both"/>
        <w:rPr>
          <w:rFonts w:ascii="Calibri" w:hAnsi="Calibri" w:cs="Calibri"/>
          <w:b w:val="0"/>
          <w:bCs/>
          <w:sz w:val="24"/>
          <w:szCs w:val="24"/>
        </w:rPr>
      </w:pPr>
      <w:r w:rsidRPr="00D81CAD">
        <w:rPr>
          <w:rFonts w:ascii="Calibri" w:hAnsi="Calibri" w:cs="Calibri"/>
          <w:b w:val="0"/>
          <w:bCs/>
          <w:sz w:val="24"/>
          <w:szCs w:val="24"/>
        </w:rPr>
        <w:t xml:space="preserve">A8. Os acordos que (a) especifiquem que a entidade que fornece os recursos tem direito a distribuições de benefícios econômicos futuros ou de potencial de serviços durante a existência da entidade </w:t>
      </w:r>
      <w:r w:rsidR="0013568F">
        <w:rPr>
          <w:rFonts w:ascii="Calibri" w:hAnsi="Calibri" w:cs="Calibri"/>
          <w:b w:val="0"/>
          <w:bCs/>
          <w:sz w:val="24"/>
          <w:szCs w:val="24"/>
        </w:rPr>
        <w:t>destinatária</w:t>
      </w:r>
      <w:r w:rsidRPr="00D81CAD">
        <w:rPr>
          <w:rFonts w:ascii="Calibri" w:hAnsi="Calibri" w:cs="Calibri"/>
          <w:b w:val="0"/>
          <w:bCs/>
          <w:sz w:val="24"/>
          <w:szCs w:val="24"/>
        </w:rPr>
        <w:t xml:space="preserve">, ou à distribuição de qualquer excedente de ativos sobre passivos na hipótese de extinção da entidade </w:t>
      </w:r>
      <w:r w:rsidR="0013568F">
        <w:rPr>
          <w:rFonts w:ascii="Calibri" w:hAnsi="Calibri" w:cs="Calibri"/>
          <w:b w:val="0"/>
          <w:bCs/>
          <w:sz w:val="24"/>
          <w:szCs w:val="24"/>
        </w:rPr>
        <w:t>destinatária</w:t>
      </w:r>
      <w:r w:rsidRPr="00D81CAD">
        <w:rPr>
          <w:rFonts w:ascii="Calibri" w:hAnsi="Calibri" w:cs="Calibri"/>
          <w:b w:val="0"/>
          <w:bCs/>
          <w:sz w:val="24"/>
          <w:szCs w:val="24"/>
        </w:rPr>
        <w:t xml:space="preserve">, ou (b) especifiquem que a entidade que fornece os recursos adquire participação financeira na entidade </w:t>
      </w:r>
      <w:r w:rsidR="0013568F">
        <w:rPr>
          <w:rFonts w:ascii="Calibri" w:hAnsi="Calibri" w:cs="Calibri"/>
          <w:b w:val="0"/>
          <w:bCs/>
          <w:sz w:val="24"/>
          <w:szCs w:val="24"/>
        </w:rPr>
        <w:t>destinatária</w:t>
      </w:r>
      <w:r w:rsidR="0013568F" w:rsidRPr="00D81CAD">
        <w:rPr>
          <w:rFonts w:ascii="Calibri" w:hAnsi="Calibri" w:cs="Calibri"/>
          <w:b w:val="0"/>
          <w:bCs/>
          <w:sz w:val="24"/>
          <w:szCs w:val="24"/>
        </w:rPr>
        <w:t xml:space="preserve"> </w:t>
      </w:r>
      <w:r w:rsidRPr="00D81CAD">
        <w:rPr>
          <w:rFonts w:ascii="Calibri" w:hAnsi="Calibri" w:cs="Calibri"/>
          <w:b w:val="0"/>
          <w:bCs/>
          <w:sz w:val="24"/>
          <w:szCs w:val="24"/>
        </w:rPr>
        <w:t>passível de venda, troca, transferência ou resgate, são, em essência, acordos de contribuição dos proprietários.</w:t>
      </w:r>
    </w:p>
    <w:p w14:paraId="53535C83" w14:textId="45ACE565" w:rsidR="00D81CAD" w:rsidRPr="00D81CAD" w:rsidRDefault="00D81CAD" w:rsidP="006A2D38">
      <w:pPr>
        <w:pStyle w:val="IASBSectionTitle1NonInd"/>
        <w:pBdr>
          <w:bottom w:val="none" w:sz="0" w:space="0" w:color="auto"/>
        </w:pBdr>
        <w:spacing w:before="100" w:after="240"/>
        <w:ind w:left="360" w:hanging="360"/>
        <w:jc w:val="both"/>
        <w:rPr>
          <w:rFonts w:ascii="Calibri" w:hAnsi="Calibri" w:cs="Calibri"/>
          <w:b w:val="0"/>
          <w:bCs/>
          <w:sz w:val="24"/>
          <w:szCs w:val="24"/>
        </w:rPr>
      </w:pPr>
      <w:r w:rsidRPr="00D81CAD">
        <w:rPr>
          <w:rFonts w:ascii="Calibri" w:hAnsi="Calibri" w:cs="Calibri"/>
          <w:b w:val="0"/>
          <w:bCs/>
          <w:sz w:val="24"/>
          <w:szCs w:val="24"/>
        </w:rPr>
        <w:t xml:space="preserve">A9. Se, a despeito da forma da transação, a essência for claramente a de empréstimo, de outro tipo de passivo ou de receita, a entidade a reconhece </w:t>
      </w:r>
      <w:r w:rsidRPr="00DA1E98">
        <w:rPr>
          <w:rFonts w:ascii="Calibri" w:hAnsi="Calibri" w:cs="Calibri"/>
          <w:b w:val="0"/>
          <w:bCs/>
          <w:sz w:val="24"/>
          <w:szCs w:val="24"/>
        </w:rPr>
        <w:t xml:space="preserve">como tal e faz a divulgação apropriada em notas explicativas às demonstrações contábeis de propósito geral, se </w:t>
      </w:r>
      <w:r w:rsidR="00D113EA" w:rsidRPr="00DA1E98">
        <w:rPr>
          <w:rFonts w:ascii="Calibri" w:hAnsi="Calibri" w:cs="Calibri"/>
          <w:b w:val="0"/>
          <w:bCs/>
          <w:sz w:val="24"/>
          <w:szCs w:val="24"/>
        </w:rPr>
        <w:t>material</w:t>
      </w:r>
      <w:r w:rsidRPr="00DA1E98">
        <w:rPr>
          <w:rFonts w:ascii="Calibri" w:hAnsi="Calibri" w:cs="Calibri"/>
          <w:b w:val="0"/>
          <w:bCs/>
          <w:sz w:val="24"/>
          <w:szCs w:val="24"/>
        </w:rPr>
        <w:t>. Por exemplo, se a transação pretende ser uma contribuição dos proprietários, mas especifica que a entidade</w:t>
      </w:r>
      <w:r w:rsidRPr="00D81CAD">
        <w:rPr>
          <w:rFonts w:ascii="Calibri" w:hAnsi="Calibri" w:cs="Calibri"/>
          <w:b w:val="0"/>
          <w:bCs/>
          <w:sz w:val="24"/>
          <w:szCs w:val="24"/>
        </w:rPr>
        <w:t xml:space="preserve"> pagará distribuições fixas ao provedor de recursos, com devolução do investimento deste em momento futuro determinado, a transação é mais característica de um empréstimo. Nos acordos contratuais, a entidade também considera as orientações da NBC TSP 30 – Instrumentos Financeiros: Apresentação ao distinguir passivos de contribuições dos proprietários.</w:t>
      </w:r>
    </w:p>
    <w:p w14:paraId="4010F6A4"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Definições (itens 4–8)</w:t>
      </w:r>
    </w:p>
    <w:p w14:paraId="65D2BE61"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Acordo Vinculante</w:t>
      </w:r>
    </w:p>
    <w:p w14:paraId="60DE700B" w14:textId="48A5333B"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t xml:space="preserve">A10. </w:t>
      </w:r>
      <w:r w:rsidR="006A2D38">
        <w:rPr>
          <w:rFonts w:ascii="Calibri" w:hAnsi="Calibri" w:cs="Calibri"/>
          <w:b w:val="0"/>
          <w:bCs/>
          <w:sz w:val="24"/>
          <w:szCs w:val="24"/>
        </w:rPr>
        <w:t xml:space="preserve"> </w:t>
      </w:r>
      <w:r w:rsidRPr="00D81CAD">
        <w:rPr>
          <w:rFonts w:ascii="Calibri" w:hAnsi="Calibri" w:cs="Calibri"/>
          <w:b w:val="0"/>
          <w:bCs/>
          <w:sz w:val="24"/>
          <w:szCs w:val="24"/>
        </w:rPr>
        <w:t>Acordo vinculante é aquele que confere às partes tanto direitos quanto obrigações exequíveis. O contrato é uma espécie de acordo vinculante. Cada parte do acordo vinculante nele ingressou voluntariamente e é capaz de exigir os respectivos direitos e obrigações que lhe foram conferidos no acordo.</w:t>
      </w:r>
    </w:p>
    <w:p w14:paraId="507D49E9" w14:textId="04AB397A"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lastRenderedPageBreak/>
        <w:t xml:space="preserve">A11. </w:t>
      </w:r>
      <w:r w:rsidR="006A2D38">
        <w:rPr>
          <w:rFonts w:ascii="Calibri" w:hAnsi="Calibri" w:cs="Calibri"/>
          <w:b w:val="0"/>
          <w:bCs/>
          <w:sz w:val="24"/>
          <w:szCs w:val="24"/>
        </w:rPr>
        <w:tab/>
      </w:r>
      <w:r w:rsidRPr="00D81CAD">
        <w:rPr>
          <w:rFonts w:ascii="Calibri" w:hAnsi="Calibri" w:cs="Calibri"/>
          <w:b w:val="0"/>
          <w:bCs/>
          <w:sz w:val="24"/>
          <w:szCs w:val="24"/>
        </w:rPr>
        <w:t xml:space="preserve">Esta norma especifica a contabilização de acordo vinculante individual. Contudo, como medida prática, a entidade pode aplicar esta norma a uma carteira de acordos vinculantes (ou de obrigações de cumprimento) com características semelhantes, se esperar </w:t>
      </w:r>
      <w:r w:rsidRPr="00DA1E98">
        <w:rPr>
          <w:rFonts w:ascii="Calibri" w:hAnsi="Calibri" w:cs="Calibri"/>
          <w:b w:val="0"/>
          <w:bCs/>
          <w:sz w:val="24"/>
          <w:szCs w:val="24"/>
        </w:rPr>
        <w:t xml:space="preserve">razoavelmente que os efeitos, sobre as demonstrações contábeis, da aplicação desta norma à carteira não difiram de forma </w:t>
      </w:r>
      <w:r w:rsidR="00D113EA" w:rsidRPr="00DA1E98">
        <w:rPr>
          <w:rFonts w:ascii="Calibri" w:hAnsi="Calibri" w:cs="Calibri"/>
          <w:b w:val="0"/>
          <w:bCs/>
          <w:sz w:val="24"/>
          <w:szCs w:val="24"/>
        </w:rPr>
        <w:t>material</w:t>
      </w:r>
      <w:r w:rsidRPr="00DA1E98">
        <w:rPr>
          <w:rFonts w:ascii="Calibri" w:hAnsi="Calibri" w:cs="Calibri"/>
          <w:b w:val="0"/>
          <w:bCs/>
          <w:sz w:val="24"/>
          <w:szCs w:val="24"/>
        </w:rPr>
        <w:t xml:space="preserve"> dos efeitos de sua aplicação aos acordos vinculantes (ou às obrigações de cumprimento) individuais integrantes dessa carteira. Ao contabilizar uma carteira, a entidade deve utilizar estimativas</w:t>
      </w:r>
      <w:r w:rsidRPr="00D81CAD">
        <w:rPr>
          <w:rFonts w:ascii="Calibri" w:hAnsi="Calibri" w:cs="Calibri"/>
          <w:b w:val="0"/>
          <w:bCs/>
          <w:sz w:val="24"/>
          <w:szCs w:val="24"/>
        </w:rPr>
        <w:t xml:space="preserve"> e premissas que reflitam o tamanho e a composição da carteira.</w:t>
      </w:r>
    </w:p>
    <w:p w14:paraId="71894968" w14:textId="37C8A508"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t xml:space="preserve">A12. </w:t>
      </w:r>
      <w:r w:rsidR="006A2D38">
        <w:rPr>
          <w:rFonts w:ascii="Calibri" w:hAnsi="Calibri" w:cs="Calibri"/>
          <w:b w:val="0"/>
          <w:bCs/>
          <w:sz w:val="24"/>
          <w:szCs w:val="24"/>
        </w:rPr>
        <w:tab/>
      </w:r>
      <w:r w:rsidRPr="00D81CAD">
        <w:rPr>
          <w:rFonts w:ascii="Calibri" w:hAnsi="Calibri" w:cs="Calibri"/>
          <w:b w:val="0"/>
          <w:bCs/>
          <w:sz w:val="24"/>
          <w:szCs w:val="24"/>
        </w:rPr>
        <w:t>Os acordos vinculantes podem ser evidenciados de diversas maneiras. O acordo vinculante é frequentemente, mas nem sempre, escrito, na forma de contrato ou de tratativas documentadas entre as partes. O acordo vinculante pode decorrer de contratos legais ou de outros meios equivalentes, tais como mecanismos estatutários (por exemplo, por meio de autoridade legislativa ou executiva e/ou de diretrizes ministeriais ou do conselho de governo). A autoridade legislativa ou executiva pode criar acordos exequíveis, semelhantes aos acordos contratuais, isoladamente ou em conjunto com contratos legais celebrados entre as partes.</w:t>
      </w:r>
    </w:p>
    <w:p w14:paraId="3AD20BD9"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Identificação da Transação de Receita (itens 9–15)</w:t>
      </w:r>
    </w:p>
    <w:p w14:paraId="271D616B" w14:textId="3DFF9DFD"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t xml:space="preserve">A13. </w:t>
      </w:r>
      <w:r w:rsidR="006A2D38">
        <w:rPr>
          <w:rFonts w:ascii="Calibri" w:hAnsi="Calibri" w:cs="Calibri"/>
          <w:b w:val="0"/>
          <w:bCs/>
          <w:sz w:val="24"/>
          <w:szCs w:val="24"/>
        </w:rPr>
        <w:t xml:space="preserve"> </w:t>
      </w:r>
      <w:r w:rsidRPr="00D81CAD">
        <w:rPr>
          <w:rFonts w:ascii="Calibri" w:hAnsi="Calibri" w:cs="Calibri"/>
          <w:b w:val="0"/>
          <w:bCs/>
          <w:sz w:val="24"/>
          <w:szCs w:val="24"/>
        </w:rPr>
        <w:t>A entidade deve considerar os termos de sua transação de receita e todos os fatos e circunstâncias relevantes ao aplicar esta norma. A entidade deve aplicar esta norma, inclusive quanto ao uso de qualquer medida prática, de forma consistente a acordos com características semelhantes e em circunstâncias semelhantes.</w:t>
      </w:r>
    </w:p>
    <w:p w14:paraId="2D2F1AB1"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Exequibilidade</w:t>
      </w:r>
    </w:p>
    <w:p w14:paraId="031FC375" w14:textId="0C86BAAB"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t>A14. Os direitos e as obrigações interdependentes previstos em um acordo devem ser exequíveis para que se atenda à definição de acordo vinculante. A exequibilidade pode decorrer de diversos mecanismos, desde que tal(</w:t>
      </w:r>
      <w:proofErr w:type="spellStart"/>
      <w:r w:rsidRPr="00D81CAD">
        <w:rPr>
          <w:rFonts w:ascii="Calibri" w:hAnsi="Calibri" w:cs="Calibri"/>
          <w:b w:val="0"/>
          <w:bCs/>
          <w:sz w:val="24"/>
          <w:szCs w:val="24"/>
        </w:rPr>
        <w:t>is</w:t>
      </w:r>
      <w:proofErr w:type="spellEnd"/>
      <w:r w:rsidRPr="00D81CAD">
        <w:rPr>
          <w:rFonts w:ascii="Calibri" w:hAnsi="Calibri" w:cs="Calibri"/>
          <w:b w:val="0"/>
          <w:bCs/>
          <w:sz w:val="24"/>
          <w:szCs w:val="24"/>
        </w:rPr>
        <w:t>) mecanismo(s) proporcione(m) à entidade a capacidade de exigir o cumprimento dos termos do acordo e de responsabilizar as partes pela satisfação das obrigações declaradas. A entidade deve determinar se um acordo é exequível com base na capacidade de cada entidade participante do acordo de exigir os direitos e as obrigações. A avaliação da exequibilidade pela entidade ocorre no início do acordo e quando uma mudança externa significativa indicar que pode ter havido alteração na exequibilidade desse acordo.</w:t>
      </w:r>
    </w:p>
    <w:p w14:paraId="749A1A18" w14:textId="27B3E5C0"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lastRenderedPageBreak/>
        <w:t xml:space="preserve">A15. </w:t>
      </w:r>
      <w:r w:rsidR="006A2D38">
        <w:rPr>
          <w:rFonts w:ascii="Calibri" w:hAnsi="Calibri" w:cs="Calibri"/>
          <w:b w:val="0"/>
          <w:bCs/>
          <w:sz w:val="24"/>
          <w:szCs w:val="24"/>
        </w:rPr>
        <w:tab/>
      </w:r>
      <w:r w:rsidRPr="00D81CAD">
        <w:rPr>
          <w:rFonts w:ascii="Calibri" w:hAnsi="Calibri" w:cs="Calibri"/>
          <w:b w:val="0"/>
          <w:bCs/>
          <w:sz w:val="24"/>
          <w:szCs w:val="24"/>
        </w:rPr>
        <w:t>Como a exequibilidade pode decorrer de diversos mecanismos, a entidade deve avaliar objetivamente todos os fatores relevantes para determinar se um acordo é exequível. Em algumas jurisdições, as entidades do setor público não podem assumir obrigações legais, por não lhes ser permitido contratar em nome próprio; existem, contudo, processos alternativos com efeito equivalente ao dos acordos legais (descritos como exequíveis por meios equivalentes). Para que um acordo seja exequível por “meios equivalentes”, é necessária a existência de um mecanismo de exequibilidade fora do sistema legal, semelhante à força de lei sem ter natureza legal, que estabeleça o direito do provedor de recursos de obrigar a entidade a concluir a obrigação acordada ou de sujeitá-la às medidas cabíveis em caso de não conclusão. De modo semelhante, é necessário um mecanismo fora dos sistemas legais, semelhante à força de lei sem ter natureza legal, que estabeleça o direito da entidade de obrigar o provedor de recursos a pagar a contraprestação acordada. Assim, a entidade deve identificar e avaliar todos os fatores relevantes, considerando os meios legais ou equivalentes pelos quais as partes envolvidas exigem cada um dos respectivos direitos e obrigações previstos no acordo.</w:t>
      </w:r>
    </w:p>
    <w:p w14:paraId="56E80C92" w14:textId="3B81AFFF"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t xml:space="preserve">A16. </w:t>
      </w:r>
      <w:r w:rsidR="006A2D38">
        <w:rPr>
          <w:rFonts w:ascii="Calibri" w:hAnsi="Calibri" w:cs="Calibri"/>
          <w:b w:val="0"/>
          <w:bCs/>
          <w:sz w:val="24"/>
          <w:szCs w:val="24"/>
        </w:rPr>
        <w:tab/>
      </w:r>
      <w:r w:rsidRPr="00D81CAD">
        <w:rPr>
          <w:rFonts w:ascii="Calibri" w:hAnsi="Calibri" w:cs="Calibri"/>
          <w:b w:val="0"/>
          <w:bCs/>
          <w:sz w:val="24"/>
          <w:szCs w:val="24"/>
        </w:rPr>
        <w:t>No setor público, um acordo é exequível quando cada uma das partes é capaz de exigir os respectivos direitos e obrigações. O acordo é exequível se contiver:</w:t>
      </w:r>
    </w:p>
    <w:p w14:paraId="1F372591" w14:textId="408E6ABD" w:rsidR="00D81CAD" w:rsidRPr="00D81CAD" w:rsidRDefault="00D81CAD" w:rsidP="00C90136">
      <w:pPr>
        <w:pStyle w:val="IASBSectionTitle1NonInd"/>
        <w:numPr>
          <w:ilvl w:val="1"/>
          <w:numId w:val="8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direitos e obrigações claramente especificados para cada parte envolvida; e</w:t>
      </w:r>
    </w:p>
    <w:p w14:paraId="21A8EE10" w14:textId="32A1B552" w:rsidR="00D81CAD" w:rsidRPr="00D81CAD" w:rsidRDefault="00D81CAD" w:rsidP="00C90136">
      <w:pPr>
        <w:pStyle w:val="IASBSectionTitle1NonInd"/>
        <w:numPr>
          <w:ilvl w:val="1"/>
          <w:numId w:val="8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medidas cabíveis em caso de não conclusão por qualquer das partes envolvidas, passíveis de serem exigidas por meio dos mecanismos de exequibilidade identificados.</w:t>
      </w:r>
    </w:p>
    <w:p w14:paraId="68C1B31A" w14:textId="5A4459C5"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t>A17. Ao avaliar a exequibilidade, a entidade deve considerar de que modo os mecanismos de exequibilidade identificados impõem consequências implícitas ou explícitas à parte ou às partes que não satisfizerem suas obrigações no acordo, por meios legais ou equivalentes. Se a entidade não for capaz de determinar de que modo os mecanismos de exequibilidade identificados lhe permitiriam, em essência, responsabilizar as demais partes do acordo pela satisfação de suas obrigações nos casos de não conclusão, o acordo não é exequível e não atende à definição de acordo vinculante.</w:t>
      </w:r>
    </w:p>
    <w:p w14:paraId="6A00DDBC" w14:textId="0B34C9FD"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t xml:space="preserve">A18. </w:t>
      </w:r>
      <w:r w:rsidR="006A2D38">
        <w:rPr>
          <w:rFonts w:ascii="Calibri" w:hAnsi="Calibri" w:cs="Calibri"/>
          <w:b w:val="0"/>
          <w:bCs/>
          <w:sz w:val="24"/>
          <w:szCs w:val="24"/>
        </w:rPr>
        <w:tab/>
      </w:r>
      <w:r w:rsidRPr="00D81CAD">
        <w:rPr>
          <w:rFonts w:ascii="Calibri" w:hAnsi="Calibri" w:cs="Calibri"/>
          <w:b w:val="0"/>
          <w:bCs/>
          <w:sz w:val="24"/>
          <w:szCs w:val="24"/>
        </w:rPr>
        <w:t>A exequibilidade decorre da imposição por um sistema legal, inclusive por meios legais (execução perante os tribunais da jurisdição, bem como decisões judiciais e precedentes jurisprudenciais que determinem a observância dos termos do acordo) ou do cumprimento por meios equivalentes (leis e regulamentos, incluindo legislação, autoridade executiva e diretrizes ministeriais ou do conselho de governo).</w:t>
      </w:r>
    </w:p>
    <w:p w14:paraId="3E4767B6" w14:textId="0335A636"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t xml:space="preserve">A19. </w:t>
      </w:r>
      <w:r w:rsidR="006A2D38">
        <w:rPr>
          <w:rFonts w:ascii="Calibri" w:hAnsi="Calibri" w:cs="Calibri"/>
          <w:b w:val="0"/>
          <w:bCs/>
          <w:sz w:val="24"/>
          <w:szCs w:val="24"/>
        </w:rPr>
        <w:tab/>
      </w:r>
      <w:r w:rsidRPr="00D81CAD">
        <w:rPr>
          <w:rFonts w:ascii="Calibri" w:hAnsi="Calibri" w:cs="Calibri"/>
          <w:b w:val="0"/>
          <w:bCs/>
          <w:sz w:val="24"/>
          <w:szCs w:val="24"/>
        </w:rPr>
        <w:t>A autoridade executiva (por vezes denominada ordem executiva) é a competência atribuída a um ou a alguns membros da administração governamental para editar normas sem ratificação pelo parlamento como um todo. Pode ser considerada mecanismo válido de exequibilidade de tal ordem for expedida determinando que a entidade satisfaça as obrigações declaradas no acordo.</w:t>
      </w:r>
    </w:p>
    <w:p w14:paraId="546298F8" w14:textId="3C361B0B" w:rsidR="00D81CAD" w:rsidRPr="00DA1E98"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lastRenderedPageBreak/>
        <w:t xml:space="preserve">A20. </w:t>
      </w:r>
      <w:r w:rsidR="006A2D38">
        <w:rPr>
          <w:rFonts w:ascii="Calibri" w:hAnsi="Calibri" w:cs="Calibri"/>
          <w:b w:val="0"/>
          <w:bCs/>
          <w:sz w:val="24"/>
          <w:szCs w:val="24"/>
        </w:rPr>
        <w:tab/>
      </w:r>
      <w:r w:rsidRPr="00D81CAD">
        <w:rPr>
          <w:rFonts w:ascii="Calibri" w:hAnsi="Calibri" w:cs="Calibri"/>
          <w:b w:val="0"/>
          <w:bCs/>
          <w:sz w:val="24"/>
          <w:szCs w:val="24"/>
        </w:rPr>
        <w:t xml:space="preserve">As diretrizes ministeriais ou do conselho de governo podem criar mecanismo de exequibilidade entre diferentes órgãos governamentais ou diferentes níveis de governo de uma mesma estrutura governamental. Por exemplo, a diretriz expedida por ministro ou órgão governamental a entidade controlada pelo governo para que satisfaça as obrigações declaradas no acordo pode ser exequível. Cada parte deve ser capaz de exigir tanto os direitos quanto as obrigações que lhe foram conferidas no acordo, para que se atenda à definição de acordo </w:t>
      </w:r>
      <w:r w:rsidRPr="00DA1E98">
        <w:rPr>
          <w:rFonts w:ascii="Calibri" w:hAnsi="Calibri" w:cs="Calibri"/>
          <w:b w:val="0"/>
          <w:bCs/>
          <w:sz w:val="24"/>
          <w:szCs w:val="24"/>
        </w:rPr>
        <w:t>vinculante. Cada parte deve ter a capacidade e a competência de compelir a outra parte, ou as demais partes, a cumprir as promessas estabelecidas no acordo ou de buscar reparação caso essas promessas não sejam satisfeitas.</w:t>
      </w:r>
    </w:p>
    <w:p w14:paraId="6593327D" w14:textId="02B83C09" w:rsidR="00D81CAD" w:rsidRPr="00DA1E98"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A1E98">
        <w:rPr>
          <w:rFonts w:ascii="Calibri" w:hAnsi="Calibri" w:cs="Calibri"/>
          <w:b w:val="0"/>
          <w:bCs/>
          <w:sz w:val="24"/>
          <w:szCs w:val="24"/>
        </w:rPr>
        <w:t xml:space="preserve">A21. </w:t>
      </w:r>
      <w:r w:rsidR="006A2D38">
        <w:rPr>
          <w:rFonts w:ascii="Calibri" w:hAnsi="Calibri" w:cs="Calibri"/>
          <w:b w:val="0"/>
          <w:bCs/>
          <w:sz w:val="24"/>
          <w:szCs w:val="24"/>
        </w:rPr>
        <w:tab/>
      </w:r>
      <w:r w:rsidRPr="00DA1E98">
        <w:rPr>
          <w:rFonts w:ascii="Calibri" w:hAnsi="Calibri" w:cs="Calibri"/>
          <w:b w:val="0"/>
          <w:bCs/>
          <w:sz w:val="24"/>
          <w:szCs w:val="24"/>
        </w:rPr>
        <w:t>Os direitos soberanos consistem na competência para editar, alterar e revogar disposições legais. Isoladamente, essa competência não estabelece direitos e obrigações exequíveis para fins de aplicação desta norma. Contudo, se o uso dos direitos soberanos estiver detalhado no acordo como meio de exigir a satisfação das obrigações pela entidade, isso pode resultar em mecanismo válido de exequibilidade.</w:t>
      </w:r>
    </w:p>
    <w:p w14:paraId="5B04E1CA" w14:textId="70E3D0E0"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A1E98">
        <w:rPr>
          <w:rFonts w:ascii="Calibri" w:hAnsi="Calibri" w:cs="Calibri"/>
          <w:b w:val="0"/>
          <w:bCs/>
          <w:sz w:val="24"/>
          <w:szCs w:val="24"/>
        </w:rPr>
        <w:t xml:space="preserve">A22. </w:t>
      </w:r>
      <w:r w:rsidR="006A2D38">
        <w:rPr>
          <w:rFonts w:ascii="Calibri" w:hAnsi="Calibri" w:cs="Calibri"/>
          <w:b w:val="0"/>
          <w:bCs/>
          <w:sz w:val="24"/>
          <w:szCs w:val="24"/>
        </w:rPr>
        <w:tab/>
      </w:r>
      <w:r w:rsidRPr="00DA1E98">
        <w:rPr>
          <w:rFonts w:ascii="Calibri" w:hAnsi="Calibri" w:cs="Calibri"/>
          <w:b w:val="0"/>
          <w:bCs/>
          <w:sz w:val="24"/>
          <w:szCs w:val="24"/>
        </w:rPr>
        <w:t>A entidade pode se sentir compelida a cumprir as obrigações previstas em um acordo em razão do risco de não vir a receber financiamento futuro da outra</w:t>
      </w:r>
      <w:r w:rsidRPr="00D81CAD">
        <w:rPr>
          <w:rFonts w:ascii="Calibri" w:hAnsi="Calibri" w:cs="Calibri"/>
          <w:b w:val="0"/>
          <w:bCs/>
          <w:sz w:val="24"/>
          <w:szCs w:val="24"/>
        </w:rPr>
        <w:t xml:space="preserve"> parte. Em geral, a capacidade de reduzir ou reter financiamento futuro a que a entidade não tenha direito presente não é considerada mecanismo válido de exequibilidade no contexto desta norma, porque não há obrigação de o provedor de recursos conceder tal financiamento. Contudo, se a entidade tiver direito presente a financiamento futuro por força de outro acordo vinculante, e os termos desse outro acordo vinculante admitirem especificamente a redução do financiamento futuro na hipótese de descumprimento de outros acordos, a redução do financiamento futuro pode ser considerada mecanismo válido de exequibilidade.</w:t>
      </w:r>
    </w:p>
    <w:p w14:paraId="6556F04D" w14:textId="6ED116A3"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t xml:space="preserve">A23. </w:t>
      </w:r>
      <w:r w:rsidR="006A2D38">
        <w:rPr>
          <w:rFonts w:ascii="Calibri" w:hAnsi="Calibri" w:cs="Calibri"/>
          <w:b w:val="0"/>
          <w:bCs/>
          <w:sz w:val="24"/>
          <w:szCs w:val="24"/>
        </w:rPr>
        <w:tab/>
      </w:r>
      <w:r w:rsidRPr="00D81CAD">
        <w:rPr>
          <w:rFonts w:ascii="Calibri" w:hAnsi="Calibri" w:cs="Calibri"/>
          <w:b w:val="0"/>
          <w:bCs/>
          <w:sz w:val="24"/>
          <w:szCs w:val="24"/>
        </w:rPr>
        <w:t>Ao determinar se a redução de financiamento futuro constitui mecanismo de exequibilidade, a entidade deve exercer julgamento com base nos fatos e circunstâncias. Os fatores essenciais que podem indicar que o provedor de recursos reduziria o financiamento futuro na hipótese de descumprimento de promessas feitas em outro acordo vinculante são a sua capacidade de reduzir o financiamento futuro e o seu histórico de assim proceder.</w:t>
      </w:r>
    </w:p>
    <w:p w14:paraId="3DB08975" w14:textId="665E6652" w:rsidR="00703DC5"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t>A24.</w:t>
      </w:r>
      <w:r w:rsidR="006A2D38">
        <w:rPr>
          <w:rFonts w:ascii="Calibri" w:hAnsi="Calibri" w:cs="Calibri"/>
          <w:b w:val="0"/>
          <w:bCs/>
          <w:sz w:val="24"/>
          <w:szCs w:val="24"/>
        </w:rPr>
        <w:tab/>
      </w:r>
      <w:r w:rsidRPr="00D81CAD">
        <w:rPr>
          <w:rFonts w:ascii="Calibri" w:hAnsi="Calibri" w:cs="Calibri"/>
          <w:b w:val="0"/>
          <w:bCs/>
          <w:sz w:val="24"/>
          <w:szCs w:val="24"/>
        </w:rPr>
        <w:t xml:space="preserve"> A declaração de intenção ou o anúncio público, por provedor de recursos (por exemplo, o governo), de que gastará recursos ou entregará bens e/ou serviços de determinada forma não constitui, por si só, acordo exequível para os fins desta norma. Tal declaração é de natureza geral e não cria acordo vinculante entre o provedor de recursos e a entidade (destinatária dos recursos).</w:t>
      </w:r>
    </w:p>
    <w:p w14:paraId="64DB6553" w14:textId="4E884269" w:rsidR="00D81CAD" w:rsidRPr="00D81CAD" w:rsidRDefault="00D81CAD" w:rsidP="006A2D38">
      <w:pPr>
        <w:pStyle w:val="IASBSectionTitle1NonInd"/>
        <w:pBdr>
          <w:bottom w:val="none" w:sz="0" w:space="0" w:color="auto"/>
        </w:pBdr>
        <w:spacing w:before="100" w:after="240"/>
        <w:ind w:left="567" w:hanging="567"/>
        <w:jc w:val="both"/>
        <w:rPr>
          <w:rFonts w:ascii="Calibri" w:hAnsi="Calibri" w:cs="Calibri"/>
          <w:b w:val="0"/>
          <w:bCs/>
          <w:sz w:val="24"/>
          <w:szCs w:val="24"/>
        </w:rPr>
      </w:pPr>
      <w:r w:rsidRPr="00D81CAD">
        <w:rPr>
          <w:rFonts w:ascii="Calibri" w:hAnsi="Calibri" w:cs="Calibri"/>
          <w:b w:val="0"/>
          <w:bCs/>
          <w:sz w:val="24"/>
          <w:szCs w:val="24"/>
        </w:rPr>
        <w:lastRenderedPageBreak/>
        <w:t xml:space="preserve">A25. </w:t>
      </w:r>
      <w:r w:rsidR="006A2D38">
        <w:rPr>
          <w:rFonts w:ascii="Calibri" w:hAnsi="Calibri" w:cs="Calibri"/>
          <w:b w:val="0"/>
          <w:bCs/>
          <w:sz w:val="24"/>
          <w:szCs w:val="24"/>
        </w:rPr>
        <w:tab/>
      </w:r>
      <w:r w:rsidRPr="00D81CAD">
        <w:rPr>
          <w:rFonts w:ascii="Calibri" w:hAnsi="Calibri" w:cs="Calibri"/>
          <w:b w:val="0"/>
          <w:bCs/>
          <w:sz w:val="24"/>
          <w:szCs w:val="24"/>
        </w:rPr>
        <w:t>Em algumas jurisdições, podem ser incluídos nos acordos termos e condições específicos destinados a tornar exequíveis os direitos e as obrigações, mas que historicamente nunca foram exigidos. Se a experiência passada com o provedor de recursos indicar que este jamais exigiu o cumprimento dos termos do acordo quando houve descumprimento, a entidade pode concluir que tais termos não são substantivos, o que pode indicar que eles não responsabilizam, em essência, a outra entidade, e que o acordo não é considerado exequível. Contudo, se a entidade não tiver experiência com o provedor de recursos, ou não tiver descumprido anteriormente qualquer termo que levasse o provedor de recursos a exigir o cumprimento do acordo, e não houver evidência em contrário, a entidade deve presumir que o provedor de recursos exigiria o cumprimento dos termos, considerando-se o acordo exequível. A entidade deve considerar o histórico de exigência de cumprimento como um dos fatores relevantes na avaliação global da exequibilidade e da possibilidade de as entidades serem objetivamente responsabilizadas por exigir os direitos e satisfazer as obrigações que assumiram no acordo.</w:t>
      </w:r>
    </w:p>
    <w:p w14:paraId="4FCB070E"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Partes de um Acordo</w:t>
      </w:r>
    </w:p>
    <w:p w14:paraId="3ADA7F20" w14:textId="5C68A231"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A26. </w:t>
      </w:r>
      <w:r w:rsidR="006A2D38">
        <w:rPr>
          <w:rFonts w:ascii="Calibri" w:hAnsi="Calibri" w:cs="Calibri"/>
          <w:b w:val="0"/>
          <w:bCs/>
          <w:sz w:val="24"/>
          <w:szCs w:val="24"/>
        </w:rPr>
        <w:tab/>
      </w:r>
      <w:r w:rsidRPr="00D81CAD">
        <w:rPr>
          <w:rFonts w:ascii="Calibri" w:hAnsi="Calibri" w:cs="Calibri"/>
          <w:b w:val="0"/>
          <w:bCs/>
          <w:sz w:val="24"/>
          <w:szCs w:val="24"/>
        </w:rPr>
        <w:t>Os acordos no setor público frequentemente envolvem duas ou mais partes. Para que o acordo atenda à definição de acordo vinculante para os fins desta norma, ao menos duas das partes devem ter direitos e obrigações próprios conferidos pelo acordo, bem como a capacidade de exigi-los.</w:t>
      </w:r>
    </w:p>
    <w:p w14:paraId="6B4BBCB3" w14:textId="352308CB"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A27. </w:t>
      </w:r>
      <w:r w:rsidR="006A2D38">
        <w:rPr>
          <w:rFonts w:ascii="Calibri" w:hAnsi="Calibri" w:cs="Calibri"/>
          <w:b w:val="0"/>
          <w:bCs/>
          <w:sz w:val="24"/>
          <w:szCs w:val="24"/>
        </w:rPr>
        <w:tab/>
      </w:r>
      <w:r w:rsidRPr="00D81CAD">
        <w:rPr>
          <w:rFonts w:ascii="Calibri" w:hAnsi="Calibri" w:cs="Calibri"/>
          <w:b w:val="0"/>
          <w:bCs/>
          <w:sz w:val="24"/>
          <w:szCs w:val="24"/>
        </w:rPr>
        <w:t>Nas transações específicas do poder público com acordos vinculantes, o provedor de recursos é a parte que fornece contraprestação à entidade pelos bens ou serviços previstos no acordo vinculante, mas não é necessariamente a parte que recebe esses bens ou serviços. O provedor de recursos pode fornecer contraprestação para que a entidade:</w:t>
      </w:r>
    </w:p>
    <w:p w14:paraId="53930335" w14:textId="561D3030" w:rsidR="00D81CAD" w:rsidRPr="00D81CAD" w:rsidRDefault="00D81CAD" w:rsidP="00C90136">
      <w:pPr>
        <w:pStyle w:val="IASBSectionTitle1NonInd"/>
        <w:numPr>
          <w:ilvl w:val="1"/>
          <w:numId w:val="8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utilize recursos internamente para bens ou serviços. Nesses casos, o provedor de recursos não recebe diretamente, em troca, qualquer bem, serviço ou outro ativo;</w:t>
      </w:r>
    </w:p>
    <w:p w14:paraId="49EEDC8C" w14:textId="38CE7EB9" w:rsidR="00D81CAD" w:rsidRPr="00D81CAD" w:rsidRDefault="00D81CAD" w:rsidP="00C90136">
      <w:pPr>
        <w:pStyle w:val="IASBSectionTitle1NonInd"/>
        <w:numPr>
          <w:ilvl w:val="1"/>
          <w:numId w:val="8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transfira bens ou serviços distintos ao próprio provedor de recursos. Nesses casos, o provedor de recursos é um comprador⁴, pois recebe bens ou serviços que constituem produto das atividades da entidade, nos termos de um acordo vinculante, para seu próprio consumo; ou</w:t>
      </w:r>
    </w:p>
    <w:p w14:paraId="6B8FCDF5" w14:textId="64E05E84" w:rsidR="00D81CAD" w:rsidRPr="00D81CAD" w:rsidRDefault="00D81CAD" w:rsidP="00C90136">
      <w:pPr>
        <w:pStyle w:val="IASBSectionTitle1NonInd"/>
        <w:numPr>
          <w:ilvl w:val="1"/>
          <w:numId w:val="8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transfira bens ou serviços distintos a um terceiro beneficiário. Nos acordos multilaterais (tratados a seguir), o provedor de recursos mantém acordo vinculante com a entidade e lhe fornece contraprestação para que entregue bens ou serviços a um terceiro beneficiário. Por exemplo, se o governo central financia uma secretaria regional de saúde para realizar exames de densitometria óssea em cidadãos com mais de 55 anos, o governo central é o provedor de recursos e os cidadãos são os terceiros beneficiários. O provedor de recursos pode exigir a entrega desses bens ou serviços ou buscar reparação junto à entidade se as promessas do acordo vinculante não forem satisfeitas.</w:t>
      </w:r>
    </w:p>
    <w:p w14:paraId="06DD2DD0" w14:textId="1C15292B"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A28. </w:t>
      </w:r>
      <w:r w:rsidR="006A2D38">
        <w:rPr>
          <w:rFonts w:ascii="Calibri" w:hAnsi="Calibri" w:cs="Calibri"/>
          <w:b w:val="0"/>
          <w:bCs/>
          <w:sz w:val="24"/>
          <w:szCs w:val="24"/>
        </w:rPr>
        <w:tab/>
      </w:r>
      <w:r w:rsidRPr="00D81CAD">
        <w:rPr>
          <w:rFonts w:ascii="Calibri" w:hAnsi="Calibri" w:cs="Calibri"/>
          <w:b w:val="0"/>
          <w:bCs/>
          <w:sz w:val="24"/>
          <w:szCs w:val="24"/>
        </w:rPr>
        <w:t>Isto é, no mínimo, a entidade que recebe a contraprestação (destinatária dos recursos) deve ser capaz de exigir a promessa de receber o financiamento (contraprestação), e a entidade que fornece o financiamento (o provedor de recursos) deve ser capaz de exigir a satisfação das obrigações assumidas pela entidade que recebe a contraprestação. A exequibilidade mínima em dois sentidos, própria do acordo vinculante, é ilustrada no diagrama a seguir:</w:t>
      </w:r>
    </w:p>
    <w:p w14:paraId="4287C2CA" w14:textId="7C10F476" w:rsidR="00D81CAD" w:rsidRPr="00D81CAD" w:rsidRDefault="003037AB" w:rsidP="003037AB">
      <w:pPr>
        <w:pStyle w:val="IASBSectionTitle1NonInd"/>
        <w:pBdr>
          <w:bottom w:val="none" w:sz="0" w:space="0" w:color="auto"/>
        </w:pBdr>
        <w:spacing w:before="100" w:after="240"/>
        <w:jc w:val="center"/>
        <w:rPr>
          <w:rFonts w:ascii="Calibri" w:hAnsi="Calibri" w:cs="Calibri"/>
          <w:b w:val="0"/>
          <w:bCs/>
          <w:sz w:val="24"/>
          <w:szCs w:val="24"/>
        </w:rPr>
      </w:pPr>
      <w:r w:rsidRPr="003037AB">
        <w:rPr>
          <w:rFonts w:ascii="Calibri" w:hAnsi="Calibri" w:cs="Calibri"/>
          <w:b w:val="0"/>
          <w:bCs/>
          <w:noProof/>
          <w:sz w:val="24"/>
          <w:szCs w:val="24"/>
        </w:rPr>
        <w:drawing>
          <wp:inline distT="0" distB="0" distL="0" distR="0" wp14:anchorId="317F5B3D" wp14:editId="0A15678A">
            <wp:extent cx="4008665" cy="1471370"/>
            <wp:effectExtent l="0" t="0" r="0" b="0"/>
            <wp:docPr id="170629852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98529" name=""/>
                    <pic:cNvPicPr/>
                  </pic:nvPicPr>
                  <pic:blipFill>
                    <a:blip r:embed="rId8"/>
                    <a:stretch>
                      <a:fillRect/>
                    </a:stretch>
                  </pic:blipFill>
                  <pic:spPr>
                    <a:xfrm>
                      <a:off x="0" y="0"/>
                      <a:ext cx="4025639" cy="1477600"/>
                    </a:xfrm>
                    <a:prstGeom prst="rect">
                      <a:avLst/>
                    </a:prstGeom>
                  </pic:spPr>
                </pic:pic>
              </a:graphicData>
            </a:graphic>
          </wp:inline>
        </w:drawing>
      </w:r>
    </w:p>
    <w:p w14:paraId="7562AA79" w14:textId="72D90CCB" w:rsidR="009E519A"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A29. </w:t>
      </w:r>
      <w:r w:rsidR="006A2D38">
        <w:rPr>
          <w:rFonts w:ascii="Calibri" w:hAnsi="Calibri" w:cs="Calibri"/>
          <w:b w:val="0"/>
          <w:bCs/>
          <w:sz w:val="24"/>
          <w:szCs w:val="24"/>
        </w:rPr>
        <w:tab/>
      </w:r>
      <w:r w:rsidRPr="00D81CAD">
        <w:rPr>
          <w:rFonts w:ascii="Calibri" w:hAnsi="Calibri" w:cs="Calibri"/>
          <w:b w:val="0"/>
          <w:bCs/>
          <w:sz w:val="24"/>
          <w:szCs w:val="24"/>
        </w:rPr>
        <w:t xml:space="preserve">As partes mencionadas em um acordo vinculante que não tenham direitos e obrigações exequíveis são terceiros beneficiários. Os terceiros beneficiários, nos acordos vinculantes multilaterais, não têm qualquer direito de compelir a entidade a entregar bens ou serviços. Contudo, para que esses acordos multilaterais estejam no alcance desta norma, o provedor de recursos deve ter a capacidade de compelir a entidade a entregar bens ou serviços distintos aos terceiros beneficiários. Nesses acordos multilaterais, a entidade (destinatária dos recursos) não é agente do provedor de recursos, porque obtém o controle da contraprestação por ele fornecida e é responsável por fornecer os bens ou serviços aos terceiros beneficiários. Essa relação é ilustrada no diagrama a seguir: </w:t>
      </w:r>
    </w:p>
    <w:p w14:paraId="4806C374" w14:textId="77777777" w:rsidR="00BE1D93" w:rsidRDefault="00BE1D93" w:rsidP="00BE1D93">
      <w:pPr>
        <w:pStyle w:val="IASBSectionTitle1NonInd"/>
        <w:pBdr>
          <w:bottom w:val="none" w:sz="0" w:space="0" w:color="auto"/>
        </w:pBdr>
        <w:spacing w:before="100" w:after="240"/>
        <w:jc w:val="center"/>
        <w:rPr>
          <w:rFonts w:ascii="Calibri" w:hAnsi="Calibri" w:cs="Calibri"/>
          <w:b w:val="0"/>
          <w:bCs/>
          <w:sz w:val="24"/>
          <w:szCs w:val="24"/>
        </w:rPr>
      </w:pPr>
      <w:r w:rsidRPr="00BE1D93">
        <w:rPr>
          <w:rFonts w:ascii="Calibri" w:hAnsi="Calibri" w:cs="Calibri"/>
          <w:b w:val="0"/>
          <w:bCs/>
          <w:noProof/>
          <w:sz w:val="24"/>
          <w:szCs w:val="24"/>
        </w:rPr>
        <w:drawing>
          <wp:inline distT="0" distB="0" distL="0" distR="0" wp14:anchorId="3F013B48" wp14:editId="2D4C019D">
            <wp:extent cx="2876951" cy="1981477"/>
            <wp:effectExtent l="0" t="0" r="0" b="0"/>
            <wp:docPr id="99106144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61440" name=""/>
                    <pic:cNvPicPr/>
                  </pic:nvPicPr>
                  <pic:blipFill>
                    <a:blip r:embed="rId9"/>
                    <a:stretch>
                      <a:fillRect/>
                    </a:stretch>
                  </pic:blipFill>
                  <pic:spPr>
                    <a:xfrm>
                      <a:off x="0" y="0"/>
                      <a:ext cx="2876951" cy="1981477"/>
                    </a:xfrm>
                    <a:prstGeom prst="rect">
                      <a:avLst/>
                    </a:prstGeom>
                  </pic:spPr>
                </pic:pic>
              </a:graphicData>
            </a:graphic>
          </wp:inline>
        </w:drawing>
      </w:r>
    </w:p>
    <w:p w14:paraId="6D488CEE" w14:textId="57E6B050" w:rsidR="00D81CAD" w:rsidRPr="00D81CAD" w:rsidRDefault="00D81CAD" w:rsidP="00BE1D93">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Comprador é o provedor de recursos que fornece um recurso à entidade em troca de bens ou serviços que constituem produto das atividades da entidade, nos termos de um acordo vinculante, para seu próprio consumo. O cliente é uma espécie de comprador.</w:t>
      </w:r>
    </w:p>
    <w:p w14:paraId="658AE4BF" w14:textId="0BCCAE1A"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A30. </w:t>
      </w:r>
      <w:r w:rsidR="006A2D38">
        <w:rPr>
          <w:rFonts w:ascii="Calibri" w:hAnsi="Calibri" w:cs="Calibri"/>
          <w:b w:val="0"/>
          <w:bCs/>
          <w:sz w:val="24"/>
          <w:szCs w:val="24"/>
        </w:rPr>
        <w:tab/>
      </w:r>
      <w:r w:rsidRPr="00D81CAD">
        <w:rPr>
          <w:rFonts w:ascii="Calibri" w:hAnsi="Calibri" w:cs="Calibri"/>
          <w:b w:val="0"/>
          <w:bCs/>
          <w:sz w:val="24"/>
          <w:szCs w:val="24"/>
        </w:rPr>
        <w:t>Ao avaliar a exequibilidade de um acordo, a entidade considera não apenas a sua capacidade de exigir o direito de receber os recursos relativos à obrigação ou às obrigações concluídas, mas também a capacidade de o provedor de recursos compeli-la a satisfazer suas obrigações.</w:t>
      </w:r>
    </w:p>
    <w:p w14:paraId="1C766E59" w14:textId="463FD3B7"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A31. </w:t>
      </w:r>
      <w:r w:rsidR="006A2D38">
        <w:rPr>
          <w:rFonts w:ascii="Calibri" w:hAnsi="Calibri" w:cs="Calibri"/>
          <w:b w:val="0"/>
          <w:bCs/>
          <w:sz w:val="24"/>
          <w:szCs w:val="24"/>
        </w:rPr>
        <w:tab/>
      </w:r>
      <w:r w:rsidRPr="00D81CAD">
        <w:rPr>
          <w:rFonts w:ascii="Calibri" w:hAnsi="Calibri" w:cs="Calibri"/>
          <w:b w:val="0"/>
          <w:bCs/>
          <w:sz w:val="24"/>
          <w:szCs w:val="24"/>
        </w:rPr>
        <w:t>Algumas transações de receita podem ser exequíveis, mas criam direitos e obrigações exequíveis para apenas uma das partes do acordo. Essas transações não atendem à definição de acordo vinculante para os fins desta norma, em razão da ausência de exequibilidade em dois sentidos.</w:t>
      </w:r>
    </w:p>
    <w:p w14:paraId="06740295"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Receita Proveniente de Transações com Acordos Vinculantes</w:t>
      </w:r>
    </w:p>
    <w:p w14:paraId="2B93D516"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Critérios para o Modelo Contábil de Acordos Vinculantes (itens 56–61)</w:t>
      </w:r>
    </w:p>
    <w:p w14:paraId="6162875B"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Substância Econômica</w:t>
      </w:r>
    </w:p>
    <w:p w14:paraId="1BEF8A26" w14:textId="19A9FD22"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A32. </w:t>
      </w:r>
      <w:r w:rsidR="006A2D38">
        <w:rPr>
          <w:rFonts w:ascii="Calibri" w:hAnsi="Calibri" w:cs="Calibri"/>
          <w:b w:val="0"/>
          <w:bCs/>
          <w:sz w:val="24"/>
          <w:szCs w:val="24"/>
        </w:rPr>
        <w:tab/>
      </w:r>
      <w:r w:rsidRPr="00D81CAD">
        <w:rPr>
          <w:rFonts w:ascii="Calibri" w:hAnsi="Calibri" w:cs="Calibri"/>
          <w:b w:val="0"/>
          <w:bCs/>
          <w:sz w:val="24"/>
          <w:szCs w:val="24"/>
        </w:rPr>
        <w:t>A entidade deve determinar se a transação com acordo vinculante que exija a transferência de bens ou serviços distintos a um comprador ou a um terceiro beneficiário tem substância econômica, considerando a medida em que se espera que seus fluxos de caixa futuros ou seu potencial de serviços se alterem em decorrência da transação. A transação tem substância econômica se:</w:t>
      </w:r>
    </w:p>
    <w:p w14:paraId="4F939059" w14:textId="27A4E626" w:rsidR="00D81CAD" w:rsidRPr="00D81CAD" w:rsidRDefault="00D81CAD" w:rsidP="00C90136">
      <w:pPr>
        <w:pStyle w:val="IASBSectionTitle1NonInd"/>
        <w:numPr>
          <w:ilvl w:val="1"/>
          <w:numId w:val="8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configuração (risco, momento e montante) dos fluxos de caixa ou do potencial de serviços do ativo recebido diferir da configuração dos fluxos de caixa ou do potencial de serviços do ativo transferido; ou</w:t>
      </w:r>
    </w:p>
    <w:p w14:paraId="6B15772D" w14:textId="7C1DFC45" w:rsidR="00D81CAD" w:rsidRPr="00D81CAD" w:rsidRDefault="00D81CAD" w:rsidP="00C90136">
      <w:pPr>
        <w:pStyle w:val="IASBSectionTitle1NonInd"/>
        <w:numPr>
          <w:ilvl w:val="1"/>
          <w:numId w:val="8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valor específico para a entidade da parcela de suas operações afetada pela transação se alterar em decorrência da troca; e</w:t>
      </w:r>
    </w:p>
    <w:p w14:paraId="3189F92D" w14:textId="2563D350" w:rsidR="00D81CAD" w:rsidRPr="00D81CAD" w:rsidRDefault="00D81CAD" w:rsidP="00C90136">
      <w:pPr>
        <w:pStyle w:val="IASBSectionTitle1NonInd"/>
        <w:numPr>
          <w:ilvl w:val="1"/>
          <w:numId w:val="8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as diferenças referidas nas alíneas (a) e (b) forem significativas em relação ao valor corrente dos ativos trocados.</w:t>
      </w:r>
    </w:p>
    <w:p w14:paraId="152908B2" w14:textId="2960B92D"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A33. </w:t>
      </w:r>
      <w:r w:rsidR="006A2D38">
        <w:rPr>
          <w:rFonts w:ascii="Calibri" w:hAnsi="Calibri" w:cs="Calibri"/>
          <w:b w:val="0"/>
          <w:bCs/>
          <w:sz w:val="24"/>
          <w:szCs w:val="24"/>
        </w:rPr>
        <w:tab/>
      </w:r>
      <w:r w:rsidRPr="00D81CAD">
        <w:rPr>
          <w:rFonts w:ascii="Calibri" w:hAnsi="Calibri" w:cs="Calibri"/>
          <w:b w:val="0"/>
          <w:bCs/>
          <w:sz w:val="24"/>
          <w:szCs w:val="24"/>
        </w:rPr>
        <w:t>Para fins de determinar se a transação tem substância econômica, o valor específico para a entidade da parcela de suas operações afetada pela transação deve refletir os fluxos de caixa após tributação, se houver incidência tributária. Os resultados dessas análises podem ser evidentes sem que a entidade precise realizar cálculos detalhados.</w:t>
      </w:r>
    </w:p>
    <w:p w14:paraId="623F43DE" w14:textId="7EACB32F"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A34. </w:t>
      </w:r>
      <w:r w:rsidR="006A2D38">
        <w:rPr>
          <w:rFonts w:ascii="Calibri" w:hAnsi="Calibri" w:cs="Calibri"/>
          <w:b w:val="0"/>
          <w:bCs/>
          <w:sz w:val="24"/>
          <w:szCs w:val="24"/>
        </w:rPr>
        <w:tab/>
      </w:r>
      <w:r w:rsidRPr="00D81CAD">
        <w:rPr>
          <w:rFonts w:ascii="Calibri" w:hAnsi="Calibri" w:cs="Calibri"/>
          <w:b w:val="0"/>
          <w:bCs/>
          <w:sz w:val="24"/>
          <w:szCs w:val="24"/>
        </w:rPr>
        <w:t>Para os fins desta norma, a substância econômica compreende a substância comercial. Probabilidade de Recebimento da Contraprestação a que a Entidade tem Direito – Consequências do Item 56(e)</w:t>
      </w:r>
    </w:p>
    <w:p w14:paraId="301B861F" w14:textId="426308FC"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A35. </w:t>
      </w:r>
      <w:r w:rsidR="006A2D38">
        <w:rPr>
          <w:rFonts w:ascii="Calibri" w:hAnsi="Calibri" w:cs="Calibri"/>
          <w:b w:val="0"/>
          <w:bCs/>
          <w:sz w:val="24"/>
          <w:szCs w:val="24"/>
        </w:rPr>
        <w:tab/>
      </w:r>
      <w:r w:rsidRPr="00D81CAD">
        <w:rPr>
          <w:rFonts w:ascii="Calibri" w:hAnsi="Calibri" w:cs="Calibri"/>
          <w:b w:val="0"/>
          <w:bCs/>
          <w:sz w:val="24"/>
          <w:szCs w:val="24"/>
        </w:rPr>
        <w:t>A entidade deve exercer julgamento ao considerar os fatos e circunstâncias existentes na celebração do acordo vinculante, para avaliar a capacidade e a intenção do provedor de recursos, no início do acordo, de pagar a contraprestação esperada em data futura.</w:t>
      </w:r>
    </w:p>
    <w:p w14:paraId="2AF53160" w14:textId="6C5C8F93"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A36. </w:t>
      </w:r>
      <w:r w:rsidR="006A2D38">
        <w:rPr>
          <w:rFonts w:ascii="Calibri" w:hAnsi="Calibri" w:cs="Calibri"/>
          <w:b w:val="0"/>
          <w:bCs/>
          <w:sz w:val="24"/>
          <w:szCs w:val="24"/>
        </w:rPr>
        <w:tab/>
      </w:r>
      <w:r w:rsidRPr="00D81CAD">
        <w:rPr>
          <w:rFonts w:ascii="Calibri" w:hAnsi="Calibri" w:cs="Calibri"/>
          <w:b w:val="0"/>
          <w:bCs/>
          <w:sz w:val="24"/>
          <w:szCs w:val="24"/>
        </w:rPr>
        <w:t>A entidade deve avaliar a possibilidade de recebimento no início do acordo vinculante, com base em sua melhor estimativa dos riscos associados ao provedor de recursos no acordo vinculante. Essa avaliação inicial pode diferir da contraprestação efetivamente recebida em momento posterior, em decorrência de mudanças nas condições ou nas expectativas. Tais mudanças seriam refletidas como perda por redução ao valor recuperável (redução em relação às circunstâncias iniciais) ou como reconhecimento da contraprestação integral (montante superior ao recebimento esperado determinado no início do acordo).</w:t>
      </w:r>
    </w:p>
    <w:p w14:paraId="1B73E8C0" w14:textId="35FCE70D"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A37. </w:t>
      </w:r>
      <w:r w:rsidR="006A2D38">
        <w:rPr>
          <w:rFonts w:ascii="Calibri" w:hAnsi="Calibri" w:cs="Calibri"/>
          <w:b w:val="0"/>
          <w:bCs/>
          <w:sz w:val="24"/>
          <w:szCs w:val="24"/>
        </w:rPr>
        <w:tab/>
      </w:r>
      <w:r w:rsidRPr="00D81CAD">
        <w:rPr>
          <w:rFonts w:ascii="Calibri" w:hAnsi="Calibri" w:cs="Calibri"/>
          <w:b w:val="0"/>
          <w:bCs/>
          <w:sz w:val="24"/>
          <w:szCs w:val="24"/>
        </w:rPr>
        <w:t>A concessão de preço pode ser prevista como parte do acordo vinculante. A concessão de preço é geralmente conhecida pelas partes no início do acordo vinculante, de forma implícita ou explícita, e pode ser informada pelo histórico entre as partes. Esta norma normalmente mensura a receita com base na contraprestação da transação a que a entidade espera ter direito, e não no montante que espera vir a receber efetivamente. A receita é ajustada por descontos, abatimentos, reembolsos, créditos, concessões de preço, incentivos, bônus de desempenho, penalidades ou outros itens semelhantes, mas não é reduzida por perdas por redução ao valor recuperável. Contudo, quando a entidade fornece bens ou serviços e aceita do provedor de recursos contraprestação inferior ao preço estipulado no acordo vinculante, a aceitação do montante menor representa concessão implícita de preço (ver itens 109 e 115(b)). A entidade avalia se esse montante menor de contraprestação, já considerada a concessão implícita de preço, atende ao critério de probabilidade de recebimento previsto no item 56(e).</w:t>
      </w:r>
    </w:p>
    <w:p w14:paraId="48B4BC0E" w14:textId="42389FE2"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A38. </w:t>
      </w:r>
      <w:r w:rsidR="006A2D38">
        <w:rPr>
          <w:rFonts w:ascii="Calibri" w:hAnsi="Calibri" w:cs="Calibri"/>
          <w:b w:val="0"/>
          <w:bCs/>
          <w:sz w:val="24"/>
          <w:szCs w:val="24"/>
        </w:rPr>
        <w:tab/>
      </w:r>
      <w:r w:rsidRPr="00D81CAD">
        <w:rPr>
          <w:rFonts w:ascii="Calibri" w:hAnsi="Calibri" w:cs="Calibri"/>
          <w:b w:val="0"/>
          <w:bCs/>
          <w:sz w:val="24"/>
          <w:szCs w:val="24"/>
        </w:rPr>
        <w:t>Em alguns acordos vinculantes, as entidades são compelidas por lei a fornecer determinados bens ou serviços (como água e energia elétrica) a todos os cidadãos, independentemente de estes terem a intenção ou a capacidade de pagar por eles.</w:t>
      </w:r>
    </w:p>
    <w:p w14:paraId="589F48AA" w14:textId="115A89DB"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A39. </w:t>
      </w:r>
      <w:r w:rsidR="006A2D38">
        <w:rPr>
          <w:rFonts w:ascii="Calibri" w:hAnsi="Calibri" w:cs="Calibri"/>
          <w:b w:val="0"/>
          <w:bCs/>
          <w:sz w:val="24"/>
          <w:szCs w:val="24"/>
        </w:rPr>
        <w:tab/>
      </w:r>
      <w:r w:rsidRPr="00D81CAD">
        <w:rPr>
          <w:rFonts w:ascii="Calibri" w:hAnsi="Calibri" w:cs="Calibri"/>
          <w:b w:val="0"/>
          <w:bCs/>
          <w:sz w:val="24"/>
          <w:szCs w:val="24"/>
        </w:rPr>
        <w:t>Quando o pagamento da contraprestação, deduzida qualquer concessão de preço, não for provável em relação à entrega do bem ou do serviço a determinados grupos de cidadãos, não se atende ao critério de identificação do acordo vinculante previsto no item 56(e). Nessas circunstâncias, em que o recebimento da contraprestação, deduzida qualquer concessão de preço, não é provável no início do acordo vinculante, a entidade deve aplicar o item 58 desta norma.</w:t>
      </w:r>
    </w:p>
    <w:p w14:paraId="71B38AF4"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Descumprimento dos Termos e Condições do Acordo Vinculante</w:t>
      </w:r>
    </w:p>
    <w:p w14:paraId="0FE6B3BF" w14:textId="5967477C"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A40. </w:t>
      </w:r>
      <w:r w:rsidR="006A2D38">
        <w:rPr>
          <w:rFonts w:ascii="Calibri" w:hAnsi="Calibri" w:cs="Calibri"/>
          <w:b w:val="0"/>
          <w:bCs/>
          <w:sz w:val="24"/>
          <w:szCs w:val="24"/>
        </w:rPr>
        <w:tab/>
      </w:r>
      <w:r w:rsidRPr="00D81CAD">
        <w:rPr>
          <w:rFonts w:ascii="Calibri" w:hAnsi="Calibri" w:cs="Calibri"/>
          <w:b w:val="0"/>
          <w:bCs/>
          <w:sz w:val="24"/>
          <w:szCs w:val="24"/>
        </w:rPr>
        <w:t>O tratamento contábil do descumprimento dos termos e condições do acordo vinculante depende:</w:t>
      </w:r>
    </w:p>
    <w:p w14:paraId="208A58AA" w14:textId="4470EFBE" w:rsidR="00D81CAD" w:rsidRPr="00D81CAD" w:rsidRDefault="00D81CAD" w:rsidP="00C90136">
      <w:pPr>
        <w:pStyle w:val="IASBSectionTitle1NonInd"/>
        <w:numPr>
          <w:ilvl w:val="1"/>
          <w:numId w:val="8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da existência de obrigações de cumprimento remanescentes não concluídas no acordo;</w:t>
      </w:r>
    </w:p>
    <w:p w14:paraId="76784706" w14:textId="3BAA311A" w:rsidR="00D81CAD" w:rsidRPr="00D81CAD" w:rsidRDefault="00D81CAD" w:rsidP="00C90136">
      <w:pPr>
        <w:pStyle w:val="IASBSectionTitle1NonInd"/>
        <w:numPr>
          <w:ilvl w:val="1"/>
          <w:numId w:val="8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do momento em que ocorreu o descumprimento — isto é, se ocorreu no período em que foi descoberto ou em período anterior; e</w:t>
      </w:r>
    </w:p>
    <w:p w14:paraId="7F49A624" w14:textId="0B2A8D90" w:rsidR="00D81CAD" w:rsidRPr="00D81CAD" w:rsidRDefault="00D81CAD" w:rsidP="00C90136">
      <w:pPr>
        <w:pStyle w:val="IASBSectionTitle1NonInd"/>
        <w:numPr>
          <w:ilvl w:val="1"/>
          <w:numId w:val="83"/>
        </w:numPr>
        <w:pBdr>
          <w:bottom w:val="none" w:sz="0" w:space="0" w:color="auto"/>
        </w:pBdr>
        <w:spacing w:before="100" w:after="240"/>
        <w:jc w:val="both"/>
        <w:rPr>
          <w:rFonts w:ascii="Calibri" w:hAnsi="Calibri" w:cs="Calibri"/>
          <w:b w:val="0"/>
          <w:bCs/>
          <w:sz w:val="24"/>
          <w:szCs w:val="24"/>
        </w:rPr>
      </w:pPr>
      <w:proofErr w:type="spellStart"/>
      <w:r w:rsidRPr="00D81CAD">
        <w:rPr>
          <w:rFonts w:ascii="Calibri" w:hAnsi="Calibri" w:cs="Calibri"/>
          <w:b w:val="0"/>
          <w:bCs/>
          <w:sz w:val="24"/>
          <w:szCs w:val="24"/>
        </w:rPr>
        <w:t>da</w:t>
      </w:r>
      <w:proofErr w:type="spellEnd"/>
      <w:r w:rsidRPr="00D81CAD">
        <w:rPr>
          <w:rFonts w:ascii="Calibri" w:hAnsi="Calibri" w:cs="Calibri"/>
          <w:b w:val="0"/>
          <w:bCs/>
          <w:sz w:val="24"/>
          <w:szCs w:val="24"/>
        </w:rPr>
        <w:t xml:space="preserve"> razão do descumprimento.</w:t>
      </w:r>
    </w:p>
    <w:p w14:paraId="4777A1BF" w14:textId="6A2E5156"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A41. </w:t>
      </w:r>
      <w:r w:rsidR="006A2D38">
        <w:rPr>
          <w:rFonts w:ascii="Calibri" w:hAnsi="Calibri" w:cs="Calibri"/>
          <w:b w:val="0"/>
          <w:bCs/>
          <w:sz w:val="24"/>
          <w:szCs w:val="24"/>
        </w:rPr>
        <w:tab/>
      </w:r>
      <w:r w:rsidRPr="00D81CAD">
        <w:rPr>
          <w:rFonts w:ascii="Calibri" w:hAnsi="Calibri" w:cs="Calibri"/>
          <w:b w:val="0"/>
          <w:bCs/>
          <w:sz w:val="24"/>
          <w:szCs w:val="24"/>
        </w:rPr>
        <w:t xml:space="preserve">Se o descumprimento ocorrer no período corrente e for identificado antes da autorização para emissão das demonstrações contábeis, a entidade reconhecerá um passivo pelo montante a ser devolvido ao provedor de recursos e </w:t>
      </w:r>
      <w:proofErr w:type="spellStart"/>
      <w:r w:rsidRPr="00D81CAD">
        <w:rPr>
          <w:rFonts w:ascii="Calibri" w:hAnsi="Calibri" w:cs="Calibri"/>
          <w:b w:val="0"/>
          <w:bCs/>
          <w:sz w:val="24"/>
          <w:szCs w:val="24"/>
        </w:rPr>
        <w:t>desreconhecer</w:t>
      </w:r>
      <w:proofErr w:type="spellEnd"/>
      <w:r w:rsidRPr="00D81CAD">
        <w:rPr>
          <w:rFonts w:ascii="Calibri" w:hAnsi="Calibri" w:cs="Calibri"/>
          <w:b w:val="0"/>
          <w:bCs/>
          <w:sz w:val="24"/>
          <w:szCs w:val="24"/>
        </w:rPr>
        <w:t xml:space="preserve"> qualquer receita reconhecida durante o período a que se referem as demonstrações contábeis.</w:t>
      </w:r>
    </w:p>
    <w:p w14:paraId="5385012A" w14:textId="0DF342A9"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A42. </w:t>
      </w:r>
      <w:r w:rsidR="006A2D38">
        <w:rPr>
          <w:rFonts w:ascii="Calibri" w:hAnsi="Calibri" w:cs="Calibri"/>
          <w:b w:val="0"/>
          <w:bCs/>
          <w:sz w:val="24"/>
          <w:szCs w:val="24"/>
        </w:rPr>
        <w:tab/>
      </w:r>
      <w:r w:rsidRPr="00D81CAD">
        <w:rPr>
          <w:rFonts w:ascii="Calibri" w:hAnsi="Calibri" w:cs="Calibri"/>
          <w:b w:val="0"/>
          <w:bCs/>
          <w:sz w:val="24"/>
          <w:szCs w:val="24"/>
        </w:rPr>
        <w:t>Quando se determinar que o descumprimento ocorreu em período anterior, o tratamento contábil será definido mediante a avaliação de se o descumprimento resultou em:</w:t>
      </w:r>
    </w:p>
    <w:p w14:paraId="308A8DDD" w14:textId="568573C7" w:rsidR="00D81CAD" w:rsidRPr="00D81CAD" w:rsidRDefault="00D81CAD" w:rsidP="00C90136">
      <w:pPr>
        <w:pStyle w:val="IASBSectionTitle1NonInd"/>
        <w:numPr>
          <w:ilvl w:val="1"/>
          <w:numId w:val="8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mudança de estimativa contábil, tal como definida na NBC TSP 23 – Políticas Contábeis, Mudança de Estimativa e Retificação de Erro. As estimativas contábeis são utilizadas quando itens das demonstrações contábeis não podem ser mensurados com precisão e a sua mensuração pode exigir julgamento, conforme descrito na NBC TSP 23;</w:t>
      </w:r>
    </w:p>
    <w:p w14:paraId="4E711673" w14:textId="58B77E4C" w:rsidR="00D81CAD" w:rsidRPr="00D81CAD" w:rsidRDefault="00D81CAD" w:rsidP="00C90136">
      <w:pPr>
        <w:pStyle w:val="IASBSectionTitle1NonInd"/>
        <w:numPr>
          <w:ilvl w:val="1"/>
          <w:numId w:val="8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erro de período anterior, decorrente da falta de uso, ou do uso incorreto, de informação de representação fidedigna que estava disponível quando da autorização para emissão das demonstrações contábeis do período, ou que razoavelmente se esperaria que tivesse sido obtida; ou</w:t>
      </w:r>
    </w:p>
    <w:p w14:paraId="63771856" w14:textId="1274FDC2" w:rsidR="00D81CAD" w:rsidRPr="00D81CAD" w:rsidRDefault="00D81CAD" w:rsidP="00C90136">
      <w:pPr>
        <w:pStyle w:val="IASBSectionTitle1NonInd"/>
        <w:numPr>
          <w:ilvl w:val="1"/>
          <w:numId w:val="8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evento passado distinto, porque o montante reconhecido nas demonstrações contábeis de período anterior não é montante estimado e baseou-se no uso de informação de representação fidedigna disponível na data da aprovação das demonstrações contábeis do período correspondente.</w:t>
      </w:r>
    </w:p>
    <w:p w14:paraId="6AED7DEC"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Identificação das Obrigações de Cumprimento no Acordo Vinculante (itens 68–77)</w:t>
      </w:r>
    </w:p>
    <w:p w14:paraId="3404A90B"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Promessas de Utilização de Recursos</w:t>
      </w:r>
    </w:p>
    <w:p w14:paraId="31D5CA76" w14:textId="48510EE2"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A43. </w:t>
      </w:r>
      <w:r w:rsidR="006A2D38">
        <w:rPr>
          <w:rFonts w:ascii="Calibri" w:hAnsi="Calibri" w:cs="Calibri"/>
          <w:b w:val="0"/>
          <w:bCs/>
          <w:sz w:val="24"/>
          <w:szCs w:val="24"/>
        </w:rPr>
        <w:tab/>
      </w:r>
      <w:r w:rsidRPr="00D81CAD">
        <w:rPr>
          <w:rFonts w:ascii="Calibri" w:hAnsi="Calibri" w:cs="Calibri"/>
          <w:b w:val="0"/>
          <w:bCs/>
          <w:sz w:val="24"/>
          <w:szCs w:val="24"/>
        </w:rPr>
        <w:t>Obrigação de cumprimento é a promessa da entidade, em um acordo vinculante, de utilizar recursos internamente para um bem ou serviço distinto, ou de transferir bem ou serviço distinto a um comprador (isto é, ao provedor de recursos) ou a um terceiro beneficiário. Os objetivos da obrigação de cumprimento podem ser adicionais aos objetivos de prestação de serviços da entidade, ou objetivos suplementares assumidos por ela por meio do acordo vinculante. A promessa de utilizar recursos resulta em outros recursos (isto é, bens ou serviços distintos que conferem direitos a benefícios econômicos ou a potencial de serviços, ou a ambos) para a própria entidade que reporta a informação ou para outra parte externa (o comprador ou um terceiro beneficiário; ver item A49 para orientações adicionais). A entidade também pode receber o benefício do bem ou serviço, mas direcionar o uso desse benefício a outras partes.</w:t>
      </w:r>
    </w:p>
    <w:p w14:paraId="71C4E4EF" w14:textId="68B4C47F"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A44. </w:t>
      </w:r>
      <w:r w:rsidR="006A2D38">
        <w:rPr>
          <w:rFonts w:ascii="Calibri" w:hAnsi="Calibri" w:cs="Calibri"/>
          <w:b w:val="0"/>
          <w:bCs/>
          <w:sz w:val="24"/>
          <w:szCs w:val="24"/>
        </w:rPr>
        <w:tab/>
      </w:r>
      <w:r w:rsidRPr="00D81CAD">
        <w:rPr>
          <w:rFonts w:ascii="Calibri" w:hAnsi="Calibri" w:cs="Calibri"/>
          <w:b w:val="0"/>
          <w:bCs/>
          <w:sz w:val="24"/>
          <w:szCs w:val="24"/>
        </w:rPr>
        <w:t>Esta norma exige que a entidade identifique adequadamente as obrigações de cumprimento ao celebrar um acordo vinculante e, em seguida, reconheça a receita quando (ou à medida que) satisfizer cada uma das obrigações de cumprimento identificadas, de acordo com os termos e condições do acordo vinculante.</w:t>
      </w:r>
    </w:p>
    <w:p w14:paraId="298F9D63" w14:textId="79E33884"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A45. </w:t>
      </w:r>
      <w:r w:rsidR="006A2D38">
        <w:rPr>
          <w:rFonts w:ascii="Calibri" w:hAnsi="Calibri" w:cs="Calibri"/>
          <w:b w:val="0"/>
          <w:bCs/>
          <w:sz w:val="24"/>
          <w:szCs w:val="24"/>
        </w:rPr>
        <w:tab/>
      </w:r>
      <w:r w:rsidRPr="00D81CAD">
        <w:rPr>
          <w:rFonts w:ascii="Calibri" w:hAnsi="Calibri" w:cs="Calibri"/>
          <w:b w:val="0"/>
          <w:bCs/>
          <w:sz w:val="24"/>
          <w:szCs w:val="24"/>
        </w:rPr>
        <w:t>No setor público, a identificação das obrigações de cumprimento pode exigir julgamento significativo. Condição necessária para a existência de obrigação de cumprimento é que a promessa seja suficientemente específica para permitir determinar quando essa obrigação é satisfeita. A entidade considera os seguintes fatores para identificar se a promessa é suficientemente específica:</w:t>
      </w:r>
    </w:p>
    <w:p w14:paraId="05959C7C" w14:textId="03F5893C" w:rsidR="00D81CAD" w:rsidRPr="00D81CAD" w:rsidRDefault="00D81CAD" w:rsidP="00C90136">
      <w:pPr>
        <w:pStyle w:val="IASBSectionTitle1NonInd"/>
        <w:numPr>
          <w:ilvl w:val="1"/>
          <w:numId w:val="8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natureza ou o tipo da promessa de utilizar recursos;</w:t>
      </w:r>
    </w:p>
    <w:p w14:paraId="57A0F964" w14:textId="7D9E7B4A" w:rsidR="00D81CAD" w:rsidRPr="00D81CAD" w:rsidRDefault="00D81CAD" w:rsidP="00C90136">
      <w:pPr>
        <w:pStyle w:val="IASBSectionTitle1NonInd"/>
        <w:numPr>
          <w:ilvl w:val="1"/>
          <w:numId w:val="8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custo ou o valor dos bens ou serviços distintos decorrentes da promessa de utilizar recursos;</w:t>
      </w:r>
    </w:p>
    <w:p w14:paraId="558C61F2" w14:textId="43ECC470" w:rsidR="00D81CAD" w:rsidRPr="00D81CAD" w:rsidRDefault="00D81CAD" w:rsidP="00C90136">
      <w:pPr>
        <w:pStyle w:val="IASBSectionTitle1NonInd"/>
        <w:numPr>
          <w:ilvl w:val="1"/>
          <w:numId w:val="8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quantidade dos bens ou serviços distintos decorrentes da promessa de utilizar recursos; e</w:t>
      </w:r>
    </w:p>
    <w:p w14:paraId="05965AFB" w14:textId="6D38CE95" w:rsidR="00D81CAD" w:rsidRPr="00D81CAD" w:rsidRDefault="00D81CAD" w:rsidP="00C90136">
      <w:pPr>
        <w:pStyle w:val="IASBSectionTitle1NonInd"/>
        <w:numPr>
          <w:ilvl w:val="1"/>
          <w:numId w:val="8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período ao longo do qual ocorre a utilização dos recursos.</w:t>
      </w:r>
    </w:p>
    <w:p w14:paraId="742D0F65" w14:textId="1CFC0DE0"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A46. </w:t>
      </w:r>
      <w:r w:rsidR="006A2D38">
        <w:rPr>
          <w:rFonts w:ascii="Calibri" w:hAnsi="Calibri" w:cs="Calibri"/>
          <w:b w:val="0"/>
          <w:bCs/>
          <w:sz w:val="24"/>
          <w:szCs w:val="24"/>
        </w:rPr>
        <w:tab/>
      </w:r>
      <w:r w:rsidRPr="00D81CAD">
        <w:rPr>
          <w:rFonts w:ascii="Calibri" w:hAnsi="Calibri" w:cs="Calibri"/>
          <w:b w:val="0"/>
          <w:bCs/>
          <w:sz w:val="24"/>
          <w:szCs w:val="24"/>
        </w:rPr>
        <w:t>A existência de indicadores de desempenho relacionados às promessas pode indicar, mas não necessariamente indica, a existência de obrigação de cumprimento tal como definida nesta norma. Indicador de desempenho é uma espécie de medida de desempenho (quantitativa, qualitativa ou descritiva) utilizada para avaliar o êxito e a extensão com que a entidade utiliza recursos, presta serviços e alcança seus objetivos de desempenho na prestação de serviços. O indicador de desempenho é frequentemente uma medida de desempenho de imposição interna, e não uma obrigação de cumprimento.</w:t>
      </w:r>
    </w:p>
    <w:p w14:paraId="7FB48914"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Promessas de Utilizar Recursos Internamente</w:t>
      </w:r>
    </w:p>
    <w:p w14:paraId="4BFBB9FA" w14:textId="0CAD0FD6"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A47. </w:t>
      </w:r>
      <w:r w:rsidR="006A2D38">
        <w:rPr>
          <w:rFonts w:ascii="Calibri" w:hAnsi="Calibri" w:cs="Calibri"/>
          <w:b w:val="0"/>
          <w:bCs/>
          <w:sz w:val="24"/>
          <w:szCs w:val="24"/>
        </w:rPr>
        <w:tab/>
      </w:r>
      <w:r w:rsidRPr="00D81CAD">
        <w:rPr>
          <w:rFonts w:ascii="Calibri" w:hAnsi="Calibri" w:cs="Calibri"/>
          <w:b w:val="0"/>
          <w:bCs/>
          <w:sz w:val="24"/>
          <w:szCs w:val="24"/>
        </w:rPr>
        <w:t>Em muitos casos, a promessa da entidade em um acordo vinculante exige que ela utilize recursos internamente para um bem ou serviço distinto, a fim de alcançar objetivos específicos de prestação de serviços. Exemplos de recursos fornecidos a entidade do setor público em acordo vinculante podem incluir:</w:t>
      </w:r>
    </w:p>
    <w:p w14:paraId="131A9373" w14:textId="15CE469C" w:rsidR="00D81CAD" w:rsidRPr="00D81CAD" w:rsidRDefault="00D81CAD" w:rsidP="00C90136">
      <w:pPr>
        <w:pStyle w:val="IASBSectionTitle1NonInd"/>
        <w:numPr>
          <w:ilvl w:val="1"/>
          <w:numId w:val="8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transferências do governo nacional para governos estaduais, distritais ou municipais;</w:t>
      </w:r>
    </w:p>
    <w:p w14:paraId="7D975E44" w14:textId="25777B8E" w:rsidR="00D81CAD" w:rsidRPr="00D81CAD" w:rsidRDefault="00D81CAD" w:rsidP="00C90136">
      <w:pPr>
        <w:pStyle w:val="IASBSectionTitle1NonInd"/>
        <w:numPr>
          <w:ilvl w:val="1"/>
          <w:numId w:val="8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transferências de governos estaduais ou distritais para governos municipais;</w:t>
      </w:r>
    </w:p>
    <w:p w14:paraId="33085F73" w14:textId="73CBC8DB" w:rsidR="00D81CAD" w:rsidRPr="00D81CAD" w:rsidRDefault="00D81CAD" w:rsidP="00C90136">
      <w:pPr>
        <w:pStyle w:val="IASBSectionTitle1NonInd"/>
        <w:numPr>
          <w:ilvl w:val="1"/>
          <w:numId w:val="8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transferências de governos para outras entidades do setor público;</w:t>
      </w:r>
    </w:p>
    <w:p w14:paraId="63428548" w14:textId="6BE56454" w:rsidR="00D81CAD" w:rsidRPr="00D81CAD" w:rsidRDefault="00D81CAD" w:rsidP="00C90136">
      <w:pPr>
        <w:pStyle w:val="IASBSectionTitle1NonInd"/>
        <w:numPr>
          <w:ilvl w:val="1"/>
          <w:numId w:val="8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transferências para órgãos governamentais criados por lei ou regulamento para desempenhar funções específicas com autonomia operacional, tais como autarquias, agências ou conselhos regionais; e</w:t>
      </w:r>
    </w:p>
    <w:p w14:paraId="0A001871" w14:textId="5A46E493" w:rsidR="00D81CAD" w:rsidRPr="00D81CAD" w:rsidRDefault="00D81CAD" w:rsidP="00C90136">
      <w:pPr>
        <w:pStyle w:val="IASBSectionTitle1NonInd"/>
        <w:numPr>
          <w:ilvl w:val="1"/>
          <w:numId w:val="8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transferências de agências doadoras para governos ou outras entidades do setor público.</w:t>
      </w:r>
    </w:p>
    <w:p w14:paraId="40B64F23" w14:textId="34D9B3CC"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A48. </w:t>
      </w:r>
      <w:r w:rsidR="006A2D38">
        <w:rPr>
          <w:rFonts w:ascii="Calibri" w:hAnsi="Calibri" w:cs="Calibri"/>
          <w:b w:val="0"/>
          <w:bCs/>
          <w:sz w:val="24"/>
          <w:szCs w:val="24"/>
        </w:rPr>
        <w:tab/>
      </w:r>
      <w:r w:rsidRPr="00D81CAD">
        <w:rPr>
          <w:rFonts w:ascii="Calibri" w:hAnsi="Calibri" w:cs="Calibri"/>
          <w:b w:val="0"/>
          <w:bCs/>
          <w:sz w:val="24"/>
          <w:szCs w:val="24"/>
        </w:rPr>
        <w:t>O provedor de recursos no acordo vinculante teria a capacidade de exigir a forma como a entidade utiliza os recursos para alcançar objetivos específicos e de responsabilizá-la pela observância desses termos. As obrigações de cumprimento podem ser impostas por requisitos de acordos vinculantes que estabeleçam a base das transferências, ou podem decorrer do ambiente operacional normal, como no caso do reconhecimento de recebimentos antecipados. Promessas de Utilizar Recursos em Favor de Outra Parte (Provedor de Recursos (Comprador) ou Terceiro Beneficiário)</w:t>
      </w:r>
    </w:p>
    <w:p w14:paraId="2D06D260" w14:textId="1ED36B62"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A49. </w:t>
      </w:r>
      <w:r w:rsidR="006A2D38">
        <w:rPr>
          <w:rFonts w:ascii="Calibri" w:hAnsi="Calibri" w:cs="Calibri"/>
          <w:b w:val="0"/>
          <w:bCs/>
          <w:sz w:val="24"/>
          <w:szCs w:val="24"/>
        </w:rPr>
        <w:tab/>
      </w:r>
      <w:r w:rsidRPr="00D81CAD">
        <w:rPr>
          <w:rFonts w:ascii="Calibri" w:hAnsi="Calibri" w:cs="Calibri"/>
          <w:b w:val="0"/>
          <w:bCs/>
          <w:sz w:val="24"/>
          <w:szCs w:val="24"/>
        </w:rPr>
        <w:t>Em alguns casos, a promessa da entidade em um acordo vinculante exige que ela utilize recursos para transferir bem ou serviço distinto a uma ou mais partes externas (isto é, ao comprador (provedor de recursos) ou a terceiro beneficiário) identificadas no acordo vinculante, em observância aos seus termos e condições. Na prática, a entidade avaliará se mantém o controle dos recursos, ou se estes são convertidos em bem e/ou serviço que deva ser transferido ao provedor de recursos ou a terceiro beneficiário. Nesse caso, o provedor de recursos é, na prática, um comprador de bens ou serviços distintos da entidade.</w:t>
      </w:r>
    </w:p>
    <w:p w14:paraId="79C16C7C" w14:textId="2FCB5303"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A50. </w:t>
      </w:r>
      <w:r w:rsidR="006A2D38">
        <w:rPr>
          <w:rFonts w:ascii="Calibri" w:hAnsi="Calibri" w:cs="Calibri"/>
          <w:b w:val="0"/>
          <w:bCs/>
          <w:sz w:val="24"/>
          <w:szCs w:val="24"/>
        </w:rPr>
        <w:tab/>
      </w:r>
      <w:r w:rsidRPr="00D81CAD">
        <w:rPr>
          <w:rFonts w:ascii="Calibri" w:hAnsi="Calibri" w:cs="Calibri"/>
          <w:b w:val="0"/>
          <w:bCs/>
          <w:sz w:val="24"/>
          <w:szCs w:val="24"/>
        </w:rPr>
        <w:t>Característica essencial que distingue a promessa da entidade de transferir bem ou serviço distinto das demais promessas do acordo vinculante é a identificação clara de uma parte externa que recebe os bens ou serviços distintos. O acordo vinculante que impõe à entidade a obrigação de transferir bem ou serviço distinto a parte externa determinada (isto é, ao comprador ou a terceiro beneficiário determinado) geralmente fornece indicador claro de especificidade e de transferência do controle dos benefícios econômicos e do potencial de serviços dos recursos, da entidade para a parte externa.</w:t>
      </w:r>
    </w:p>
    <w:p w14:paraId="0C6BD96B" w14:textId="263C6DB6"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A51. </w:t>
      </w:r>
      <w:r w:rsidR="006A2D38">
        <w:rPr>
          <w:rFonts w:ascii="Calibri" w:hAnsi="Calibri" w:cs="Calibri"/>
          <w:b w:val="0"/>
          <w:bCs/>
          <w:sz w:val="24"/>
          <w:szCs w:val="24"/>
        </w:rPr>
        <w:tab/>
      </w:r>
      <w:r w:rsidRPr="00D81CAD">
        <w:rPr>
          <w:rFonts w:ascii="Calibri" w:hAnsi="Calibri" w:cs="Calibri"/>
          <w:b w:val="0"/>
          <w:bCs/>
          <w:sz w:val="24"/>
          <w:szCs w:val="24"/>
        </w:rPr>
        <w:t>Conforme o acordo vinculante, os bens ou serviços prometidos em uma obrigação de cumprimento podem incluir, entre outros:</w:t>
      </w:r>
    </w:p>
    <w:p w14:paraId="2080A7D4" w14:textId="20E42DDD" w:rsidR="00D81CAD" w:rsidRPr="00D81CAD"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fornecimento de bens produzidos pela entidade (por exemplo, estoques como publicações, ou água fornecida pelo município mediante cobrança);</w:t>
      </w:r>
    </w:p>
    <w:p w14:paraId="02B32E36" w14:textId="6CC0327A" w:rsidR="00D81CAD" w:rsidRPr="00D81CAD"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compra de bens pela entidade e seu fornecimento aos cidadãos (por exemplo, contentores de coleta de resíduos);</w:t>
      </w:r>
    </w:p>
    <w:p w14:paraId="2F0077F4" w14:textId="245D5F31" w:rsidR="00D81CAD" w:rsidRPr="00D81CAD"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revenda de direitos sobre bens ou serviços adquiridos pela entidade (por exemplo, licença de emissão revendida por entidade que atua como principal; ver itens A117–A125);</w:t>
      </w:r>
    </w:p>
    <w:p w14:paraId="4006972C" w14:textId="2D19B1CB" w:rsidR="00D81CAD" w:rsidRPr="00D81CAD"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fornecimento de bens ou serviços pela entidade a terceiros beneficiários (por exemplo, programa de vacinação infantil executado por hospital e financiado por governo para essa finalidade);</w:t>
      </w:r>
    </w:p>
    <w:p w14:paraId="57E2410F" w14:textId="4DC68E2A" w:rsidR="00D81CAD" w:rsidRPr="00D81CAD"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execução, para um comprador, de tarefa especificada no acordo vinculante (por exemplo, gestão de instalações de tratamento de água);</w:t>
      </w:r>
    </w:p>
    <w:p w14:paraId="1DE6C0A1" w14:textId="5548BDCB" w:rsidR="00D81CAD" w:rsidRPr="00D81CAD"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prestação de serviço de manter-se à disposição para fornecer bens ou serviços (por exemplo, equipe de socorristas presente em competição esportiva organizada por grupo comunitário);</w:t>
      </w:r>
    </w:p>
    <w:p w14:paraId="3878B4B5" w14:textId="62A5FB19" w:rsidR="00D81CAD" w:rsidRPr="00D81CAD"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prestação de serviço de intermediar a transferência de bens ou serviços, por outra parte, a comprador ou a terceiro beneficiário (por exemplo, os Correios atuando como agente de outra parte na arrecadação de contas de telefone e de energia elétrica; ver itens A117–A125);</w:t>
      </w:r>
    </w:p>
    <w:p w14:paraId="09B963E4" w14:textId="149ECC92" w:rsidR="00D81CAD" w:rsidRPr="00D81CAD"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concessão de direitos a bens ou serviços a serem fornecidos no futuro, que o comprador possa revender ou fornecer a seus clientes (por exemplo, a secretaria de saúde que fornece medicamentos e suplementos a farmácias promete transferir bem ou serviço adicional às clínicas que adquirem esses medicamentos e suplementos das farmácias);</w:t>
      </w:r>
    </w:p>
    <w:p w14:paraId="2839D707" w14:textId="2B1AB264" w:rsidR="00D81CAD" w:rsidRPr="00D81CAD"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construção, fabricação ou desenvolvimento de ativo por conta de comprador (por exemplo, órgão de obras públicas que constrói instalação recreativa para outro município);</w:t>
      </w:r>
    </w:p>
    <w:p w14:paraId="4DFB0008" w14:textId="3A3A6664" w:rsidR="00D81CAD" w:rsidRPr="00D81CAD"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concessão de licenças (ver itens A168–A182); e</w:t>
      </w:r>
    </w:p>
    <w:p w14:paraId="313D209A" w14:textId="7DDD4D2A" w:rsidR="00D81CAD" w:rsidRPr="00DA1E98" w:rsidRDefault="00D81CAD" w:rsidP="00C90136">
      <w:pPr>
        <w:pStyle w:val="IASBSectionTitle1NonInd"/>
        <w:numPr>
          <w:ilvl w:val="1"/>
          <w:numId w:val="8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concessão de opções </w:t>
      </w:r>
      <w:r w:rsidRPr="00DA1E98">
        <w:rPr>
          <w:rFonts w:ascii="Calibri" w:hAnsi="Calibri" w:cs="Calibri"/>
          <w:b w:val="0"/>
          <w:bCs/>
          <w:sz w:val="24"/>
          <w:szCs w:val="24"/>
        </w:rPr>
        <w:t xml:space="preserve">de compra de bens ou serviços adicionais (quando essas opções conferirem ao comprador um direito </w:t>
      </w:r>
      <w:r w:rsidR="00D113EA" w:rsidRPr="00DA1E98">
        <w:rPr>
          <w:rFonts w:ascii="Calibri" w:hAnsi="Calibri" w:cs="Calibri"/>
          <w:b w:val="0"/>
          <w:bCs/>
          <w:sz w:val="24"/>
          <w:szCs w:val="24"/>
        </w:rPr>
        <w:t xml:space="preserve">material </w:t>
      </w:r>
      <w:r w:rsidRPr="00DA1E98">
        <w:rPr>
          <w:rFonts w:ascii="Calibri" w:hAnsi="Calibri" w:cs="Calibri"/>
          <w:b w:val="0"/>
          <w:bCs/>
          <w:sz w:val="24"/>
          <w:szCs w:val="24"/>
        </w:rPr>
        <w:t>(ver itens A126–A130)).</w:t>
      </w:r>
    </w:p>
    <w:p w14:paraId="11188ACA" w14:textId="7749ADDD"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A1E98">
        <w:rPr>
          <w:rFonts w:ascii="Calibri" w:hAnsi="Calibri" w:cs="Calibri"/>
          <w:b w:val="0"/>
          <w:bCs/>
          <w:sz w:val="24"/>
          <w:szCs w:val="24"/>
        </w:rPr>
        <w:t xml:space="preserve">A52. </w:t>
      </w:r>
      <w:r w:rsidR="006A2D38">
        <w:rPr>
          <w:rFonts w:ascii="Calibri" w:hAnsi="Calibri" w:cs="Calibri"/>
          <w:b w:val="0"/>
          <w:bCs/>
          <w:sz w:val="24"/>
          <w:szCs w:val="24"/>
        </w:rPr>
        <w:tab/>
      </w:r>
      <w:r w:rsidRPr="00DA1E98">
        <w:rPr>
          <w:rFonts w:ascii="Calibri" w:hAnsi="Calibri" w:cs="Calibri"/>
          <w:b w:val="0"/>
          <w:bCs/>
          <w:sz w:val="24"/>
          <w:szCs w:val="24"/>
        </w:rPr>
        <w:t>A entidade aufere e reconhece receita quando satisfaz uma obrigação de cumprimento mediante a transferência de bem ou serviço prometido</w:t>
      </w:r>
      <w:r w:rsidRPr="00D81CAD">
        <w:rPr>
          <w:rFonts w:ascii="Calibri" w:hAnsi="Calibri" w:cs="Calibri"/>
          <w:b w:val="0"/>
          <w:bCs/>
          <w:sz w:val="24"/>
          <w:szCs w:val="24"/>
        </w:rPr>
        <w:t xml:space="preserve"> a comprador ou a terceiro beneficiário. A transferência do bem ou serviço se evidencia quando o comprador ou o terceiro beneficiário obtém o controle dos bens ou serviços prometidos. O item 18 apresenta indicadores de controle, entre os quais:</w:t>
      </w:r>
    </w:p>
    <w:p w14:paraId="75912EDD" w14:textId="207B75B1" w:rsidR="00D81CAD" w:rsidRPr="00D81CAD" w:rsidRDefault="00D81CAD" w:rsidP="00C90136">
      <w:pPr>
        <w:pStyle w:val="IASBSectionTitle1NonInd"/>
        <w:numPr>
          <w:ilvl w:val="1"/>
          <w:numId w:val="8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capacidade de direcionar o uso do ativo e de obter substancialmente todos os benefícios econômicos ou o potencial de serviços dele remanescentes; e</w:t>
      </w:r>
    </w:p>
    <w:p w14:paraId="5DBFB910" w14:textId="3B5ED8F9" w:rsidR="00D81CAD" w:rsidRPr="00D81CAD" w:rsidRDefault="00D81CAD" w:rsidP="00C90136">
      <w:pPr>
        <w:pStyle w:val="IASBSectionTitle1NonInd"/>
        <w:numPr>
          <w:ilvl w:val="1"/>
          <w:numId w:val="8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capacidade de impedir que outros direcionem os benefícios econômicos ou o potencial de serviços incorporados ao ativo. Identificação de Promessas Distintas de Utilizar Recursos em Favor de Outra Parte (Provedor de Recursos (Comprador) ou Terceiro Beneficiário)</w:t>
      </w:r>
    </w:p>
    <w:p w14:paraId="1F2B807E" w14:textId="609FF3D0"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A53. </w:t>
      </w:r>
      <w:r w:rsidR="006A2D38">
        <w:rPr>
          <w:rFonts w:ascii="Calibri" w:hAnsi="Calibri" w:cs="Calibri"/>
          <w:b w:val="0"/>
          <w:bCs/>
          <w:sz w:val="24"/>
          <w:szCs w:val="24"/>
        </w:rPr>
        <w:tab/>
      </w:r>
      <w:r w:rsidRPr="00D81CAD">
        <w:rPr>
          <w:rFonts w:ascii="Calibri" w:hAnsi="Calibri" w:cs="Calibri"/>
          <w:b w:val="0"/>
          <w:bCs/>
          <w:sz w:val="24"/>
          <w:szCs w:val="24"/>
        </w:rPr>
        <w:t>As promessas de utilizar recursos para transferir bens ou serviços distintos a parte externa geralmente têm maior grau de especificidade. Exige-se que a entidade identifique claramente tais obrigações de cumprimento, a fim de realizar análise mais objetiva e contabilizar com precisão o reconhecimento e a mensuração da receita dessas transações.</w:t>
      </w:r>
    </w:p>
    <w:p w14:paraId="62ED27E8" w14:textId="73596E91"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A54. </w:t>
      </w:r>
      <w:r w:rsidR="006A2D38">
        <w:rPr>
          <w:rFonts w:ascii="Calibri" w:hAnsi="Calibri" w:cs="Calibri"/>
          <w:b w:val="0"/>
          <w:bCs/>
          <w:sz w:val="24"/>
          <w:szCs w:val="24"/>
        </w:rPr>
        <w:tab/>
      </w:r>
      <w:r w:rsidRPr="00D81CAD">
        <w:rPr>
          <w:rFonts w:ascii="Calibri" w:hAnsi="Calibri" w:cs="Calibri"/>
          <w:b w:val="0"/>
          <w:bCs/>
          <w:sz w:val="24"/>
          <w:szCs w:val="24"/>
        </w:rPr>
        <w:t>Nos casos em que o acordo vinculante contenha obrigação de cumprimento de transferir bens ou serviços distintos a comprador ou a terceiro beneficiário, o bem ou serviço prometido é distinto se ambos os critérios a seguir forem atendidos (ver item 73):</w:t>
      </w:r>
    </w:p>
    <w:p w14:paraId="3F20C9B8" w14:textId="46BDEBAA" w:rsidR="00D81CAD" w:rsidRPr="00D81CAD" w:rsidRDefault="00D81CAD" w:rsidP="00C90136">
      <w:pPr>
        <w:pStyle w:val="IASBSectionTitle1NonInd"/>
        <w:numPr>
          <w:ilvl w:val="1"/>
          <w:numId w:val="8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a promessa de utilizar recursos para transferir bem ou serviço distinto ao comprador ou ao terceiro beneficiário pode gerar outros recursos que confiram direitos a benefícios econômicos e/ou a potencial de serviços, isoladamente ou em conjunto com outros recursos prontamente disponíveis à parte que recebe o bem ou serviço (isto é, o bem ou serviço é capaz de ser distinto); e</w:t>
      </w:r>
    </w:p>
    <w:p w14:paraId="67E77AE6" w14:textId="7F06A661" w:rsidR="00D81CAD" w:rsidRPr="00D81CAD" w:rsidRDefault="00D81CAD" w:rsidP="00C90136">
      <w:pPr>
        <w:pStyle w:val="IASBSectionTitle1NonInd"/>
        <w:numPr>
          <w:ilvl w:val="1"/>
          <w:numId w:val="8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promessa da entidade de utilizar recursos para transferir bem ou serviço distinto ao comprador ou ao terceiro beneficiário é identificável separadamente das demais promessas do acordo vinculante (isto é, a promessa de transferir o bem ou serviço é distinta dentro do contexto do acordo vinculante).</w:t>
      </w:r>
    </w:p>
    <w:p w14:paraId="3662A857" w14:textId="48F3A21E"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A55. </w:t>
      </w:r>
      <w:r w:rsidR="006A2D38">
        <w:rPr>
          <w:rFonts w:ascii="Calibri" w:hAnsi="Calibri" w:cs="Calibri"/>
          <w:b w:val="0"/>
          <w:bCs/>
          <w:sz w:val="24"/>
          <w:szCs w:val="24"/>
        </w:rPr>
        <w:tab/>
      </w:r>
      <w:r w:rsidRPr="00D81CAD">
        <w:rPr>
          <w:rFonts w:ascii="Calibri" w:hAnsi="Calibri" w:cs="Calibri"/>
          <w:b w:val="0"/>
          <w:bCs/>
          <w:sz w:val="24"/>
          <w:szCs w:val="24"/>
        </w:rPr>
        <w:t>Nesses acordos vinculantes, a promessa de utilizar recursos para transferir bens ou serviços distintos ao comprador ou a terceiro beneficiário pode gerar outros recursos que confiram direitos a benefícios econômicos e/ou a potencial de serviços quando a transferência do bem ou serviço, pela entidade, à parte que os recebe contribuir para que o comprador alcance seus objetivos de prestação de serviços.</w:t>
      </w:r>
    </w:p>
    <w:p w14:paraId="01E0E2D5" w14:textId="459F330A"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A56. </w:t>
      </w:r>
      <w:r w:rsidR="006A2D38">
        <w:rPr>
          <w:rFonts w:ascii="Calibri" w:hAnsi="Calibri" w:cs="Calibri"/>
          <w:b w:val="0"/>
          <w:bCs/>
          <w:sz w:val="24"/>
          <w:szCs w:val="24"/>
        </w:rPr>
        <w:tab/>
      </w:r>
      <w:r w:rsidRPr="00D81CAD">
        <w:rPr>
          <w:rFonts w:ascii="Calibri" w:hAnsi="Calibri" w:cs="Calibri"/>
          <w:b w:val="0"/>
          <w:bCs/>
          <w:sz w:val="24"/>
          <w:szCs w:val="24"/>
        </w:rPr>
        <w:t>As obrigações de cumprimento que exigem a transferência de bens ou serviços prometidos ao comprador ou a terceiro beneficiário são identificáveis separadamente (isto é, distintas) das demais promessas do mesmo acordo vinculante, de modo a permitir que o comprador determine quando essa promessa é satisfeita. Portanto, é possível haver várias obrigações de cumprimento em um único acordo vinculante.</w:t>
      </w:r>
    </w:p>
    <w:p w14:paraId="2B6AB4F6"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Reconhecimento Inicial de Transações de Receita com Acordo Vinculante (item 78)</w:t>
      </w:r>
    </w:p>
    <w:p w14:paraId="37AD01F5" w14:textId="0775CDD2"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A57. </w:t>
      </w:r>
      <w:r w:rsidR="006A2D38">
        <w:rPr>
          <w:rFonts w:ascii="Calibri" w:hAnsi="Calibri" w:cs="Calibri"/>
          <w:b w:val="0"/>
          <w:bCs/>
          <w:sz w:val="24"/>
          <w:szCs w:val="24"/>
        </w:rPr>
        <w:tab/>
      </w:r>
      <w:r w:rsidRPr="00D81CAD">
        <w:rPr>
          <w:rFonts w:ascii="Calibri" w:hAnsi="Calibri" w:cs="Calibri"/>
          <w:b w:val="0"/>
          <w:bCs/>
          <w:sz w:val="24"/>
          <w:szCs w:val="24"/>
        </w:rPr>
        <w:t>De acordo com o item 78, quando o acordo vinculante estiver integralmente não satisfeito, a entidade não deve reconhecer qualquer ativo, passivo ou receita a ele associado, a menos que o acordo vinculante seja oneroso. Os direitos e as obrigações da entidade em acordo vinculante totalmente não satisfeito são interdependentes e inseparáveis. O conjunto de direitos e obrigações constitui único ativo ou passivo, mensurado a zero. Os direitos e as obrigações individuais são reconhecidos como itens (ativos, passivos, receitas e despesas, conforme sua natureza) somente quando (ou à medida que) uma ou mais partes do acordo vinculante satisfizerem suas obrigações.</w:t>
      </w:r>
    </w:p>
    <w:p w14:paraId="0330F484" w14:textId="4D6593D5"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A58. </w:t>
      </w:r>
      <w:r w:rsidR="006A2D38">
        <w:rPr>
          <w:rFonts w:ascii="Calibri" w:hAnsi="Calibri" w:cs="Calibri"/>
          <w:b w:val="0"/>
          <w:bCs/>
          <w:sz w:val="24"/>
          <w:szCs w:val="24"/>
        </w:rPr>
        <w:tab/>
      </w:r>
      <w:r w:rsidRPr="00D81CAD">
        <w:rPr>
          <w:rFonts w:ascii="Calibri" w:hAnsi="Calibri" w:cs="Calibri"/>
          <w:b w:val="0"/>
          <w:bCs/>
          <w:sz w:val="24"/>
          <w:szCs w:val="24"/>
        </w:rPr>
        <w:t>Quando partes do acordo vinculante permanecerem igualmente não satisfeitas, a entidade não deve reconhecer qualquer ativo, passivo ou receita relativo a essas partes. Tais partes igualmente não satisfeitas continuam a constituir único ativo ou passivo, mensurado a zero.</w:t>
      </w:r>
    </w:p>
    <w:p w14:paraId="08211DA2"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Existência e Reconhecimento de Passivo (itens 81–86)</w:t>
      </w:r>
    </w:p>
    <w:p w14:paraId="797A93BC" w14:textId="4CE5221A"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A59. </w:t>
      </w:r>
      <w:r w:rsidR="006A2D38">
        <w:rPr>
          <w:rFonts w:ascii="Calibri" w:hAnsi="Calibri" w:cs="Calibri"/>
          <w:b w:val="0"/>
          <w:bCs/>
          <w:sz w:val="24"/>
          <w:szCs w:val="24"/>
        </w:rPr>
        <w:tab/>
      </w:r>
      <w:r w:rsidRPr="00D81CAD">
        <w:rPr>
          <w:rFonts w:ascii="Calibri" w:hAnsi="Calibri" w:cs="Calibri"/>
          <w:b w:val="0"/>
          <w:bCs/>
          <w:sz w:val="24"/>
          <w:szCs w:val="24"/>
        </w:rPr>
        <w:t>A obrigação de cumprimento da entidade em acordo vinculante pode dar origem a passivo. Passivo é definido como obrigação presente da entidade de transferir recursos em consequência de eventos passados.</w:t>
      </w:r>
    </w:p>
    <w:p w14:paraId="6E8299DB"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Obrigação Presente</w:t>
      </w:r>
    </w:p>
    <w:p w14:paraId="23556052" w14:textId="0D5A237A"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A60. </w:t>
      </w:r>
      <w:r w:rsidR="006A2D38">
        <w:rPr>
          <w:rFonts w:ascii="Calibri" w:hAnsi="Calibri" w:cs="Calibri"/>
          <w:b w:val="0"/>
          <w:bCs/>
          <w:sz w:val="24"/>
          <w:szCs w:val="24"/>
        </w:rPr>
        <w:tab/>
      </w:r>
      <w:r w:rsidRPr="00D81CAD">
        <w:rPr>
          <w:rFonts w:ascii="Calibri" w:hAnsi="Calibri" w:cs="Calibri"/>
          <w:b w:val="0"/>
          <w:bCs/>
          <w:sz w:val="24"/>
          <w:szCs w:val="24"/>
        </w:rPr>
        <w:t>A obrigação presente pode ser legalmente vinculante (isto é, por meios legais ou equivalentes) ou não legalmente vinculante. A obrigação de cumprimento é obrigação presente legalmente vinculante, nas transações de receita com acordos vinculantes, de utilizar recursos em observância aos termos do acordo vinculante. Todos os acordos vinculantes contêm ao menos uma obrigação de cumprimento.</w:t>
      </w:r>
    </w:p>
    <w:p w14:paraId="1D5CE3B6"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Em Consequência de Eventos Passados</w:t>
      </w:r>
    </w:p>
    <w:p w14:paraId="0F988042" w14:textId="560FC59A"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A61. </w:t>
      </w:r>
      <w:r w:rsidR="006A2D38">
        <w:rPr>
          <w:rFonts w:ascii="Calibri" w:hAnsi="Calibri" w:cs="Calibri"/>
          <w:b w:val="0"/>
          <w:bCs/>
          <w:sz w:val="24"/>
          <w:szCs w:val="24"/>
        </w:rPr>
        <w:tab/>
      </w:r>
      <w:r w:rsidRPr="00D81CAD">
        <w:rPr>
          <w:rFonts w:ascii="Calibri" w:hAnsi="Calibri" w:cs="Calibri"/>
          <w:b w:val="0"/>
          <w:bCs/>
          <w:sz w:val="24"/>
          <w:szCs w:val="24"/>
        </w:rPr>
        <w:t xml:space="preserve">As entidades do setor público podem celebrar voluntariamente </w:t>
      </w:r>
      <w:r w:rsidRPr="00DA1E98">
        <w:rPr>
          <w:rFonts w:ascii="Calibri" w:hAnsi="Calibri" w:cs="Calibri"/>
          <w:b w:val="0"/>
          <w:bCs/>
          <w:sz w:val="24"/>
          <w:szCs w:val="24"/>
        </w:rPr>
        <w:t>acordos vinculantes para cumprir seus objetivos de prestação de serviços e obter ativos de governos ou de outras entidades, ou ainda mediante compra ou produção. O passivo pode existir em consequência de eventos passados, especificamente quando:</w:t>
      </w:r>
    </w:p>
    <w:p w14:paraId="687D0DDC" w14:textId="1BE26871" w:rsidR="00D81CAD" w:rsidRPr="00D81CAD" w:rsidRDefault="00D81CAD" w:rsidP="00C90136">
      <w:pPr>
        <w:pStyle w:val="IASBSectionTitle1NonInd"/>
        <w:numPr>
          <w:ilvl w:val="1"/>
          <w:numId w:val="9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celebra acordo vinculante com uma ou mais partes; e</w:t>
      </w:r>
    </w:p>
    <w:p w14:paraId="20899F5E" w14:textId="57CD7DC8" w:rsidR="00D81CAD" w:rsidRPr="00D81CAD" w:rsidRDefault="00D81CAD" w:rsidP="00C90136">
      <w:pPr>
        <w:pStyle w:val="IASBSectionTitle1NonInd"/>
        <w:numPr>
          <w:ilvl w:val="1"/>
          <w:numId w:val="9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provedor de recursos forneceu os recursos prometidos antes de a entidade satisfazer a obrigação ou as obrigações de cumprimento associadas (isto é, a entidade recebeu pagamento antecipado e o acordo vinculante está parcialmente satisfeito). Transações ou eventos cuja ocorrência é esperada no futuro não dão origem, por si só, a obrigações de cumprimento.</w:t>
      </w:r>
    </w:p>
    <w:p w14:paraId="5AB3A8F2"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 de Recursos</w:t>
      </w:r>
    </w:p>
    <w:p w14:paraId="396536EA" w14:textId="361C8D52"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A62. </w:t>
      </w:r>
      <w:r w:rsidR="006A2D38">
        <w:rPr>
          <w:rFonts w:ascii="Calibri" w:hAnsi="Calibri" w:cs="Calibri"/>
          <w:b w:val="0"/>
          <w:bCs/>
          <w:sz w:val="24"/>
          <w:szCs w:val="24"/>
        </w:rPr>
        <w:tab/>
      </w:r>
      <w:r w:rsidRPr="00D81CAD">
        <w:rPr>
          <w:rFonts w:ascii="Calibri" w:hAnsi="Calibri" w:cs="Calibri"/>
          <w:b w:val="0"/>
          <w:bCs/>
          <w:sz w:val="24"/>
          <w:szCs w:val="24"/>
        </w:rPr>
        <w:t>A exequibilidade do acordo vinculante confere a cada parte a capacidade de responsabilizar as demais pela satisfação de suas obrigações de cumprimento, ou de submetê-las às consequências do descumprimento. Quando a entidade tiver recebido recursos após celebrar voluntariamente acordo vinculante, existe passivo se a consequência de a entidade não satisfazer sua obrigação de cumprimento, em decorrência desses eventos passados, for a transferência de recursos a outra parte (por exemplo, ao provedor de recursos). Exemplos de consequências do descumprimento que exigem transferência de recursos incluem, entre outros, a devolução dos recursos ao provedor de recursos ou a incidência de outra forma de penalidade. Tal consequência exige transferência de recursos que a entidade não teria de realizar (isto é, incremental) se não tivesse celebrado voluntariamente o acordo vinculante e recebido do provedor de recursos associados a obrigação não satisfeita ou parcialmente satisfeita (isto é, em consequência de eventos passados).</w:t>
      </w:r>
    </w:p>
    <w:p w14:paraId="7AF8712B"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Satisfação das Obrigações de Cumprimento (itens 87–104)</w:t>
      </w:r>
    </w:p>
    <w:p w14:paraId="281A675F"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Obrigações de Cumprimento de Utilizar Recursos Internamente para Bens ou Serviços</w:t>
      </w:r>
    </w:p>
    <w:p w14:paraId="17FC7EF5" w14:textId="00665D9B"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A63. </w:t>
      </w:r>
      <w:r w:rsidR="006A2D38">
        <w:rPr>
          <w:rFonts w:ascii="Calibri" w:hAnsi="Calibri" w:cs="Calibri"/>
          <w:b w:val="0"/>
          <w:bCs/>
          <w:sz w:val="24"/>
          <w:szCs w:val="24"/>
        </w:rPr>
        <w:tab/>
      </w:r>
      <w:r w:rsidRPr="00D81CAD">
        <w:rPr>
          <w:rFonts w:ascii="Calibri" w:hAnsi="Calibri" w:cs="Calibri"/>
          <w:b w:val="0"/>
          <w:bCs/>
          <w:sz w:val="24"/>
          <w:szCs w:val="24"/>
        </w:rPr>
        <w:t>O item 92 estabelece que a obrigação de cumprimento é satisfeita ao longo do tempo se um dos seguintes critérios for atendido:</w:t>
      </w:r>
    </w:p>
    <w:p w14:paraId="4C9F2F81" w14:textId="23243102" w:rsidR="00D81CAD" w:rsidRPr="00D81CAD" w:rsidRDefault="00D81CAD" w:rsidP="00C90136">
      <w:pPr>
        <w:pStyle w:val="IASBSectionTitle1NonInd"/>
        <w:numPr>
          <w:ilvl w:val="1"/>
          <w:numId w:val="9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a entidade recebe e consome simultaneamente os benefícios econômicos ou o potencial de serviços proporcionados pelo seu desempenho, à medida que o executa (ver itens A64–A65);</w:t>
      </w:r>
    </w:p>
    <w:p w14:paraId="11EE520A" w14:textId="3E78F105" w:rsidR="00D81CAD" w:rsidRPr="00D81CAD" w:rsidRDefault="00D81CAD" w:rsidP="00C90136">
      <w:pPr>
        <w:pStyle w:val="IASBSectionTitle1NonInd"/>
        <w:numPr>
          <w:ilvl w:val="1"/>
          <w:numId w:val="9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desempenho da entidade cria ou aprimora ativo (por exemplo, produto em elaboração) que a entidade controla à medida que o ativo é criado ou aprimorado (ver item A66); ou</w:t>
      </w:r>
    </w:p>
    <w:p w14:paraId="7ECE0BDE" w14:textId="40C317BF" w:rsidR="00D81CAD" w:rsidRPr="00D81CAD" w:rsidRDefault="00D81CAD" w:rsidP="00C90136">
      <w:pPr>
        <w:pStyle w:val="IASBSectionTitle1NonInd"/>
        <w:numPr>
          <w:ilvl w:val="1"/>
          <w:numId w:val="9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tem direito exequível à contraprestação pelo desempenho concluído até a data (ver itens A67–A71). Recebimento e Consumo Simultâneos dos Benefícios Econômicos ou do Potencial de Serviços (item 92(a))</w:t>
      </w:r>
    </w:p>
    <w:p w14:paraId="41AA335E" w14:textId="7221BC7A"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A64. </w:t>
      </w:r>
      <w:r w:rsidR="006A2D38">
        <w:rPr>
          <w:rFonts w:ascii="Calibri" w:hAnsi="Calibri" w:cs="Calibri"/>
          <w:b w:val="0"/>
          <w:bCs/>
          <w:sz w:val="24"/>
          <w:szCs w:val="24"/>
        </w:rPr>
        <w:tab/>
      </w:r>
      <w:r w:rsidRPr="00D81CAD">
        <w:rPr>
          <w:rFonts w:ascii="Calibri" w:hAnsi="Calibri" w:cs="Calibri"/>
          <w:b w:val="0"/>
          <w:bCs/>
          <w:sz w:val="24"/>
          <w:szCs w:val="24"/>
        </w:rPr>
        <w:t>Para alguns tipos de obrigação de cumprimento, a avaliação de que a entidade recebe os benefícios econômicos ou o potencial de serviços proporcionados por seu desempenho, à medida que o executa, e simultaneamente os consome, à medida que os recebe, será direta. São exemplos os serviços rotineiros ou recorrentes (como um serviço voluntário diário) em que o recebimento e o consumo simultâneos dos benefícios econômicos ou do potencial de serviços pela entidade, à medida que satisfaz sua obrigação de cumprimento, podem ser prontamente identificados.</w:t>
      </w:r>
    </w:p>
    <w:p w14:paraId="39817065" w14:textId="134884DE"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A65. </w:t>
      </w:r>
      <w:r w:rsidR="006A2D38">
        <w:rPr>
          <w:rFonts w:ascii="Calibri" w:hAnsi="Calibri" w:cs="Calibri"/>
          <w:b w:val="0"/>
          <w:bCs/>
          <w:sz w:val="24"/>
          <w:szCs w:val="24"/>
        </w:rPr>
        <w:tab/>
      </w:r>
      <w:r w:rsidRPr="00D81CAD">
        <w:rPr>
          <w:rFonts w:ascii="Calibri" w:hAnsi="Calibri" w:cs="Calibri"/>
          <w:b w:val="0"/>
          <w:bCs/>
          <w:sz w:val="24"/>
          <w:szCs w:val="24"/>
        </w:rPr>
        <w:t>Para outros tipos de obrigação de cumprimento, a entidade pode não conseguir identificar prontamente se recebe e consome simultaneamente os benefícios econômicos ou o potencial de serviços decorrentes de seu desempenho, à medida que o executa. Nessas circunstâncias, a obrigação de cumprimento é satisfeita ao longo do tempo se a entidade determinar que outra entidade não precisaria refazer substancialmente o trabalho por ela concluído até a data, caso essa outra entidade viesse a satisfazer a obrigação de cumprimento remanescente. Ao determinar se outra entidade não precisaria refazer substancialmente o trabalho concluído até a data, a entidade deve adotar ambas as premissas a seguir:</w:t>
      </w:r>
    </w:p>
    <w:p w14:paraId="35C1A4F7" w14:textId="7D3BC519" w:rsidR="00D81CAD" w:rsidRPr="00D81CAD" w:rsidRDefault="00D81CAD" w:rsidP="00C90136">
      <w:pPr>
        <w:pStyle w:val="IASBSectionTitle1NonInd"/>
        <w:numPr>
          <w:ilvl w:val="1"/>
          <w:numId w:val="9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desconsiderar eventuais restrições ou limitações práticas do acordo vinculante que, de outro modo, a impediriam de transferir a obrigação de cumprimento remanescente a outra entidade; e</w:t>
      </w:r>
    </w:p>
    <w:p w14:paraId="60E25C23" w14:textId="79054D5C" w:rsidR="00D81CAD" w:rsidRPr="00D81CAD" w:rsidRDefault="00D81CAD" w:rsidP="00C90136">
      <w:pPr>
        <w:pStyle w:val="IASBSectionTitle1NonInd"/>
        <w:numPr>
          <w:ilvl w:val="1"/>
          <w:numId w:val="9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presumir que outra entidade, ao satisfazer o restante da obrigação de cumprimento, não disporia dos benefícios econômicos ou do potencial de serviços de qualquer ativo atualmente controlado pela entidade e que permaneceria sob seu controle caso a obrigação de cumprimento fosse transferida a outra entidade.</w:t>
      </w:r>
    </w:p>
    <w:p w14:paraId="66F5A4B2"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Controla o Ativo à Medida que Ele é Criado ou Aprimorado (item 92(b))</w:t>
      </w:r>
    </w:p>
    <w:p w14:paraId="78BC35C6" w14:textId="601DF3C4"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A66. </w:t>
      </w:r>
      <w:r w:rsidR="006A2D38">
        <w:rPr>
          <w:rFonts w:ascii="Calibri" w:hAnsi="Calibri" w:cs="Calibri"/>
          <w:b w:val="0"/>
          <w:bCs/>
          <w:sz w:val="24"/>
          <w:szCs w:val="24"/>
        </w:rPr>
        <w:tab/>
      </w:r>
      <w:r w:rsidRPr="00D81CAD">
        <w:rPr>
          <w:rFonts w:ascii="Calibri" w:hAnsi="Calibri" w:cs="Calibri"/>
          <w:b w:val="0"/>
          <w:bCs/>
          <w:sz w:val="24"/>
          <w:szCs w:val="24"/>
        </w:rPr>
        <w:t>Ao determinar se a entidade controla o ativo à medida que ele é criado ou aprimorado, de acordo com o item 92(b), a entidade deve aplicar os requisitos de controle previstos nos itens 89–90, 94 e A183–A196. O ativo que está sendo criado ou aprimorado (por exemplo, produto em elaboração) pode ser tangível ou intangível.</w:t>
      </w:r>
    </w:p>
    <w:p w14:paraId="6767E975"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 à Contraprestação pelo Desempenho Concluído até a Data (item 92(c))</w:t>
      </w:r>
    </w:p>
    <w:p w14:paraId="18742983" w14:textId="781D8C1A"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A67. </w:t>
      </w:r>
      <w:r w:rsidR="006A2D38">
        <w:rPr>
          <w:rFonts w:ascii="Calibri" w:hAnsi="Calibri" w:cs="Calibri"/>
          <w:b w:val="0"/>
          <w:bCs/>
          <w:sz w:val="24"/>
          <w:szCs w:val="24"/>
        </w:rPr>
        <w:tab/>
      </w:r>
      <w:r w:rsidRPr="00D81CAD">
        <w:rPr>
          <w:rFonts w:ascii="Calibri" w:hAnsi="Calibri" w:cs="Calibri"/>
          <w:b w:val="0"/>
          <w:bCs/>
          <w:sz w:val="24"/>
          <w:szCs w:val="24"/>
        </w:rPr>
        <w:t>De acordo com os itens 92(c) e 93, a entidade tem direito à contraprestação pelas obrigações de cumprimento concluídas até a data se tiver direito a montante que, no mínimo, a compense por essas obrigações na hipótese de o provedor de recursos ou outra parte rescindir o acordo vinculante por motivos que não sejam a falha da entidade em desempenhar conforme prometido. O montante que compensaria a entidade pelas obrigações de cumprimento concluídas até a data seria aquele que se aproxima do custo total dos bens ou serviços utilizados até a data sem cobrança ou por valor irrisório, ou do preço dos bens ou serviços utilizados até a data (por exemplo, a recuperação dos custos incorridos pela entidade na satisfação da obrigação de cumprimento acrescida de margem razoável), e não a compensação apenas pelo eventual superávit que a entidade deixaria de auferir se o acordo vinculante fosse rescindido. A compensação por margem razoável não precisa ser igual à margem esperada caso o acordo vinculante fosse satisfeito conforme prometido, mas a entidade deve ter direito à compensação por um dos seguintes montantes:</w:t>
      </w:r>
    </w:p>
    <w:p w14:paraId="3B6951AB" w14:textId="23F5577A" w:rsidR="00D81CAD" w:rsidRPr="00D81CAD" w:rsidRDefault="00D81CAD" w:rsidP="00C90136">
      <w:pPr>
        <w:pStyle w:val="IASBSectionTitle1NonInd"/>
        <w:numPr>
          <w:ilvl w:val="1"/>
          <w:numId w:val="9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proporção da margem esperada no acordo vinculante que reflita razoavelmente a extensão do desempenho da entidade no acordo antes da rescisão pelo provedor de recursos (ou por outra parte); ou</w:t>
      </w:r>
    </w:p>
    <w:p w14:paraId="526EE71C" w14:textId="1629A3C3" w:rsidR="00D81CAD" w:rsidRPr="00D81CAD" w:rsidRDefault="00D81CAD" w:rsidP="00C90136">
      <w:pPr>
        <w:pStyle w:val="IASBSectionTitle1NonInd"/>
        <w:numPr>
          <w:ilvl w:val="1"/>
          <w:numId w:val="9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retorno razoável sobre o custo de capital da entidade em acordos vinculantes semelhantes (ou a margem operacional típica da entidade em acordos vinculantes semelhantes), se a margem específica do acordo vinculante for superior ao retorno que a entidade usualmente obtém em acordos vinculantes semelhantes.</w:t>
      </w:r>
    </w:p>
    <w:p w14:paraId="03A4FCC9" w14:textId="2094C2D9"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A68. </w:t>
      </w:r>
      <w:r w:rsidR="006A2D38">
        <w:rPr>
          <w:rFonts w:ascii="Calibri" w:hAnsi="Calibri" w:cs="Calibri"/>
          <w:b w:val="0"/>
          <w:bCs/>
          <w:sz w:val="24"/>
          <w:szCs w:val="24"/>
        </w:rPr>
        <w:tab/>
      </w:r>
      <w:r w:rsidRPr="00D81CAD">
        <w:rPr>
          <w:rFonts w:ascii="Calibri" w:hAnsi="Calibri" w:cs="Calibri"/>
          <w:b w:val="0"/>
          <w:bCs/>
          <w:sz w:val="24"/>
          <w:szCs w:val="24"/>
        </w:rPr>
        <w:t>O direito da entidade à contraprestação pelas obrigações de cumprimento concluídas até a data não precisa ser direito presente e incondicional. Em muitos casos, a entidade terá direito incondicional à contraprestação somente ao atingir marco acordado ou com a satisfação integral da obrigação de cumprimento. Ao avaliar se tem direito à contraprestação pelas obrigações de cumprimento concluídas até a data, a entidade deve considerar se teria direito exequível de reclamar ou de reter a contraprestação relativa a essas obrigações caso o acordo vinculante fosse rescindido antes da conclusão, por motivos que não sejam a falha da entidade em desempenhar conforme prometido.</w:t>
      </w:r>
    </w:p>
    <w:p w14:paraId="6B8255CD" w14:textId="0603CCFC"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A69. </w:t>
      </w:r>
      <w:r w:rsidR="006A2D38">
        <w:rPr>
          <w:rFonts w:ascii="Calibri" w:hAnsi="Calibri" w:cs="Calibri"/>
          <w:b w:val="0"/>
          <w:bCs/>
          <w:sz w:val="24"/>
          <w:szCs w:val="24"/>
        </w:rPr>
        <w:tab/>
      </w:r>
      <w:r w:rsidRPr="00D81CAD">
        <w:rPr>
          <w:rFonts w:ascii="Calibri" w:hAnsi="Calibri" w:cs="Calibri"/>
          <w:b w:val="0"/>
          <w:bCs/>
          <w:sz w:val="24"/>
          <w:szCs w:val="24"/>
        </w:rPr>
        <w:t>Em alguns acordos vinculantes, o provedor de recursos pode ter direito de rescindir o acordo apenas em momentos determinados de sua vigência, ou pode não ter qualquer direito de rescisão. Se o provedor de recursos agir para rescindir o acordo vinculante sem ter, naquele momento, o direito de fazê-lo (inclusive quando deixar de cumprir suas obrigações conforme prometido), o acordo vinculante (ou outras leis) pode conferir à entidade o direito de continuar a utilizar recursos internamente para bens ou serviços distintos, em observância ao acordo vinculante, e de exigir que o provedor de recursos pague a contraprestação prometida em troca das obrigações de cumprimento satisfeitas. Nessas circunstâncias, a entidade tem direito à contraprestação pelas obrigações de cumprimento concluídas até a data, porque tem o direito de continuar a desempenhar suas obrigações de acordo com o acordo vinculante e de exigir que o provedor de recursos desempenhe as suas (entre as quais o pagamento da contraprestação prometida).</w:t>
      </w:r>
    </w:p>
    <w:p w14:paraId="02228ED1" w14:textId="6B7B979E"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A70. </w:t>
      </w:r>
      <w:r w:rsidR="006A2D38">
        <w:rPr>
          <w:rFonts w:ascii="Calibri" w:hAnsi="Calibri" w:cs="Calibri"/>
          <w:b w:val="0"/>
          <w:bCs/>
          <w:sz w:val="24"/>
          <w:szCs w:val="24"/>
        </w:rPr>
        <w:tab/>
      </w:r>
      <w:r w:rsidRPr="00D81CAD">
        <w:rPr>
          <w:rFonts w:ascii="Calibri" w:hAnsi="Calibri" w:cs="Calibri"/>
          <w:b w:val="0"/>
          <w:bCs/>
          <w:sz w:val="24"/>
          <w:szCs w:val="24"/>
        </w:rPr>
        <w:t>Ao avaliar a existência e a exequibilidade do direito à contraprestação pelas obrigações de cumprimento concluídas até a data, a entidade deve considerar os termos do acordo vinculante, bem como qualquer norma legal ou precedente judicial que possa complementá-los ou prevalecer sobre eles. Isso inclui a avaliação de se:</w:t>
      </w:r>
    </w:p>
    <w:p w14:paraId="02CD866D" w14:textId="3168B054" w:rsidR="00D81CAD" w:rsidRPr="00D81CAD" w:rsidRDefault="00D81CAD" w:rsidP="00C90136">
      <w:pPr>
        <w:pStyle w:val="IASBSectionTitle1NonInd"/>
        <w:numPr>
          <w:ilvl w:val="1"/>
          <w:numId w:val="9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legislação, a prática administrativa ou o precedente judicial confere à entidade direito à contraprestação pelo desempenho até a data, ainda que esse direito não esteja especificado no acordo vinculante celebrado com o provedor de recursos;</w:t>
      </w:r>
    </w:p>
    <w:p w14:paraId="21AAB44E" w14:textId="184158A4" w:rsidR="00D81CAD" w:rsidRPr="00D81CAD" w:rsidRDefault="00D81CAD" w:rsidP="00C90136">
      <w:pPr>
        <w:pStyle w:val="IASBSectionTitle1NonInd"/>
        <w:numPr>
          <w:ilvl w:val="1"/>
          <w:numId w:val="9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precedente judicial pertinente indica que direitos semelhantes à contraprestação pelo desempenho concluído até a data, em acordos vinculantes semelhantes, não têm eficácia jurídica vinculante; ou</w:t>
      </w:r>
    </w:p>
    <w:p w14:paraId="2CD3E15C" w14:textId="1DF2420E" w:rsidR="00D81CAD" w:rsidRPr="00D81CAD" w:rsidRDefault="00D81CAD" w:rsidP="00C90136">
      <w:pPr>
        <w:pStyle w:val="IASBSectionTitle1NonInd"/>
        <w:numPr>
          <w:ilvl w:val="1"/>
          <w:numId w:val="94"/>
        </w:numPr>
        <w:pBdr>
          <w:bottom w:val="none" w:sz="0" w:space="0" w:color="auto"/>
        </w:pBdr>
        <w:spacing w:before="100" w:after="240"/>
        <w:jc w:val="both"/>
        <w:rPr>
          <w:rFonts w:ascii="Calibri" w:hAnsi="Calibri" w:cs="Calibri"/>
          <w:b w:val="0"/>
          <w:bCs/>
          <w:sz w:val="24"/>
          <w:szCs w:val="24"/>
        </w:rPr>
      </w:pPr>
      <w:proofErr w:type="spellStart"/>
      <w:r w:rsidRPr="00D81CAD">
        <w:rPr>
          <w:rFonts w:ascii="Calibri" w:hAnsi="Calibri" w:cs="Calibri"/>
          <w:b w:val="0"/>
          <w:bCs/>
          <w:sz w:val="24"/>
          <w:szCs w:val="24"/>
        </w:rPr>
        <w:t>a</w:t>
      </w:r>
      <w:proofErr w:type="spellEnd"/>
      <w:r w:rsidRPr="00D81CAD">
        <w:rPr>
          <w:rFonts w:ascii="Calibri" w:hAnsi="Calibri" w:cs="Calibri"/>
          <w:b w:val="0"/>
          <w:bCs/>
          <w:sz w:val="24"/>
          <w:szCs w:val="24"/>
        </w:rPr>
        <w:t xml:space="preserve"> prática habitual da entidade de optar por não exigir o direito à contraprestação resultou em que esse direito se tornasse inexequível naquele ambiente jurídico. Contudo, ainda que a entidade possa optar por renunciar ao seu direito à contraprestação em acordos vinculantes semelhantes, ela continuará a ter direito à contraprestação até a data se, no acordo vinculante celebrado com o provedor de recursos, esse direito permanecer exequível.</w:t>
      </w:r>
    </w:p>
    <w:p w14:paraId="57794E21" w14:textId="7F747A97"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A71. </w:t>
      </w:r>
      <w:r w:rsidR="006A2D38">
        <w:rPr>
          <w:rFonts w:ascii="Calibri" w:hAnsi="Calibri" w:cs="Calibri"/>
          <w:b w:val="0"/>
          <w:bCs/>
          <w:sz w:val="24"/>
          <w:szCs w:val="24"/>
        </w:rPr>
        <w:tab/>
      </w:r>
      <w:r w:rsidRPr="00D81CAD">
        <w:rPr>
          <w:rFonts w:ascii="Calibri" w:hAnsi="Calibri" w:cs="Calibri"/>
          <w:b w:val="0"/>
          <w:bCs/>
          <w:sz w:val="24"/>
          <w:szCs w:val="24"/>
        </w:rPr>
        <w:t>O cronograma de pagamentos especificado no acordo vinculante não indica necessariamente se a entidade tem direito exequível à contraprestação pelas obrigações de cumprimento concluídas até a data. Embora o cronograma de pagamentos especifique o momento e o montante da contraprestação devida pelo provedor de recursos, ele pode não constituir evidência do direito da entidade à contraprestação por essas obrigações. Isso porque, por exemplo, o acordo vinculante pode especificar que a contraprestação recebida do provedor de recursos é reembolsável por motivos que não sejam a falha da entidade em desempenhar conforme prometido.</w:t>
      </w:r>
    </w:p>
    <w:p w14:paraId="63B71B4F"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Obrigações de Cumprimento de Transferir Bens ou Serviços a Outra Parte</w:t>
      </w:r>
    </w:p>
    <w:p w14:paraId="029F7EF1" w14:textId="328FDCE1"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A72. </w:t>
      </w:r>
      <w:r w:rsidR="006A2D38">
        <w:rPr>
          <w:rFonts w:ascii="Calibri" w:hAnsi="Calibri" w:cs="Calibri"/>
          <w:b w:val="0"/>
          <w:bCs/>
          <w:sz w:val="24"/>
          <w:szCs w:val="24"/>
        </w:rPr>
        <w:tab/>
      </w:r>
      <w:r w:rsidRPr="00D81CAD">
        <w:rPr>
          <w:rFonts w:ascii="Calibri" w:hAnsi="Calibri" w:cs="Calibri"/>
          <w:b w:val="0"/>
          <w:bCs/>
          <w:sz w:val="24"/>
          <w:szCs w:val="24"/>
        </w:rPr>
        <w:t>O item 95 estabelece que a obrigação de cumprimento é satisfeita ao longo do tempo se um dos seguintes critérios for atendido:</w:t>
      </w:r>
    </w:p>
    <w:p w14:paraId="3BD5A3D7" w14:textId="05758E0E" w:rsidR="00D81CAD" w:rsidRPr="00D81CAD" w:rsidRDefault="00D81CAD" w:rsidP="00C90136">
      <w:pPr>
        <w:pStyle w:val="IASBSectionTitle1NonInd"/>
        <w:numPr>
          <w:ilvl w:val="1"/>
          <w:numId w:val="9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o comprador (o provedor de recursos no acordo vinculante) ou o terceiro beneficiário recebe e consome simultaneamente os benefícios econômicos ou o potencial de serviços proporcionados pelo desempenho da entidade, à medida que ela o executa (ver itens A73–A74);</w:t>
      </w:r>
    </w:p>
    <w:p w14:paraId="0DFB431B" w14:textId="09D76556" w:rsidR="00D81CAD" w:rsidRPr="00D81CAD" w:rsidRDefault="00D81CAD" w:rsidP="00C90136">
      <w:pPr>
        <w:pStyle w:val="IASBSectionTitle1NonInd"/>
        <w:numPr>
          <w:ilvl w:val="1"/>
          <w:numId w:val="9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desempenho da entidade cria ou aprimora ativo (por exemplo, produto em elaboração) que o comprador ou o terceiro beneficiário controla à medida que o ativo é criado ou aprimorado (ver item A75); ou</w:t>
      </w:r>
    </w:p>
    <w:p w14:paraId="7B4A1EAC" w14:textId="27575B33" w:rsidR="00D81CAD" w:rsidRPr="00D81CAD" w:rsidRDefault="00D81CAD" w:rsidP="00C90136">
      <w:pPr>
        <w:pStyle w:val="IASBSectionTitle1NonInd"/>
        <w:numPr>
          <w:ilvl w:val="1"/>
          <w:numId w:val="9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desempenho da entidade não cria ativo com uso alternativo para ela (ver itens A76–A78) e a entidade tem direito exequível à contraprestação pelo desempenho concluído até a data (ver itens A79–A81). Recebimento e Consumo Simultâneos dos Benefícios Econômicos ou do Potencial de Serviços (item 95(a))</w:t>
      </w:r>
    </w:p>
    <w:p w14:paraId="6587B1B4" w14:textId="54197E7A"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A73. </w:t>
      </w:r>
      <w:r w:rsidR="006A2D38">
        <w:rPr>
          <w:rFonts w:ascii="Calibri" w:hAnsi="Calibri" w:cs="Calibri"/>
          <w:b w:val="0"/>
          <w:bCs/>
          <w:sz w:val="24"/>
          <w:szCs w:val="24"/>
        </w:rPr>
        <w:tab/>
      </w:r>
      <w:r w:rsidRPr="00D81CAD">
        <w:rPr>
          <w:rFonts w:ascii="Calibri" w:hAnsi="Calibri" w:cs="Calibri"/>
          <w:b w:val="0"/>
          <w:bCs/>
          <w:sz w:val="24"/>
          <w:szCs w:val="24"/>
        </w:rPr>
        <w:t>Para alguns tipos de obrigação de cumprimento, a avaliação de que o provedor de recursos recebe os benefícios econômicos ou o potencial de serviços do desempenho da entidade, à medida que ela o executa, e simultaneamente os consome, à medida que os recebe, será direta. São exemplos os serviços rotineiros ou recorrentes (como um serviço de limpeza) em que o recebimento e o consumo simultâneos, pelo comprador ou pelo terceiro beneficiário, dos benefícios econômicos ou do potencial de serviços do desempenho da entidade podem ser prontamente identificados.</w:t>
      </w:r>
    </w:p>
    <w:p w14:paraId="21B94519" w14:textId="7115E6E2"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A74. </w:t>
      </w:r>
      <w:r w:rsidR="006A2D38">
        <w:rPr>
          <w:rFonts w:ascii="Calibri" w:hAnsi="Calibri" w:cs="Calibri"/>
          <w:b w:val="0"/>
          <w:bCs/>
          <w:sz w:val="24"/>
          <w:szCs w:val="24"/>
        </w:rPr>
        <w:tab/>
      </w:r>
      <w:r w:rsidRPr="00D81CAD">
        <w:rPr>
          <w:rFonts w:ascii="Calibri" w:hAnsi="Calibri" w:cs="Calibri"/>
          <w:b w:val="0"/>
          <w:bCs/>
          <w:sz w:val="24"/>
          <w:szCs w:val="24"/>
        </w:rPr>
        <w:t>Para outros tipos de obrigação de cumprimento, a entidade pode não conseguir identificar prontamente se o provedor de recursos recebe e consome simultaneamente os benefícios econômicos ou o potencial de serviços decorrentes de seu desempenho, à medida que o executa. Nessas circunstâncias, a obrigação de cumprimento é satisfeita ao longo do tempo se a entidade determinar que outra entidade não precisaria refazer substancialmente o trabalho por ela concluído até a data, caso essa outra entidade viesse a satisfazer a obrigação de cumprimento remanescente perante o provedor de recursos. Ao determinar se outra entidade não precisaria refazer substancialmente o trabalho concluído até a data, a entidade deve adotar ambas as premissas a seguir:</w:t>
      </w:r>
    </w:p>
    <w:p w14:paraId="5B9C897A" w14:textId="391ACB92" w:rsidR="00D81CAD" w:rsidRPr="00D81CAD" w:rsidRDefault="00D81CAD" w:rsidP="00C90136">
      <w:pPr>
        <w:pStyle w:val="IASBSectionTitle1NonInd"/>
        <w:numPr>
          <w:ilvl w:val="1"/>
          <w:numId w:val="9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desconsiderar eventuais restrições ou limitações práticas do acordo vinculante que, de outro modo, a impediriam de transferir a obrigação de cumprimento remanescente a outra entidade; e</w:t>
      </w:r>
    </w:p>
    <w:p w14:paraId="1F52EC68" w14:textId="5400789A" w:rsidR="00D81CAD" w:rsidRPr="00D81CAD" w:rsidRDefault="00D81CAD" w:rsidP="00C90136">
      <w:pPr>
        <w:pStyle w:val="IASBSectionTitle1NonInd"/>
        <w:numPr>
          <w:ilvl w:val="1"/>
          <w:numId w:val="9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presumir que outra entidade, ao satisfazer o restante da obrigação de cumprimento, não disporia dos benefícios econômicos ou do potencial de serviços de qualquer ativo atualmente controlado pela entidade e que permaneceria sob seu controle caso a obrigação de cumprimento fosse transferida a outra entidade.</w:t>
      </w:r>
    </w:p>
    <w:p w14:paraId="4B441883"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Controla o Ativo à Medida que Ele é Criado ou Aprimorado (item 95(b))</w:t>
      </w:r>
    </w:p>
    <w:p w14:paraId="7667B734" w14:textId="19FA0B3C" w:rsidR="009E519A"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A75. </w:t>
      </w:r>
      <w:r w:rsidR="006A2D38">
        <w:rPr>
          <w:rFonts w:ascii="Calibri" w:hAnsi="Calibri" w:cs="Calibri"/>
          <w:b w:val="0"/>
          <w:bCs/>
          <w:sz w:val="24"/>
          <w:szCs w:val="24"/>
        </w:rPr>
        <w:tab/>
      </w:r>
      <w:r w:rsidRPr="00D81CAD">
        <w:rPr>
          <w:rFonts w:ascii="Calibri" w:hAnsi="Calibri" w:cs="Calibri"/>
          <w:b w:val="0"/>
          <w:bCs/>
          <w:sz w:val="24"/>
          <w:szCs w:val="24"/>
        </w:rPr>
        <w:t>Ao determinar se o provedor de recursos controla o ativo à medida que ele é criado ou aprimorado, de acordo com o item 95(b), a entidade deve aplicar os requisitos de controle previstos nos itens 89</w:t>
      </w:r>
      <w:r w:rsidR="009E519A">
        <w:rPr>
          <w:rFonts w:ascii="Calibri" w:hAnsi="Calibri" w:cs="Calibri"/>
          <w:b w:val="0"/>
          <w:bCs/>
          <w:sz w:val="24"/>
          <w:szCs w:val="24"/>
        </w:rPr>
        <w:t xml:space="preserve"> - </w:t>
      </w:r>
      <w:r w:rsidRPr="00D81CAD">
        <w:rPr>
          <w:rFonts w:ascii="Calibri" w:hAnsi="Calibri" w:cs="Calibri"/>
          <w:b w:val="0"/>
          <w:bCs/>
          <w:sz w:val="24"/>
          <w:szCs w:val="24"/>
        </w:rPr>
        <w:t>90, 97 e A183</w:t>
      </w:r>
      <w:r w:rsidR="009E519A">
        <w:rPr>
          <w:rFonts w:ascii="Calibri" w:hAnsi="Calibri" w:cs="Calibri"/>
          <w:b w:val="0"/>
          <w:bCs/>
          <w:sz w:val="24"/>
          <w:szCs w:val="24"/>
        </w:rPr>
        <w:t xml:space="preserve"> - </w:t>
      </w:r>
      <w:r w:rsidRPr="00D81CAD">
        <w:rPr>
          <w:rFonts w:ascii="Calibri" w:hAnsi="Calibri" w:cs="Calibri"/>
          <w:b w:val="0"/>
          <w:bCs/>
          <w:sz w:val="24"/>
          <w:szCs w:val="24"/>
        </w:rPr>
        <w:t xml:space="preserve">A185. O ativo que está sendo criado ou aprimorado (por exemplo, produto em elaboração) pode ser tangível ou intangível. </w:t>
      </w:r>
    </w:p>
    <w:p w14:paraId="110CB599" w14:textId="42CB2994"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 </w:t>
      </w:r>
      <w:r w:rsidR="00350E43">
        <w:rPr>
          <w:rFonts w:ascii="Calibri" w:hAnsi="Calibri" w:cs="Calibri"/>
          <w:b w:val="0"/>
          <w:bCs/>
          <w:sz w:val="24"/>
          <w:szCs w:val="24"/>
        </w:rPr>
        <w:t>s</w:t>
      </w:r>
      <w:r w:rsidRPr="00D81CAD">
        <w:rPr>
          <w:rFonts w:ascii="Calibri" w:hAnsi="Calibri" w:cs="Calibri"/>
          <w:b w:val="0"/>
          <w:bCs/>
          <w:sz w:val="24"/>
          <w:szCs w:val="24"/>
        </w:rPr>
        <w:t xml:space="preserve">atisfação </w:t>
      </w:r>
      <w:r w:rsidR="00FF44FF">
        <w:rPr>
          <w:rFonts w:ascii="Calibri" w:hAnsi="Calibri" w:cs="Calibri"/>
          <w:b w:val="0"/>
          <w:bCs/>
          <w:sz w:val="24"/>
          <w:szCs w:val="24"/>
        </w:rPr>
        <w:t xml:space="preserve">dos Requisitos </w:t>
      </w:r>
      <w:r w:rsidRPr="00D81CAD">
        <w:rPr>
          <w:rFonts w:ascii="Calibri" w:hAnsi="Calibri" w:cs="Calibri"/>
          <w:b w:val="0"/>
          <w:bCs/>
          <w:sz w:val="24"/>
          <w:szCs w:val="24"/>
        </w:rPr>
        <w:t>pela Entidade não Cria Ativo com Uso Alternativo (item 95(c))</w:t>
      </w:r>
    </w:p>
    <w:p w14:paraId="2F9F6A00" w14:textId="288DA99B"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A76. </w:t>
      </w:r>
      <w:r w:rsidR="006A2D38">
        <w:rPr>
          <w:rFonts w:ascii="Calibri" w:hAnsi="Calibri" w:cs="Calibri"/>
          <w:b w:val="0"/>
          <w:bCs/>
          <w:sz w:val="24"/>
          <w:szCs w:val="24"/>
        </w:rPr>
        <w:tab/>
      </w:r>
      <w:r w:rsidRPr="00D81CAD">
        <w:rPr>
          <w:rFonts w:ascii="Calibri" w:hAnsi="Calibri" w:cs="Calibri"/>
          <w:b w:val="0"/>
          <w:bCs/>
          <w:sz w:val="24"/>
          <w:szCs w:val="24"/>
        </w:rPr>
        <w:t>Ao avaliar se o ativo tem uso alternativo para a entidade, de acordo com os itens 95(c) e 96, a entidade deve considerar os efeitos das restrições e limitações práticas do acordo vinculante sobre a sua capacidade de direcionar prontamente esse ativo para outro uso, tal como fornecê-lo a entidade diversa. A possibilidade de o acordo vinculante celebrado com o provedor de recursos ser rescindido não é consideração relevante para avaliar se a entidade seria capaz de direcionar prontamente o ativo para outro uso.</w:t>
      </w:r>
    </w:p>
    <w:p w14:paraId="11B25D6A" w14:textId="5DB06A9C"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A77. </w:t>
      </w:r>
      <w:r w:rsidR="006A2D38">
        <w:rPr>
          <w:rFonts w:ascii="Calibri" w:hAnsi="Calibri" w:cs="Calibri"/>
          <w:b w:val="0"/>
          <w:bCs/>
          <w:sz w:val="24"/>
          <w:szCs w:val="24"/>
        </w:rPr>
        <w:tab/>
      </w:r>
      <w:r w:rsidRPr="00D81CAD">
        <w:rPr>
          <w:rFonts w:ascii="Calibri" w:hAnsi="Calibri" w:cs="Calibri"/>
          <w:b w:val="0"/>
          <w:bCs/>
          <w:sz w:val="24"/>
          <w:szCs w:val="24"/>
        </w:rPr>
        <w:t>A restrição, prevista no acordo vinculante, à capacidade de a entidade direcionar o ativo para outro uso deve ser substantiva para que o ativo não tenha uso alternativo para a entidade. A restrição prevista no acordo vinculante é substantiva se o provedor de recursos puder exigir seus direitos sobre o ativo prometido caso a entidade busque direcioná-lo para outro uso. Em contraste, a restrição não é substantiva se, por exemplo, o ativo for em larga medida intercambiável com outros ativos que a entidade poderia transferir a outro provedor de recursos sem descumprir o acordo vinculante e sem incorrer em custos significativos que, de outro modo, não teriam sido incorridos em relação a esse acordo.</w:t>
      </w:r>
    </w:p>
    <w:p w14:paraId="02B67611" w14:textId="53F6D191"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A78. </w:t>
      </w:r>
      <w:r w:rsidR="006A2D38">
        <w:rPr>
          <w:rFonts w:ascii="Calibri" w:hAnsi="Calibri" w:cs="Calibri"/>
          <w:b w:val="0"/>
          <w:bCs/>
          <w:sz w:val="24"/>
          <w:szCs w:val="24"/>
        </w:rPr>
        <w:tab/>
      </w:r>
      <w:r w:rsidRPr="00D81CAD">
        <w:rPr>
          <w:rFonts w:ascii="Calibri" w:hAnsi="Calibri" w:cs="Calibri"/>
          <w:b w:val="0"/>
          <w:bCs/>
          <w:sz w:val="24"/>
          <w:szCs w:val="24"/>
        </w:rPr>
        <w:t>Existe limitação prática à capacidade de a entidade direcionar o ativo para outro uso se ela viesse a incorrer em perdas econômicas significativas para fazê-lo. A perda econômica significativa pode decorrer de a entidade incorrer em custos significativos para retrabalhar o ativo ou de somente conseguir fornecê-lo com prejuízo significativo. Por exemplo, a entidade pode estar praticamente limitada a redirecionar ativos que tenham especificações de projeto exclusivas de um provedor de recursos ou que estejam localizados em áreas remotas.</w:t>
      </w:r>
    </w:p>
    <w:p w14:paraId="2CDC1363"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 à Contraprestação pelo Desempenho Concluído até a Data (item 95(c))</w:t>
      </w:r>
    </w:p>
    <w:p w14:paraId="11E09310" w14:textId="3ED27AEC"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A79. </w:t>
      </w:r>
      <w:r w:rsidR="006A2D38">
        <w:rPr>
          <w:rFonts w:ascii="Calibri" w:hAnsi="Calibri" w:cs="Calibri"/>
          <w:b w:val="0"/>
          <w:bCs/>
          <w:sz w:val="24"/>
          <w:szCs w:val="24"/>
        </w:rPr>
        <w:tab/>
      </w:r>
      <w:r w:rsidRPr="00D81CAD">
        <w:rPr>
          <w:rFonts w:ascii="Calibri" w:hAnsi="Calibri" w:cs="Calibri"/>
          <w:b w:val="0"/>
          <w:bCs/>
          <w:sz w:val="24"/>
          <w:szCs w:val="24"/>
        </w:rPr>
        <w:t>De acordo com os itens 95(c) e 93, a entidade tem direito à contraprestação pelas obrigações de cumprimento concluídas até a data se tiver direito a montante que, no mínimo, a compense pelo desempenho concluído até a data na hipótese de o provedor de recursos ou outra parte rescindir o acordo vinculante por motivos que não sejam a falha da entidade em desempenhar conforme prometido. O montante que compensaria a entidade pelas obrigações de cumprimento concluídas até a data seria aquele que se aproxima do custo total dos bens ou serviços transferidos até a data sem cobrança ou por valor irrisório, ou do preço dos bens ou serviços transferidos até a data (por exemplo, a recuperação dos custos incorridos pela entidade na satisfação da obrigação de cumprimento acrescida de margem razoável), e não a compensação apenas pelo eventual superávit que a entidade deixaria de auferir se o acordo vinculante fosse rescindido. A compensação por margem razoável não precisa ser igual à margem esperada caso o acordo vinculante fosse satisfeito conforme prometido, mas a entidade deve ter direito à compensação por um dos seguintes montantes:</w:t>
      </w:r>
    </w:p>
    <w:p w14:paraId="6F768BF9" w14:textId="71F68301" w:rsidR="00D81CAD" w:rsidRPr="00D81CAD" w:rsidRDefault="00D81CAD" w:rsidP="00C90136">
      <w:pPr>
        <w:pStyle w:val="IASBSectionTitle1NonInd"/>
        <w:numPr>
          <w:ilvl w:val="1"/>
          <w:numId w:val="9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proporção da margem esperada no acordo vinculante que reflita razoavelmente a extensão do desempenho da entidade no acordo antes da rescisão pelo provedor de recursos (ou por outra parte); ou</w:t>
      </w:r>
    </w:p>
    <w:p w14:paraId="31E4D462" w14:textId="190CA272" w:rsidR="00D81CAD" w:rsidRPr="00D81CAD" w:rsidRDefault="00D81CAD" w:rsidP="00C90136">
      <w:pPr>
        <w:pStyle w:val="IASBSectionTitle1NonInd"/>
        <w:numPr>
          <w:ilvl w:val="1"/>
          <w:numId w:val="9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retorno razoável sobre o custo de capital da entidade em acordos vinculantes semelhantes (ou a margem operacional típica da entidade em acordos vinculantes semelhantes), se a margem específica do acordo vinculante for superior ao retorno que a entidade usualmente obtém em acordos vinculantes semelhantes.</w:t>
      </w:r>
    </w:p>
    <w:p w14:paraId="32B47012" w14:textId="2BC28202"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A80. </w:t>
      </w:r>
      <w:r w:rsidR="006A2D38">
        <w:rPr>
          <w:rFonts w:ascii="Calibri" w:hAnsi="Calibri" w:cs="Calibri"/>
          <w:b w:val="0"/>
          <w:bCs/>
          <w:sz w:val="24"/>
          <w:szCs w:val="24"/>
        </w:rPr>
        <w:tab/>
      </w:r>
      <w:r w:rsidRPr="00D81CAD">
        <w:rPr>
          <w:rFonts w:ascii="Calibri" w:hAnsi="Calibri" w:cs="Calibri"/>
          <w:b w:val="0"/>
          <w:bCs/>
          <w:sz w:val="24"/>
          <w:szCs w:val="24"/>
        </w:rPr>
        <w:t>Em alguns acordos vinculantes, o provedor de recursos pode ter direito de rescindir o acordo apenas em momentos determinados de sua vigência, ou pode não ter qualquer direito de rescisão. Se o provedor de recursos agir para rescindir o acordo vinculante sem ter, naquele momento, o direito de fazê-lo (inclusive quando deixar de cumprir suas obrigações conforme prometido), o acordo vinculante (ou outras leis) pode conferir à entidade o direito de continuar a transferir ao comprador ou ao terceiro beneficiário os bens ou serviços prometidos no acordo e de exigir que o provedor de recursos pague a contraprestação prometida em troca desses bens ou serviços. Nessas circunstâncias, a entidade tem direito à contraprestação pelas obrigações de cumprimento concluídas até a data, porque tem o direito de continuar a desempenhar suas obrigações de acordo com o acordo vinculante e de exigir que o provedor de recursos desempenhe as suas (entre as quais o pagamento da contraprestação prometida).</w:t>
      </w:r>
    </w:p>
    <w:p w14:paraId="4F3C2C6B" w14:textId="60024B22"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A81. </w:t>
      </w:r>
      <w:r w:rsidR="006A2D38">
        <w:rPr>
          <w:rFonts w:ascii="Calibri" w:hAnsi="Calibri" w:cs="Calibri"/>
          <w:b w:val="0"/>
          <w:bCs/>
          <w:sz w:val="24"/>
          <w:szCs w:val="24"/>
        </w:rPr>
        <w:tab/>
      </w:r>
      <w:r w:rsidRPr="00D81CAD">
        <w:rPr>
          <w:rFonts w:ascii="Calibri" w:hAnsi="Calibri" w:cs="Calibri"/>
          <w:b w:val="0"/>
          <w:bCs/>
          <w:sz w:val="24"/>
          <w:szCs w:val="24"/>
        </w:rPr>
        <w:t>A entidade também deve considerar os itens A68, A70 e A71 ao avaliar seu direito à contraprestação pelo desempenho concluído até a data, em relação a obrigações de cumprimento que exijam a transferência de bens ou serviços a outra parte. Aceitação, pelo Provedor de Recursos, da Transferência de Bens ou Serviços Realizada pela Entidade (item 97)</w:t>
      </w:r>
    </w:p>
    <w:p w14:paraId="5280E275" w14:textId="53095155"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A82. </w:t>
      </w:r>
      <w:r w:rsidR="006A2D38">
        <w:rPr>
          <w:rFonts w:ascii="Calibri" w:hAnsi="Calibri" w:cs="Calibri"/>
          <w:b w:val="0"/>
          <w:bCs/>
          <w:sz w:val="24"/>
          <w:szCs w:val="24"/>
        </w:rPr>
        <w:tab/>
      </w:r>
      <w:r w:rsidRPr="00D81CAD">
        <w:rPr>
          <w:rFonts w:ascii="Calibri" w:hAnsi="Calibri" w:cs="Calibri"/>
          <w:b w:val="0"/>
          <w:bCs/>
          <w:sz w:val="24"/>
          <w:szCs w:val="24"/>
        </w:rPr>
        <w:t>De acordo com o item 97(e), a aceitação do ativo pelo provedor de recursos pode indicar que ele obteve o controle do ativo. As cláusulas de aceitação pelo provedor de recursos podem permitir-lhe cancelar o acordo vinculante ou exigir que a entidade adote medida corretiva caso o bem ou serviço não atenda às especificações acordadas. A entidade deve considerar tais cláusulas ao avaliar o momento em que o provedor de recursos obtém o controle do bem ou serviço.</w:t>
      </w:r>
    </w:p>
    <w:p w14:paraId="357C7753" w14:textId="5D8DCD63"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A83. </w:t>
      </w:r>
      <w:r w:rsidR="006A2D38">
        <w:rPr>
          <w:rFonts w:ascii="Calibri" w:hAnsi="Calibri" w:cs="Calibri"/>
          <w:b w:val="0"/>
          <w:bCs/>
          <w:sz w:val="24"/>
          <w:szCs w:val="24"/>
        </w:rPr>
        <w:tab/>
      </w:r>
      <w:r w:rsidRPr="00D81CAD">
        <w:rPr>
          <w:rFonts w:ascii="Calibri" w:hAnsi="Calibri" w:cs="Calibri"/>
          <w:b w:val="0"/>
          <w:bCs/>
          <w:sz w:val="24"/>
          <w:szCs w:val="24"/>
        </w:rPr>
        <w:t>Se a entidade puder determinar objetivamente que o controle do bem ou serviço foi transferido ao provedor de recursos de acordo com as especificações acordadas no acordo vinculante, a aceitação pelo provedor de recursos é formalidade que não afetaria a determinação, pela entidade, do momento em que ele obteve o controle do bem ou serviço. Por exemplo, se a cláusula de aceitação se basear no atendimento de características determinadas de tamanho e peso, a entidade poderá determinar se esses critérios foram atendidos antes de receber a confirmação da aceitação. A experiência da entidade com acordos vinculantes relativos a bens ou serviços semelhantes pode fornecer evidência de que o bem ou serviço fornecido ao comprador ou ao terceiro beneficiário está de acordo com as especificações acordadas no acordo vinculante. Se a receita for reconhecida antes de o provedor de recursos aceitar o ativo, a entidade ainda deve considerar se há obrigações de cumprimento remanescentes (por exemplo, a instalação de equipamento) e avaliar se elas devem ser contabilizadas separadamente.</w:t>
      </w:r>
    </w:p>
    <w:p w14:paraId="02FA764F" w14:textId="240D3BD6"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A84. </w:t>
      </w:r>
      <w:r w:rsidR="006A2D38">
        <w:rPr>
          <w:rFonts w:ascii="Calibri" w:hAnsi="Calibri" w:cs="Calibri"/>
          <w:b w:val="0"/>
          <w:bCs/>
          <w:sz w:val="24"/>
          <w:szCs w:val="24"/>
        </w:rPr>
        <w:tab/>
      </w:r>
      <w:r w:rsidRPr="00D81CAD">
        <w:rPr>
          <w:rFonts w:ascii="Calibri" w:hAnsi="Calibri" w:cs="Calibri"/>
          <w:b w:val="0"/>
          <w:bCs/>
          <w:sz w:val="24"/>
          <w:szCs w:val="24"/>
        </w:rPr>
        <w:t>Contudo, se a entidade não puder determinar objetivamente que o bem ou serviço fornecido ao comprador ou ao terceiro beneficiário está de acordo com as especificações acordadas no acordo vinculante, ela não poderá concluir que o provedor de recursos obteve o controle antes de receber a sua aceitação. Isso porque, nessa circunstância, a entidade não pode determinar que o provedor de recursos tem a capacidade de direcionar o uso do bem ou serviço e de obter substancialmente todos os benefícios econômicos ou o potencial de serviços dele remanescentes.</w:t>
      </w:r>
    </w:p>
    <w:p w14:paraId="5D996F4B" w14:textId="2ABD57A9"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A85. </w:t>
      </w:r>
      <w:r w:rsidR="006A2D38">
        <w:rPr>
          <w:rFonts w:ascii="Calibri" w:hAnsi="Calibri" w:cs="Calibri"/>
          <w:b w:val="0"/>
          <w:bCs/>
          <w:sz w:val="24"/>
          <w:szCs w:val="24"/>
        </w:rPr>
        <w:tab/>
      </w:r>
      <w:r w:rsidRPr="00D81CAD">
        <w:rPr>
          <w:rFonts w:ascii="Calibri" w:hAnsi="Calibri" w:cs="Calibri"/>
          <w:b w:val="0"/>
          <w:bCs/>
          <w:sz w:val="24"/>
          <w:szCs w:val="24"/>
        </w:rPr>
        <w:t>Se a entidade entregar produto a comprador ou a terceiro beneficiário para fins de teste ou avaliação e o provedor de recursos não estiver obrigado a pagar qualquer contraprestação até o término do período de teste, o controle do produto não é transferido ao provedor de recursos antes de ele aceitar o produto ou de transcorrer o período de teste. Métodos de Mensuração do Progresso rumo à Satisfação Integral da Obrigação de Cumprimento (itens 98–104)</w:t>
      </w:r>
    </w:p>
    <w:p w14:paraId="624F6BBC" w14:textId="3CD8BCD8"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A86. </w:t>
      </w:r>
      <w:r w:rsidR="006A2D38">
        <w:rPr>
          <w:rFonts w:ascii="Calibri" w:hAnsi="Calibri" w:cs="Calibri"/>
          <w:b w:val="0"/>
          <w:bCs/>
          <w:sz w:val="24"/>
          <w:szCs w:val="24"/>
        </w:rPr>
        <w:tab/>
      </w:r>
      <w:r w:rsidRPr="00D81CAD">
        <w:rPr>
          <w:rFonts w:ascii="Calibri" w:hAnsi="Calibri" w:cs="Calibri"/>
          <w:b w:val="0"/>
          <w:bCs/>
          <w:sz w:val="24"/>
          <w:szCs w:val="24"/>
        </w:rPr>
        <w:t>Os métodos que podem ser utilizados para mensurar o progresso da entidade rumo à satisfação integral da obrigação de cumprimento ao longo do tempo incluem os seguintes:</w:t>
      </w:r>
    </w:p>
    <w:p w14:paraId="1BE4F3D3" w14:textId="3A7838AE" w:rsidR="00D81CAD" w:rsidRPr="00D81CAD" w:rsidRDefault="00D81CAD" w:rsidP="00C90136">
      <w:pPr>
        <w:pStyle w:val="IASBSectionTitle1NonInd"/>
        <w:numPr>
          <w:ilvl w:val="1"/>
          <w:numId w:val="9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métodos baseados nos produtos (output) (ver itens A87–A91); e</w:t>
      </w:r>
    </w:p>
    <w:p w14:paraId="396AA80A" w14:textId="31234DE5" w:rsidR="00D81CAD" w:rsidRPr="00D81CAD" w:rsidRDefault="00D81CAD" w:rsidP="00C90136">
      <w:pPr>
        <w:pStyle w:val="IASBSectionTitle1NonInd"/>
        <w:numPr>
          <w:ilvl w:val="1"/>
          <w:numId w:val="9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métodos baseados nos insumos (input) (ver itens A92–A95).</w:t>
      </w:r>
    </w:p>
    <w:p w14:paraId="4BBD5EED"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Métodos Baseados nos Produtos (Output)</w:t>
      </w:r>
    </w:p>
    <w:p w14:paraId="3AEF7507" w14:textId="61D18B20"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A87. </w:t>
      </w:r>
      <w:r w:rsidR="006A2D38">
        <w:rPr>
          <w:rFonts w:ascii="Calibri" w:hAnsi="Calibri" w:cs="Calibri"/>
          <w:b w:val="0"/>
          <w:bCs/>
          <w:sz w:val="24"/>
          <w:szCs w:val="24"/>
        </w:rPr>
        <w:tab/>
      </w:r>
      <w:r w:rsidRPr="00D81CAD">
        <w:rPr>
          <w:rFonts w:ascii="Calibri" w:hAnsi="Calibri" w:cs="Calibri"/>
          <w:b w:val="0"/>
          <w:bCs/>
          <w:sz w:val="24"/>
          <w:szCs w:val="24"/>
        </w:rPr>
        <w:t>Os métodos baseados nos produtos (output) reconhecem a receita com fundamento em mensurações diretas do valor, para a entidade que recebe os produtos, das obrigações de cumprimento satisfeitas até a data, em relação às obrigações de cumprimento remanescentes no acordo vinculante. Incluem métodos tais como atividades determinadas executadas até a data, levantamentos do desempenho concluído até a data, avaliações dos resultados alcançados, marcos atingidos, tempo transcorrido e unidades produzidas ou unidades entregues.</w:t>
      </w:r>
    </w:p>
    <w:p w14:paraId="0F695999" w14:textId="3ED3309A"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A88. </w:t>
      </w:r>
      <w:r w:rsidR="006A2D38">
        <w:rPr>
          <w:rFonts w:ascii="Calibri" w:hAnsi="Calibri" w:cs="Calibri"/>
          <w:b w:val="0"/>
          <w:bCs/>
          <w:sz w:val="24"/>
          <w:szCs w:val="24"/>
        </w:rPr>
        <w:tab/>
      </w:r>
      <w:r w:rsidRPr="00D81CAD">
        <w:rPr>
          <w:rFonts w:ascii="Calibri" w:hAnsi="Calibri" w:cs="Calibri"/>
          <w:b w:val="0"/>
          <w:bCs/>
          <w:sz w:val="24"/>
          <w:szCs w:val="24"/>
        </w:rPr>
        <w:t>Atividade determinada é ação específica, declarada em acordo vinculante, que a entidade deve executar e cuja execução o provedor de recursos pode dela exigir, tal como construir um hospital ou realizar determinada pesquisa. Como exemplo detalhado, um provedor de recursos financia agência governamental de ciência (destinatária dos recursos) para conduzir pesquisa e desenvolvimento de substituto vegetal da carne. Qualquer propriedade intelectual desenvolvida pela agência governamental de ciência permanece de sua titularidade. O financiamento é concedido com base em plano de projeto detalhado (com as etapas individuais de pesquisa e desenvolvimento identificadas) apresentado pela agência, e o provedor de recursos exige que ela preste contas ao final de cada etapa. Cada uma dessas etapas constitui atividade determinada, e a receita seria reconhecida quando (ou à medida que) forem concluídas e pelo montante incorrido na conclusão da ação determinada. A exequibilidade do acordo vinculante permite ao provedor de recursos exigir que a entidade utilize recursos para entregar a atividade determinada, sob pena de sujeitar-se às consequências previstas no acordo vinculante para o descumprimento (como a devolução dos recursos ou outra forma de reparação).</w:t>
      </w:r>
    </w:p>
    <w:p w14:paraId="579F0411" w14:textId="46FC65F4"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A89. </w:t>
      </w:r>
      <w:r w:rsidR="006A2D38">
        <w:rPr>
          <w:rFonts w:ascii="Calibri" w:hAnsi="Calibri" w:cs="Calibri"/>
          <w:b w:val="0"/>
          <w:bCs/>
          <w:sz w:val="24"/>
          <w:szCs w:val="24"/>
        </w:rPr>
        <w:tab/>
      </w:r>
      <w:r w:rsidRPr="00D81CAD">
        <w:rPr>
          <w:rFonts w:ascii="Calibri" w:hAnsi="Calibri" w:cs="Calibri"/>
          <w:b w:val="0"/>
          <w:bCs/>
          <w:sz w:val="24"/>
          <w:szCs w:val="24"/>
        </w:rPr>
        <w:t>Ao avaliar se deve aplicar método baseado nos produtos (output) para mensurar seu progresso, a entidade deve considerar se o produto selecionado representaria fidedignamente o seu desempenho rumo à satisfação integral da obrigação de cumprimento. O método baseado nos produtos não representaria fidedignamente o desempenho da entidade se o produto selecionado deixasse de mensurar algumas das promessas de utilizar recursos da maneira especificada. Por exemplo, os métodos baseados em unidades produzidas ou unidades entregues não representariam fidedignamente o desempenho da entidade na satisfação da obrigação de cumprimento se, ao final do período a que se referem as demonstrações contábeis, o desempenho da entidade tiver produzido produtos em elaboração ou produtos acabados controlados pelo provedor de recursos que não estejam incluídos na mensuração do produto.</w:t>
      </w:r>
    </w:p>
    <w:p w14:paraId="0A6BF6F1" w14:textId="5BE00B98"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A90. </w:t>
      </w:r>
      <w:r w:rsidR="006A2D38">
        <w:rPr>
          <w:rFonts w:ascii="Calibri" w:hAnsi="Calibri" w:cs="Calibri"/>
          <w:b w:val="0"/>
          <w:bCs/>
          <w:sz w:val="24"/>
          <w:szCs w:val="24"/>
        </w:rPr>
        <w:tab/>
      </w:r>
      <w:r w:rsidRPr="00D81CAD">
        <w:rPr>
          <w:rFonts w:ascii="Calibri" w:hAnsi="Calibri" w:cs="Calibri"/>
          <w:b w:val="0"/>
          <w:bCs/>
          <w:sz w:val="24"/>
          <w:szCs w:val="24"/>
        </w:rPr>
        <w:t>Como medida prática, nas obrigações de cumprimento em que se exige da entidade a transferência de bem ou serviço distinto a parte externa, se a entidade tiver direito à contraprestação do provedor de recursos em montante que corresponda diretamente ao valor, para este, das obrigações de cumprimento concluídas até a data (por exemplo, acordo vinculante para a prestação de serviço em que a entidade fatura montante fixo por hora de serviço prestado), a entidade pode reconhecer a receita pelo montante que tem direito de faturar.</w:t>
      </w:r>
    </w:p>
    <w:p w14:paraId="6AED2B34" w14:textId="3D29AAC6"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A91. </w:t>
      </w:r>
      <w:r w:rsidR="006A2D38">
        <w:rPr>
          <w:rFonts w:ascii="Calibri" w:hAnsi="Calibri" w:cs="Calibri"/>
          <w:b w:val="0"/>
          <w:bCs/>
          <w:sz w:val="24"/>
          <w:szCs w:val="24"/>
        </w:rPr>
        <w:tab/>
      </w:r>
      <w:r w:rsidRPr="00D81CAD">
        <w:rPr>
          <w:rFonts w:ascii="Calibri" w:hAnsi="Calibri" w:cs="Calibri"/>
          <w:b w:val="0"/>
          <w:bCs/>
          <w:sz w:val="24"/>
          <w:szCs w:val="24"/>
        </w:rPr>
        <w:t>As desvantagens dos métodos baseados nos produtos (output) são o fato de os produtos utilizados para mensurar o progresso poderem não ser diretamente observáveis e de a informação necessária à sua aplicação poder não estar disponível à entidade sem custo excessivo. Por essa razão, pode ser necessário o método baseado nos insumos (input).</w:t>
      </w:r>
    </w:p>
    <w:p w14:paraId="279F57D0"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Métodos Baseados nos Insumos (Input)</w:t>
      </w:r>
    </w:p>
    <w:p w14:paraId="26F88C06" w14:textId="02893EA2"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A92. </w:t>
      </w:r>
      <w:r w:rsidR="006A2D38">
        <w:rPr>
          <w:rFonts w:ascii="Calibri" w:hAnsi="Calibri" w:cs="Calibri"/>
          <w:b w:val="0"/>
          <w:bCs/>
          <w:sz w:val="24"/>
          <w:szCs w:val="24"/>
        </w:rPr>
        <w:tab/>
      </w:r>
      <w:r w:rsidRPr="00D81CAD">
        <w:rPr>
          <w:rFonts w:ascii="Calibri" w:hAnsi="Calibri" w:cs="Calibri"/>
          <w:b w:val="0"/>
          <w:bCs/>
          <w:sz w:val="24"/>
          <w:szCs w:val="24"/>
        </w:rPr>
        <w:t>Os métodos baseados nos insumos (input) reconhecem a receita com fundamento nos esforços ou insumos da entidade para a satisfação da obrigação de cumprimento (por exemplo, recursos consumidos, horas de mão de obra despendidas, gastos elegíveis incorridos, tempo transcorrido ou horas-máquina utilizadas), em relação ao total de insumos esperados para a satisfação dessa obrigação. Se os esforços ou insumos da entidade forem despendidos uniformemente ao longo do período de desempenho, pode ser apropriado que a entidade reconheça a receita de forma linear.</w:t>
      </w:r>
    </w:p>
    <w:p w14:paraId="28208445" w14:textId="66347204"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A93. </w:t>
      </w:r>
      <w:r w:rsidR="006A2D38">
        <w:rPr>
          <w:rFonts w:ascii="Calibri" w:hAnsi="Calibri" w:cs="Calibri"/>
          <w:b w:val="0"/>
          <w:bCs/>
          <w:sz w:val="24"/>
          <w:szCs w:val="24"/>
        </w:rPr>
        <w:tab/>
      </w:r>
      <w:r w:rsidRPr="00D81CAD">
        <w:rPr>
          <w:rFonts w:ascii="Calibri" w:hAnsi="Calibri" w:cs="Calibri"/>
          <w:b w:val="0"/>
          <w:bCs/>
          <w:sz w:val="24"/>
          <w:szCs w:val="24"/>
        </w:rPr>
        <w:t>Gasto elegível é a transferência de recursos incorrida de acordo com os requisitos estabelecidos em acordo vinculante. O acordo vinculante pode exigir que a entidade utilize recursos para finalidade específica, como promover seus objetivos, e incorra em gasto elegível para essa finalidade, sem que exista atividade determinada identificável. Por exemplo, pode ser concedido financiamento a uma universidade para contratar gerente de marketing encarregado de divulgar seus cursos a estudantes estrangeiros. O acordo vinculante especifica que o financiamento deve ser gasto na divulgação da universidade no exterior e que o salário do gerente de marketing, suas despesas de viagem e todo o material promocional utilizado seriam classificados como gastos elegíveis. A exequibilidade do acordo vinculante permite ao provedor de recursos exigir que a entidade utilize recursos para incorrer no gasto elegível, sob pena de sujeitar-se às consequências previstas no acordo vinculante para o descumprimento (como a devolução dos recursos ou outra forma de reparação).</w:t>
      </w:r>
    </w:p>
    <w:p w14:paraId="027F067D" w14:textId="0506E0E5"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A94. </w:t>
      </w:r>
      <w:r w:rsidR="006A2D38">
        <w:rPr>
          <w:rFonts w:ascii="Calibri" w:hAnsi="Calibri" w:cs="Calibri"/>
          <w:b w:val="0"/>
          <w:bCs/>
          <w:sz w:val="24"/>
          <w:szCs w:val="24"/>
        </w:rPr>
        <w:tab/>
      </w:r>
      <w:r w:rsidRPr="00D81CAD">
        <w:rPr>
          <w:rFonts w:ascii="Calibri" w:hAnsi="Calibri" w:cs="Calibri"/>
          <w:b w:val="0"/>
          <w:bCs/>
          <w:sz w:val="24"/>
          <w:szCs w:val="24"/>
        </w:rPr>
        <w:t>O provedor de recursos precisa ser capaz de confirmar que as obrigações de cumprimento da entidade previstas no acordo vinculante foram satisfeitas da maneira especificada. Por isso, a entidade precisa manter documentação apropriada que demonstre que os insumos, tais como quaisquer gastos elegíveis, foram por ela incorridos e estão diretamente relacionados à satisfação das promessas da maneira especificada.</w:t>
      </w:r>
    </w:p>
    <w:p w14:paraId="5E289E75" w14:textId="73EE68B6"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A95. </w:t>
      </w:r>
      <w:r w:rsidR="006A2D38">
        <w:rPr>
          <w:rFonts w:ascii="Calibri" w:hAnsi="Calibri" w:cs="Calibri"/>
          <w:b w:val="0"/>
          <w:bCs/>
          <w:sz w:val="24"/>
          <w:szCs w:val="24"/>
        </w:rPr>
        <w:tab/>
      </w:r>
      <w:r w:rsidRPr="00D81CAD">
        <w:rPr>
          <w:rFonts w:ascii="Calibri" w:hAnsi="Calibri" w:cs="Calibri"/>
          <w:b w:val="0"/>
          <w:bCs/>
          <w:sz w:val="24"/>
          <w:szCs w:val="24"/>
        </w:rPr>
        <w:t>Uma deficiência dos métodos baseados nos insumos (input) é a possível ausência de relação direta entre os insumos da entidade e a satisfação de sua obrigação de cumprimento. Por isso, a entidade deve excluir do método baseado nos insumos os efeitos de quaisquer insumos que, de acordo com o objetivo de mensuração do progresso previsto no item 98, não representem o seu desempenho na satisfação das obrigações de cumprimento. Por exemplo, ao utilizar método baseado nos insumos fundado em custos, pode ser necessário ajustar a mensuração do progresso nas seguintes circunstâncias:</w:t>
      </w:r>
    </w:p>
    <w:p w14:paraId="5753DF6C" w14:textId="373BBABA" w:rsidR="00D81CAD" w:rsidRPr="00D81CAD" w:rsidRDefault="00D81CAD" w:rsidP="00C90136">
      <w:pPr>
        <w:pStyle w:val="IASBSectionTitle1NonInd"/>
        <w:numPr>
          <w:ilvl w:val="1"/>
          <w:numId w:val="9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quando o custo incorrido não contribuir para o progresso da entidade na satisfação da obrigação de cumprimento. Por exemplo, a entidade não reconheceria receita com base em custos incorridos atribuíveis a ineficiências significativas de seu desempenho que não estivessem refletidas na contraprestação da transação do acordo vinculante (por exemplo, os custos de montantes inesperados de materiais, mão de obra ou outros recursos desperdiçados incorridos para satisfazer a obrigação de cumprimento);</w:t>
      </w:r>
    </w:p>
    <w:p w14:paraId="47AF18D0" w14:textId="09774498" w:rsidR="00D81CAD" w:rsidRPr="00D81CAD" w:rsidRDefault="00D81CAD" w:rsidP="00C90136">
      <w:pPr>
        <w:pStyle w:val="IASBSectionTitle1NonInd"/>
        <w:numPr>
          <w:ilvl w:val="1"/>
          <w:numId w:val="9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quando o custo incorrido não for proporcional ao progresso da entidade na satisfação da obrigação de cumprimento. Nessas circunstâncias, a melhor representação do desempenho da entidade pode ser ajustar o método baseado nos insumos para reconhecer receita apenas na extensão do custo incorrido. Por exemplo, representação fidedigna do desempenho da entidade pode ser reconhecer receita em montante igual ao custo do bem utilizado para satisfazer a obrigação de cumprimento, se a entidade esperar, no início do acordo vinculante, que todas as seguintes condições sejam atendidas:</w:t>
      </w:r>
    </w:p>
    <w:p w14:paraId="2357B097" w14:textId="37B95AB5" w:rsidR="00D81CAD" w:rsidRPr="00D81CAD" w:rsidRDefault="00D81CAD" w:rsidP="00C90136">
      <w:pPr>
        <w:pStyle w:val="IASBSectionTitle1NonInd"/>
        <w:numPr>
          <w:ilvl w:val="0"/>
          <w:numId w:val="10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bem não é distinto;</w:t>
      </w:r>
    </w:p>
    <w:p w14:paraId="761E6034" w14:textId="5F7BF090" w:rsidR="00D81CAD" w:rsidRPr="00D81CAD" w:rsidRDefault="00D81CAD" w:rsidP="00C90136">
      <w:pPr>
        <w:pStyle w:val="IASBSectionTitle1NonInd"/>
        <w:numPr>
          <w:ilvl w:val="0"/>
          <w:numId w:val="10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espera-se que a parte que recebe o bem ou serviço obtenha o controle do bem significativamente antes de receber os serviços a ele relacionados;</w:t>
      </w:r>
    </w:p>
    <w:p w14:paraId="065D9272" w14:textId="30C8B561" w:rsidR="00D81CAD" w:rsidRPr="00D81CAD" w:rsidRDefault="00D81CAD" w:rsidP="00C90136">
      <w:pPr>
        <w:pStyle w:val="IASBSectionTitle1NonInd"/>
        <w:numPr>
          <w:ilvl w:val="0"/>
          <w:numId w:val="10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custo do bem transferido é significativo em relação ao total dos custos esperados para satisfazer integralmente a obrigação de cumprimento; e</w:t>
      </w:r>
    </w:p>
    <w:p w14:paraId="4EC7D417" w14:textId="1EE327C0" w:rsidR="00D81CAD" w:rsidRPr="00D81CAD" w:rsidRDefault="00D81CAD" w:rsidP="00C90136">
      <w:pPr>
        <w:pStyle w:val="IASBSectionTitle1NonInd"/>
        <w:numPr>
          <w:ilvl w:val="0"/>
          <w:numId w:val="10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adquire o bem de terceiro e não participa significativamente do seu projeto e da sua fabricação (mas atua como principal, de acordo com os itens A117–A125).</w:t>
      </w:r>
    </w:p>
    <w:p w14:paraId="6320446E"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 de Devolução na Transferência de Bens ou Serviços a Outra Parte (item 118)</w:t>
      </w:r>
    </w:p>
    <w:p w14:paraId="67EE1423" w14:textId="1C33FED0"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A96. </w:t>
      </w:r>
      <w:r w:rsidR="006A2D38">
        <w:rPr>
          <w:rFonts w:ascii="Calibri" w:hAnsi="Calibri" w:cs="Calibri"/>
          <w:b w:val="0"/>
          <w:bCs/>
          <w:sz w:val="24"/>
          <w:szCs w:val="24"/>
        </w:rPr>
        <w:tab/>
      </w:r>
      <w:r w:rsidRPr="00D81CAD">
        <w:rPr>
          <w:rFonts w:ascii="Calibri" w:hAnsi="Calibri" w:cs="Calibri"/>
          <w:b w:val="0"/>
          <w:bCs/>
          <w:sz w:val="24"/>
          <w:szCs w:val="24"/>
        </w:rPr>
        <w:t xml:space="preserve">Em alguns acordos vinculantes, a entidade transfere o controle de produto ao provedor de recursos </w:t>
      </w:r>
      <w:proofErr w:type="gramStart"/>
      <w:r w:rsidRPr="00D81CAD">
        <w:rPr>
          <w:rFonts w:ascii="Calibri" w:hAnsi="Calibri" w:cs="Calibri"/>
          <w:b w:val="0"/>
          <w:bCs/>
          <w:sz w:val="24"/>
          <w:szCs w:val="24"/>
        </w:rPr>
        <w:t>e também</w:t>
      </w:r>
      <w:proofErr w:type="gramEnd"/>
      <w:r w:rsidRPr="00D81CAD">
        <w:rPr>
          <w:rFonts w:ascii="Calibri" w:hAnsi="Calibri" w:cs="Calibri"/>
          <w:b w:val="0"/>
          <w:bCs/>
          <w:sz w:val="24"/>
          <w:szCs w:val="24"/>
        </w:rPr>
        <w:t xml:space="preserve"> lhe concede o direito de devolvê-lo por diversas razões (tais como insatisfação com o produto) e de receber qualquer combinação do seguinte:</w:t>
      </w:r>
    </w:p>
    <w:p w14:paraId="33877D4C" w14:textId="285E56E3" w:rsidR="00D81CAD" w:rsidRPr="00D81CAD" w:rsidRDefault="00D81CAD" w:rsidP="00C90136">
      <w:pPr>
        <w:pStyle w:val="IASBSectionTitle1NonInd"/>
        <w:numPr>
          <w:ilvl w:val="1"/>
          <w:numId w:val="10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reembolso total ou parcial de qualquer contraprestação paga;</w:t>
      </w:r>
    </w:p>
    <w:p w14:paraId="6FDEACBD" w14:textId="46380839" w:rsidR="00D81CAD" w:rsidRPr="00D81CAD" w:rsidRDefault="00D81CAD" w:rsidP="00C90136">
      <w:pPr>
        <w:pStyle w:val="IASBSectionTitle1NonInd"/>
        <w:numPr>
          <w:ilvl w:val="1"/>
          <w:numId w:val="10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crédito compensável com montantes devidos, ou que venham a ser devidos, à entidade; e</w:t>
      </w:r>
    </w:p>
    <w:p w14:paraId="4C95D096" w14:textId="6EA050AA" w:rsidR="00D81CAD" w:rsidRPr="00D81CAD" w:rsidRDefault="00D81CAD" w:rsidP="00C90136">
      <w:pPr>
        <w:pStyle w:val="IASBSectionTitle1NonInd"/>
        <w:numPr>
          <w:ilvl w:val="1"/>
          <w:numId w:val="10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outro produto em troca.</w:t>
      </w:r>
    </w:p>
    <w:p w14:paraId="2A6FE322" w14:textId="11C32C3C"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A97. </w:t>
      </w:r>
      <w:r w:rsidR="006A2D38">
        <w:rPr>
          <w:rFonts w:ascii="Calibri" w:hAnsi="Calibri" w:cs="Calibri"/>
          <w:b w:val="0"/>
          <w:bCs/>
          <w:sz w:val="24"/>
          <w:szCs w:val="24"/>
        </w:rPr>
        <w:tab/>
      </w:r>
      <w:r w:rsidRPr="00D81CAD">
        <w:rPr>
          <w:rFonts w:ascii="Calibri" w:hAnsi="Calibri" w:cs="Calibri"/>
          <w:b w:val="0"/>
          <w:bCs/>
          <w:sz w:val="24"/>
          <w:szCs w:val="24"/>
        </w:rPr>
        <w:t>Para contabilizar a transferência de produtos com direito de devolução (e alguns serviços prestados sujeitos a reembolso), a entidade deve reconhecer:</w:t>
      </w:r>
    </w:p>
    <w:p w14:paraId="2169649F" w14:textId="442F9C07" w:rsidR="00D81CAD" w:rsidRPr="00D81CAD" w:rsidRDefault="00D81CAD" w:rsidP="00C90136">
      <w:pPr>
        <w:pStyle w:val="IASBSectionTitle1NonInd"/>
        <w:numPr>
          <w:ilvl w:val="1"/>
          <w:numId w:val="10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receita pelos produtos transferidos, no montante da contraprestação a que espera ter direito (não se reconhecendo, portanto, receita relativa aos produtos cuja devolução é esperada);</w:t>
      </w:r>
    </w:p>
    <w:p w14:paraId="6345F65C" w14:textId="718181F9" w:rsidR="00D81CAD" w:rsidRPr="00D81CAD" w:rsidRDefault="00D81CAD" w:rsidP="00C90136">
      <w:pPr>
        <w:pStyle w:val="IASBSectionTitle1NonInd"/>
        <w:numPr>
          <w:ilvl w:val="1"/>
          <w:numId w:val="10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passivo de reembolso; e</w:t>
      </w:r>
    </w:p>
    <w:p w14:paraId="0E091605" w14:textId="1064153C" w:rsidR="00D81CAD" w:rsidRPr="00D81CAD" w:rsidRDefault="00D81CAD" w:rsidP="00C90136">
      <w:pPr>
        <w:pStyle w:val="IASBSectionTitle1NonInd"/>
        <w:numPr>
          <w:ilvl w:val="1"/>
          <w:numId w:val="10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ativo (e o correspondente ajuste ao custo das vendas) pelo seu direito de recuperar produtos dos provedores de recursos na liquidação do passivo de reembolso.</w:t>
      </w:r>
    </w:p>
    <w:p w14:paraId="0D9E7531" w14:textId="0784B5E5" w:rsidR="00D81CAD" w:rsidRPr="00D81CAD" w:rsidRDefault="00D81CAD" w:rsidP="006A2D38">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A98. </w:t>
      </w:r>
      <w:r w:rsidR="006A2D38">
        <w:rPr>
          <w:rFonts w:ascii="Calibri" w:hAnsi="Calibri" w:cs="Calibri"/>
          <w:b w:val="0"/>
          <w:bCs/>
          <w:sz w:val="24"/>
          <w:szCs w:val="24"/>
        </w:rPr>
        <w:tab/>
      </w:r>
      <w:r w:rsidRPr="00D81CAD">
        <w:rPr>
          <w:rFonts w:ascii="Calibri" w:hAnsi="Calibri" w:cs="Calibri"/>
          <w:b w:val="0"/>
          <w:bCs/>
          <w:sz w:val="24"/>
          <w:szCs w:val="24"/>
        </w:rPr>
        <w:t>A promessa da entidade de manter-se à disposição para aceitar a devolução de produto durante o período de devolução não deve ser contabilizada como obrigação de cumprimento adicional à obrigação de reembolsar.</w:t>
      </w:r>
    </w:p>
    <w:p w14:paraId="13029532" w14:textId="09827F0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A99. </w:t>
      </w:r>
      <w:r w:rsidR="001F7721">
        <w:rPr>
          <w:rFonts w:ascii="Calibri" w:hAnsi="Calibri" w:cs="Calibri"/>
          <w:b w:val="0"/>
          <w:bCs/>
          <w:sz w:val="24"/>
          <w:szCs w:val="24"/>
        </w:rPr>
        <w:tab/>
      </w:r>
      <w:r w:rsidRPr="00D81CAD">
        <w:rPr>
          <w:rFonts w:ascii="Calibri" w:hAnsi="Calibri" w:cs="Calibri"/>
          <w:b w:val="0"/>
          <w:bCs/>
          <w:sz w:val="24"/>
          <w:szCs w:val="24"/>
        </w:rPr>
        <w:t>A entidade deve aplicar os requisitos dos itens 109–122 (inclusive os requisitos de limitação da mensuração previstos nos itens 119–121) para determinar o montante da contraprestação a que espera ter direito. Nas transações em que o acordo vinculante exija que a entidade transfira bens ou serviços distintos a outra parte (isto é, ao comprador (provedor de recursos) ou a terceiro beneficiário), esse montante excluiria os produtos cuja devolução é esperada. Quanto aos montantes recebidos (ou a receber) a que a entidade não espera ter direito, ela não deve reconhecer receita, mas reconhecê-los como passivo de reembolso. Posteriormente, ao final de cada período a que se referem as demonstrações contábeis, a entidade deve atualizar sua avaliação dos montantes a que espera ter direito pela satisfação de suas obrigações de cumprimento no acordo vinculante e promover a correspondente alteração na contraprestação da transação e, por conseguinte, no montante da receita reconhecida.</w:t>
      </w:r>
    </w:p>
    <w:p w14:paraId="65226213" w14:textId="6E4ED354"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A100. </w:t>
      </w:r>
      <w:r w:rsidR="001F7721">
        <w:rPr>
          <w:rFonts w:ascii="Calibri" w:hAnsi="Calibri" w:cs="Calibri"/>
          <w:b w:val="0"/>
          <w:bCs/>
          <w:sz w:val="24"/>
          <w:szCs w:val="24"/>
        </w:rPr>
        <w:tab/>
      </w:r>
      <w:r w:rsidRPr="00D81CAD">
        <w:rPr>
          <w:rFonts w:ascii="Calibri" w:hAnsi="Calibri" w:cs="Calibri"/>
          <w:b w:val="0"/>
          <w:bCs/>
          <w:sz w:val="24"/>
          <w:szCs w:val="24"/>
        </w:rPr>
        <w:t>A entidade deve atualizar a mensuração do passivo de reembolso ao final de cada período a que se referem as demonstrações contábeis, em função de mudanças nas expectativas quanto ao montante dos reembolsos. A entidade deve reconhecer os ajustes correspondentes como receita (ou como redução da receita).</w:t>
      </w:r>
    </w:p>
    <w:p w14:paraId="7319549B" w14:textId="610E1D6C"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A101. </w:t>
      </w:r>
      <w:r w:rsidR="001F7721">
        <w:rPr>
          <w:rFonts w:ascii="Calibri" w:hAnsi="Calibri" w:cs="Calibri"/>
          <w:b w:val="0"/>
          <w:bCs/>
          <w:sz w:val="24"/>
          <w:szCs w:val="24"/>
        </w:rPr>
        <w:tab/>
      </w:r>
      <w:r w:rsidRPr="00D81CAD">
        <w:rPr>
          <w:rFonts w:ascii="Calibri" w:hAnsi="Calibri" w:cs="Calibri"/>
          <w:b w:val="0"/>
          <w:bCs/>
          <w:sz w:val="24"/>
          <w:szCs w:val="24"/>
        </w:rPr>
        <w:t>O ativo reconhecido pelo direito da entidade de recuperar produtos do provedor de recursos na liquidação do passivo de reembolso deve ser inicialmente mensurado por referência ao valor contábil anterior do produto (por exemplo, estoques), deduzidos quaisquer custos esperados para recuperá-los (incluindo eventuais reduções do valor, para a entidade, dos produtos devolvidos). Ao final de cada período a que se referem as demonstrações contábeis, a entidade deve atualizar a mensuração do ativo em função de mudanças nas expectativas quanto aos produtos a serem devolvidos. A entidade deve apresentar o ativo separadamente do passivo de reembolso.</w:t>
      </w:r>
    </w:p>
    <w:p w14:paraId="2DCFB91E" w14:textId="758BA541"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A102. </w:t>
      </w:r>
      <w:r w:rsidR="001F7721">
        <w:rPr>
          <w:rFonts w:ascii="Calibri" w:hAnsi="Calibri" w:cs="Calibri"/>
          <w:b w:val="0"/>
          <w:bCs/>
          <w:sz w:val="24"/>
          <w:szCs w:val="24"/>
        </w:rPr>
        <w:tab/>
      </w:r>
      <w:r w:rsidRPr="00D81CAD">
        <w:rPr>
          <w:rFonts w:ascii="Calibri" w:hAnsi="Calibri" w:cs="Calibri"/>
          <w:b w:val="0"/>
          <w:bCs/>
          <w:sz w:val="24"/>
          <w:szCs w:val="24"/>
        </w:rPr>
        <w:t>As trocas, pelo provedor de recursos, de um produto por outro do mesmo tipo, qualidade, condição e preço (por exemplo, de uma cor ou de um tamanho por outro) não são consideradas devoluções para fins de aplicação desta norma.</w:t>
      </w:r>
    </w:p>
    <w:p w14:paraId="008C1045" w14:textId="094F9378" w:rsidR="00350E43"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A103. </w:t>
      </w:r>
      <w:r w:rsidR="001F7721">
        <w:rPr>
          <w:rFonts w:ascii="Calibri" w:hAnsi="Calibri" w:cs="Calibri"/>
          <w:b w:val="0"/>
          <w:bCs/>
          <w:sz w:val="24"/>
          <w:szCs w:val="24"/>
        </w:rPr>
        <w:tab/>
      </w:r>
      <w:r w:rsidRPr="00D81CAD">
        <w:rPr>
          <w:rFonts w:ascii="Calibri" w:hAnsi="Calibri" w:cs="Calibri"/>
          <w:b w:val="0"/>
          <w:bCs/>
          <w:sz w:val="24"/>
          <w:szCs w:val="24"/>
        </w:rPr>
        <w:t>Os acordos vinculantes em que o provedor de recursos possa devolver produto defeituoso em troca de produto em funcionamento devem ser avaliados de acordo com as orientações sobre garantias previstas nos itens A111</w:t>
      </w:r>
      <w:r w:rsidR="00350E43">
        <w:rPr>
          <w:rFonts w:ascii="Calibri" w:hAnsi="Calibri" w:cs="Calibri"/>
          <w:b w:val="0"/>
          <w:bCs/>
          <w:sz w:val="24"/>
          <w:szCs w:val="24"/>
        </w:rPr>
        <w:t xml:space="preserve"> - </w:t>
      </w:r>
      <w:r w:rsidRPr="00D81CAD">
        <w:rPr>
          <w:rFonts w:ascii="Calibri" w:hAnsi="Calibri" w:cs="Calibri"/>
          <w:b w:val="0"/>
          <w:bCs/>
          <w:sz w:val="24"/>
          <w:szCs w:val="24"/>
        </w:rPr>
        <w:t xml:space="preserve">A116. </w:t>
      </w:r>
    </w:p>
    <w:p w14:paraId="5C89F079" w14:textId="160CB518"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Contraprestação a Pagar ao Provedor de Recursos na Transferência de Bens ou Serviços a Outra Parte (item 111(e))</w:t>
      </w:r>
    </w:p>
    <w:p w14:paraId="32DB2774" w14:textId="4CD928F3"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A104. </w:t>
      </w:r>
      <w:r w:rsidR="001F7721">
        <w:rPr>
          <w:rFonts w:ascii="Calibri" w:hAnsi="Calibri" w:cs="Calibri"/>
          <w:b w:val="0"/>
          <w:bCs/>
          <w:sz w:val="24"/>
          <w:szCs w:val="24"/>
        </w:rPr>
        <w:tab/>
      </w:r>
      <w:r w:rsidRPr="00D81CAD">
        <w:rPr>
          <w:rFonts w:ascii="Calibri" w:hAnsi="Calibri" w:cs="Calibri"/>
          <w:b w:val="0"/>
          <w:bCs/>
          <w:sz w:val="24"/>
          <w:szCs w:val="24"/>
        </w:rPr>
        <w:t>A contraprestação a pagar ao provedor de recursos compreende os montantes em caixa que a entidade paga, ou espera pagar, ao provedor de recursos (ou a outras partes que adquiram dele os bens ou serviços da entidade). Compreende também créditos ou outros itens (por exemplo, cupom ou voucher) compensáveis com montantes devidos à entidade (ou a outras partes que adquiram do provedor de recursos os bens ou serviços da entidade). A entidade deve contabilizar a contraprestação a pagar ao provedor de recursos como redução da contraprestação da transação e, portanto, da receita, a menos que o pagamento ao provedor de recursos seja em troca de bem ou serviço distinto (conforme descrito nos itens 73–77) que ele transfira à entidade. Se a contraprestação a pagar ao provedor de recursos incluir montante variável, a entidade deve estimar a contraprestação da transação (inclusive avaliando se a estimativa de contraprestação variável está limitada) de acordo com os itens 113–121.</w:t>
      </w:r>
    </w:p>
    <w:p w14:paraId="1C854A49" w14:textId="4204E19F"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A105. </w:t>
      </w:r>
      <w:r w:rsidR="001F7721">
        <w:rPr>
          <w:rFonts w:ascii="Calibri" w:hAnsi="Calibri" w:cs="Calibri"/>
          <w:b w:val="0"/>
          <w:bCs/>
          <w:sz w:val="24"/>
          <w:szCs w:val="24"/>
        </w:rPr>
        <w:tab/>
      </w:r>
      <w:r w:rsidRPr="00D81CAD">
        <w:rPr>
          <w:rFonts w:ascii="Calibri" w:hAnsi="Calibri" w:cs="Calibri"/>
          <w:b w:val="0"/>
          <w:bCs/>
          <w:sz w:val="24"/>
          <w:szCs w:val="24"/>
        </w:rPr>
        <w:t>Se a contraprestação a pagar ao provedor de recursos for pagamento por bem ou serviço distinto por ele fornecido, a entidade deve contabilizar a aquisição desse bem ou serviço da mesma forma que contabiliza as demais aquisições de fornecedores. Se o montante da contraprestação a pagar ao provedor de recursos exceder o valor corrente do bem ou serviço distinto que a entidade dele recebe, a entidade deve contabilizar esse excesso como redução da contraprestação da transação. Se a entidade não puder estimar razoavelmente o valor corrente do bem ou serviço recebido do provedor de recursos, deve contabilizar a totalidade da contraprestação a ele devida como redução da contraprestação da transação.</w:t>
      </w:r>
    </w:p>
    <w:p w14:paraId="407F8E63" w14:textId="50506774"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A106. </w:t>
      </w:r>
      <w:r w:rsidR="001F7721">
        <w:rPr>
          <w:rFonts w:ascii="Calibri" w:hAnsi="Calibri" w:cs="Calibri"/>
          <w:b w:val="0"/>
          <w:bCs/>
          <w:sz w:val="24"/>
          <w:szCs w:val="24"/>
        </w:rPr>
        <w:tab/>
      </w:r>
      <w:r w:rsidRPr="00D81CAD">
        <w:rPr>
          <w:rFonts w:ascii="Calibri" w:hAnsi="Calibri" w:cs="Calibri"/>
          <w:b w:val="0"/>
          <w:bCs/>
          <w:sz w:val="24"/>
          <w:szCs w:val="24"/>
        </w:rPr>
        <w:t>Assim, se a contraprestação a pagar ao provedor de recursos for contabilizada como redução da contraprestação da transação, a entidade deve reconhecer a redução da receita quando (ou à medida que) ocorrer o último dos seguintes eventos:</w:t>
      </w:r>
    </w:p>
    <w:p w14:paraId="78864AD2" w14:textId="6A18CC0C" w:rsidR="00D81CAD" w:rsidRPr="00D81CAD" w:rsidRDefault="00D81CAD" w:rsidP="00C90136">
      <w:pPr>
        <w:pStyle w:val="IASBSectionTitle1NonInd"/>
        <w:numPr>
          <w:ilvl w:val="1"/>
          <w:numId w:val="10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reconhece receita pela transferência dos bens ou serviços correspondentes ao comprador ou ao terceiro beneficiário; e</w:t>
      </w:r>
    </w:p>
    <w:p w14:paraId="52F158D8" w14:textId="5458DF0B" w:rsidR="00D81CAD" w:rsidRPr="00D81CAD" w:rsidRDefault="00D81CAD" w:rsidP="00C90136">
      <w:pPr>
        <w:pStyle w:val="IASBSectionTitle1NonInd"/>
        <w:numPr>
          <w:ilvl w:val="1"/>
          <w:numId w:val="10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paga ou promete pagar a contraprestação (ainda que o pagamento esteja condicionado a evento futuro). Essa promessa pode estar implícita nas práticas habituais da entidade. Alocação de Desconto na Transferência de Bens ou Serviços a Outra Parte (item 134)</w:t>
      </w:r>
    </w:p>
    <w:p w14:paraId="0FEA285E" w14:textId="591F7B09"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A107. </w:t>
      </w:r>
      <w:r w:rsidR="001F7721">
        <w:rPr>
          <w:rFonts w:ascii="Calibri" w:hAnsi="Calibri" w:cs="Calibri"/>
          <w:b w:val="0"/>
          <w:bCs/>
          <w:sz w:val="24"/>
          <w:szCs w:val="24"/>
        </w:rPr>
        <w:tab/>
      </w:r>
      <w:r w:rsidRPr="00D81CAD">
        <w:rPr>
          <w:rFonts w:ascii="Calibri" w:hAnsi="Calibri" w:cs="Calibri"/>
          <w:b w:val="0"/>
          <w:bCs/>
          <w:sz w:val="24"/>
          <w:szCs w:val="24"/>
        </w:rPr>
        <w:t>O provedor de recursos recebe desconto pela aquisição de um conjunto de bens ou serviços se a soma dos valores individuais desses bens ou serviços prometidos no acordo vinculante exceder a contraprestação prometida no acordo. Salvo quando a entidade dispuser de evidência observável, nos termos do item A108, de que a totalidade do desconto se refere apenas a uma ou algumas, mas não a todas, as obrigações de cumprimento do acordo vinculante, a entidade deve alocar o desconto proporcionalmente a todas as obrigações de cumprimento do acordo. A alocação proporcional do desconto, nessas circunstâncias, é consequência de a entidade alocar a contraprestação da transação a cada obrigação de cumprimento com base nos valores individuais relativos dos bens ou serviços distintos subjacentes.</w:t>
      </w:r>
    </w:p>
    <w:p w14:paraId="251B6615" w14:textId="27BFEC0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A108. </w:t>
      </w:r>
      <w:r w:rsidR="001F7721">
        <w:rPr>
          <w:rFonts w:ascii="Calibri" w:hAnsi="Calibri" w:cs="Calibri"/>
          <w:b w:val="0"/>
          <w:bCs/>
          <w:sz w:val="24"/>
          <w:szCs w:val="24"/>
        </w:rPr>
        <w:tab/>
      </w:r>
      <w:r w:rsidRPr="00D81CAD">
        <w:rPr>
          <w:rFonts w:ascii="Calibri" w:hAnsi="Calibri" w:cs="Calibri"/>
          <w:b w:val="0"/>
          <w:bCs/>
          <w:sz w:val="24"/>
          <w:szCs w:val="24"/>
        </w:rPr>
        <w:t>A entidade deve alocar o desconto integralmente a uma ou algumas, mas não a todas, as obrigações de cumprimento do acordo vinculante se todos os seguintes critérios forem atendidos:</w:t>
      </w:r>
    </w:p>
    <w:p w14:paraId="2727F57E" w14:textId="00A70E52" w:rsidR="00D81CAD" w:rsidRPr="00D81CAD" w:rsidRDefault="00D81CAD" w:rsidP="009D66EE">
      <w:pPr>
        <w:pStyle w:val="IASBSectionTitle1NonInd"/>
        <w:numPr>
          <w:ilvl w:val="1"/>
          <w:numId w:val="10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fornece regularmente cada bem ou serviço distinto (ou cada conjunto de bens ou serviços distintos) do acordo vinculante de forma individual;</w:t>
      </w:r>
    </w:p>
    <w:p w14:paraId="4301AFA6" w14:textId="23DD1FB4" w:rsidR="00D81CAD" w:rsidRPr="00D81CAD" w:rsidRDefault="00D81CAD" w:rsidP="009D66EE">
      <w:pPr>
        <w:pStyle w:val="IASBSectionTitle1NonInd"/>
        <w:numPr>
          <w:ilvl w:val="1"/>
          <w:numId w:val="10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também fornece regularmente, de forma individual, um ou mais conjuntos de alguns desses bens ou serviços distintos com desconto em relação aos valores individuais dos bens ou serviços de cada conjunto; e</w:t>
      </w:r>
    </w:p>
    <w:p w14:paraId="32BC5B15" w14:textId="751613E8" w:rsidR="00D81CAD" w:rsidRPr="00D81CAD" w:rsidRDefault="00D81CAD" w:rsidP="009D66EE">
      <w:pPr>
        <w:pStyle w:val="IASBSectionTitle1NonInd"/>
        <w:numPr>
          <w:ilvl w:val="1"/>
          <w:numId w:val="10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desconto atribuível a cada conjunto de bens ou serviços descrito no item A108(b) é substancialmente igual ao desconto do acordo vinculante, e a análise dos bens ou serviços de cada conjunto fornece evidência observável da obrigação (ou das obrigações) de cumprimento a que se refere a totalidade do desconto do acordo vinculante.</w:t>
      </w:r>
    </w:p>
    <w:p w14:paraId="7EFEFE0E" w14:textId="08CD8CC7"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A109. </w:t>
      </w:r>
      <w:r w:rsidR="001F7721">
        <w:rPr>
          <w:rFonts w:ascii="Calibri" w:hAnsi="Calibri" w:cs="Calibri"/>
          <w:b w:val="0"/>
          <w:bCs/>
          <w:sz w:val="24"/>
          <w:szCs w:val="24"/>
        </w:rPr>
        <w:tab/>
      </w:r>
      <w:r w:rsidRPr="00D81CAD">
        <w:rPr>
          <w:rFonts w:ascii="Calibri" w:hAnsi="Calibri" w:cs="Calibri"/>
          <w:b w:val="0"/>
          <w:bCs/>
          <w:sz w:val="24"/>
          <w:szCs w:val="24"/>
        </w:rPr>
        <w:t>Se o desconto for alocado integralmente a uma ou mais obrigações de cumprimento do acordo vinculante, de acordo com o item A108, a entidade deve alocá-lo antes de utilizar a abordagem residual para estimar o valor individual de bem ou serviço, de acordo com o item 139(c).</w:t>
      </w:r>
    </w:p>
    <w:p w14:paraId="17655F97"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Determinação do Valor Individual (itens 137–140)</w:t>
      </w:r>
    </w:p>
    <w:p w14:paraId="2710EB1D" w14:textId="509E5A6D"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A110. </w:t>
      </w:r>
      <w:r w:rsidR="001F7721">
        <w:rPr>
          <w:rFonts w:ascii="Calibri" w:hAnsi="Calibri" w:cs="Calibri"/>
          <w:b w:val="0"/>
          <w:bCs/>
          <w:sz w:val="24"/>
          <w:szCs w:val="24"/>
        </w:rPr>
        <w:tab/>
      </w:r>
      <w:r w:rsidRPr="00D81CAD">
        <w:rPr>
          <w:rFonts w:ascii="Calibri" w:hAnsi="Calibri" w:cs="Calibri"/>
          <w:b w:val="0"/>
          <w:bCs/>
          <w:sz w:val="24"/>
          <w:szCs w:val="24"/>
        </w:rPr>
        <w:t xml:space="preserve">No setor público, a determinação do valor individual de uma obrigação de cumprimento, de acordo com o item 137, pode ser desafiadora, particularmente nas situações em que a entidade (na condição de destinatária dos recursos) fornece bens ou serviços a terceiros beneficiários. Nessas circunstâncias, o valor individual é estimado com base no montante que o provedor de recursos precisaria pagar, em condições de mercado, para adquirir os benefícios econômicos ou o potencial de serviços dos bens ou serviços fornecidos aos terceiros beneficiários, acrescido de margem apropriada, se aplicável. Quando o valor individual dos bens ou serviços não puder ser estimado a partir de informações de mercado, a entidade </w:t>
      </w:r>
      <w:proofErr w:type="gramStart"/>
      <w:r w:rsidRPr="00D81CAD">
        <w:rPr>
          <w:rFonts w:ascii="Calibri" w:hAnsi="Calibri" w:cs="Calibri"/>
          <w:b w:val="0"/>
          <w:bCs/>
          <w:sz w:val="24"/>
          <w:szCs w:val="24"/>
        </w:rPr>
        <w:t>o estima</w:t>
      </w:r>
      <w:proofErr w:type="gramEnd"/>
      <w:r w:rsidRPr="00D81CAD">
        <w:rPr>
          <w:rFonts w:ascii="Calibri" w:hAnsi="Calibri" w:cs="Calibri"/>
          <w:b w:val="0"/>
          <w:bCs/>
          <w:sz w:val="24"/>
          <w:szCs w:val="24"/>
        </w:rPr>
        <w:t xml:space="preserve"> utilizando a abordagem do custo esperado, conforme indicado no item 139(b).</w:t>
      </w:r>
    </w:p>
    <w:p w14:paraId="4F188768"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Garantias sobre Bens ou Serviços Transferidos a Outra Parte</w:t>
      </w:r>
    </w:p>
    <w:p w14:paraId="7B0F92BE" w14:textId="27D9CE21"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A111. </w:t>
      </w:r>
      <w:r w:rsidR="001F7721">
        <w:rPr>
          <w:rFonts w:ascii="Calibri" w:hAnsi="Calibri" w:cs="Calibri"/>
          <w:b w:val="0"/>
          <w:bCs/>
          <w:sz w:val="24"/>
          <w:szCs w:val="24"/>
        </w:rPr>
        <w:tab/>
      </w:r>
      <w:r w:rsidRPr="00D81CAD">
        <w:rPr>
          <w:rFonts w:ascii="Calibri" w:hAnsi="Calibri" w:cs="Calibri"/>
          <w:b w:val="0"/>
          <w:bCs/>
          <w:sz w:val="24"/>
          <w:szCs w:val="24"/>
        </w:rPr>
        <w:t>Nos acordos vinculantes em que a entidade fornece bens ou serviços distintos a outra parte, é comum que ela conceda (de acordo com o acordo vinculante, a lei ou suas práticas habituais) garantia relacionada à venda de produto (bem ou serviço). A natureza da garantia pode variar significativamente entre setores e acordos vinculantes. Algumas garantias asseguram ao provedor de recursos que o produto correspondente funcionará conforme pretendido pelas partes, por estar em conformidade com as especificações acordadas. Outras garantias fornecem ao provedor de recursos um serviço adicional à garantia de que o produto está em conformidade com as especificações acordadas.</w:t>
      </w:r>
    </w:p>
    <w:p w14:paraId="1F7D8DCB" w14:textId="69C58F05"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A112. </w:t>
      </w:r>
      <w:r w:rsidR="001F7721">
        <w:rPr>
          <w:rFonts w:ascii="Calibri" w:hAnsi="Calibri" w:cs="Calibri"/>
          <w:b w:val="0"/>
          <w:bCs/>
          <w:sz w:val="24"/>
          <w:szCs w:val="24"/>
        </w:rPr>
        <w:tab/>
      </w:r>
      <w:r w:rsidRPr="00D81CAD">
        <w:rPr>
          <w:rFonts w:ascii="Calibri" w:hAnsi="Calibri" w:cs="Calibri"/>
          <w:b w:val="0"/>
          <w:bCs/>
          <w:sz w:val="24"/>
          <w:szCs w:val="24"/>
        </w:rPr>
        <w:t xml:space="preserve">Se o provedor de recursos tiver a opção de adquirir a garantia separadamente (por exemplo, porque ela é precificada ou negociada separadamente), a garantia é serviço distinto, pois a entidade promete prestá-lo ao comprador ou ao terceiro beneficiário adicionalmente ao produto que possui a funcionalidade descrita no acordo vinculante. Nessas circunstâncias, a entidade deve contabilizar a garantia prometida como obrigação de cumprimento, de acordo com os itens 68–77, e </w:t>
      </w:r>
      <w:proofErr w:type="spellStart"/>
      <w:r w:rsidRPr="00D81CAD">
        <w:rPr>
          <w:rFonts w:ascii="Calibri" w:hAnsi="Calibri" w:cs="Calibri"/>
          <w:b w:val="0"/>
          <w:bCs/>
          <w:sz w:val="24"/>
          <w:szCs w:val="24"/>
        </w:rPr>
        <w:t>alocar-lhe</w:t>
      </w:r>
      <w:proofErr w:type="spellEnd"/>
      <w:r w:rsidRPr="00D81CAD">
        <w:rPr>
          <w:rFonts w:ascii="Calibri" w:hAnsi="Calibri" w:cs="Calibri"/>
          <w:b w:val="0"/>
          <w:bCs/>
          <w:sz w:val="24"/>
          <w:szCs w:val="24"/>
        </w:rPr>
        <w:t xml:space="preserve"> parcela da contraprestação da transação, de acordo com os itens 133–143.</w:t>
      </w:r>
    </w:p>
    <w:p w14:paraId="2EB56782" w14:textId="5B0C9426"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A113. </w:t>
      </w:r>
      <w:r w:rsidR="001F7721">
        <w:rPr>
          <w:rFonts w:ascii="Calibri" w:hAnsi="Calibri" w:cs="Calibri"/>
          <w:b w:val="0"/>
          <w:bCs/>
          <w:sz w:val="24"/>
          <w:szCs w:val="24"/>
        </w:rPr>
        <w:tab/>
      </w:r>
      <w:r w:rsidRPr="00D81CAD">
        <w:rPr>
          <w:rFonts w:ascii="Calibri" w:hAnsi="Calibri" w:cs="Calibri"/>
          <w:b w:val="0"/>
          <w:bCs/>
          <w:sz w:val="24"/>
          <w:szCs w:val="24"/>
        </w:rPr>
        <w:t>Se o provedor de recursos não tiver a opção de adquirir a garantia separadamente, a entidade deve contabilizá-la de acordo com a NBC TSP 03 – Provisões, Passivos Contingentes e Ativos Contingentes, a menos que a garantia prometida, ou parte dela, forneça ao comprador ou ao terceiro beneficiário serviço adicional à garantia de que o produto está em conformidade com as especificações acordadas.</w:t>
      </w:r>
    </w:p>
    <w:p w14:paraId="0050BA00" w14:textId="0C9C4DC6"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A114. </w:t>
      </w:r>
      <w:r w:rsidR="001F7721">
        <w:rPr>
          <w:rFonts w:ascii="Calibri" w:hAnsi="Calibri" w:cs="Calibri"/>
          <w:b w:val="0"/>
          <w:bCs/>
          <w:sz w:val="24"/>
          <w:szCs w:val="24"/>
        </w:rPr>
        <w:tab/>
      </w:r>
      <w:r w:rsidRPr="00D81CAD">
        <w:rPr>
          <w:rFonts w:ascii="Calibri" w:hAnsi="Calibri" w:cs="Calibri"/>
          <w:b w:val="0"/>
          <w:bCs/>
          <w:sz w:val="24"/>
          <w:szCs w:val="24"/>
        </w:rPr>
        <w:t>Ao avaliar se a garantia fornece ao comprador ou ao terceiro beneficiário serviço adicional à garantia de que o produto está em conformidade com as especificações acordadas, a entidade deve considerar fatores tais como:</w:t>
      </w:r>
    </w:p>
    <w:p w14:paraId="33FC4853" w14:textId="500E3ABE" w:rsidR="00D81CAD" w:rsidRPr="00D81CAD" w:rsidRDefault="00D81CAD" w:rsidP="009D66EE">
      <w:pPr>
        <w:pStyle w:val="IASBSectionTitle1NonInd"/>
        <w:numPr>
          <w:ilvl w:val="1"/>
          <w:numId w:val="10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se a garantia é exigida por lei — se a entidade for obrigada por lei a conceder garantia, a existência dessa lei indica que a garantia prometida não é obrigação de cumprimento, pois tais exigências normalmente existem para proteger os provedores de recursos do risco de adquirir produtos defeituosos;</w:t>
      </w:r>
    </w:p>
    <w:p w14:paraId="706F6614" w14:textId="4CF05C15" w:rsidR="00D81CAD" w:rsidRPr="00D81CAD" w:rsidRDefault="00D81CAD" w:rsidP="009D66EE">
      <w:pPr>
        <w:pStyle w:val="IASBSectionTitle1NonInd"/>
        <w:numPr>
          <w:ilvl w:val="1"/>
          <w:numId w:val="10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duração do período de cobertura da garantia — quanto mais longo o período de cobertura, maior a probabilidade de a garantia prometida ser obrigação de cumprimento, pois é mais provável que forneça serviço adicional à garantia de conformidade do produto com as especificações acordadas;</w:t>
      </w:r>
    </w:p>
    <w:p w14:paraId="7CABF1E4" w14:textId="3C098013" w:rsidR="00D81CAD" w:rsidRPr="00D81CAD" w:rsidRDefault="00D81CAD" w:rsidP="009D66EE">
      <w:pPr>
        <w:pStyle w:val="IASBSectionTitle1NonInd"/>
        <w:numPr>
          <w:ilvl w:val="1"/>
          <w:numId w:val="10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natureza das tarefas que a entidade promete executar — se for necessário que a entidade execute tarefas determinadas para assegurar que o produto está em conformidade com as especificações acordadas (por exemplo, serviço de transporte de retorno de produto defeituoso), essas tarefas provavelmente não dão origem a obrigação de cumprimento.</w:t>
      </w:r>
    </w:p>
    <w:p w14:paraId="6B6BB5EE" w14:textId="636061D8"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A115. </w:t>
      </w:r>
      <w:r w:rsidR="001F7721">
        <w:rPr>
          <w:rFonts w:ascii="Calibri" w:hAnsi="Calibri" w:cs="Calibri"/>
          <w:b w:val="0"/>
          <w:bCs/>
          <w:sz w:val="24"/>
          <w:szCs w:val="24"/>
        </w:rPr>
        <w:tab/>
      </w:r>
      <w:r w:rsidRPr="00D81CAD">
        <w:rPr>
          <w:rFonts w:ascii="Calibri" w:hAnsi="Calibri" w:cs="Calibri"/>
          <w:b w:val="0"/>
          <w:bCs/>
          <w:sz w:val="24"/>
          <w:szCs w:val="24"/>
        </w:rPr>
        <w:t xml:space="preserve">Se a garantia, ou parte dela, fornecer ao comprador ou ao terceiro beneficiário serviço adicional à garantia de que o produto está em conformidade com as especificações acordadas, o serviço prometido é obrigação de cumprimento. Por conseguinte, a entidade deve alocar a contraprestação da transação ao produto e ao serviço. Se a entidade prometer tanto garantia do tipo </w:t>
      </w:r>
      <w:proofErr w:type="spellStart"/>
      <w:r w:rsidRPr="00D81CAD">
        <w:rPr>
          <w:rFonts w:ascii="Calibri" w:hAnsi="Calibri" w:cs="Calibri"/>
          <w:b w:val="0"/>
          <w:bCs/>
          <w:sz w:val="24"/>
          <w:szCs w:val="24"/>
        </w:rPr>
        <w:t>asseguratória</w:t>
      </w:r>
      <w:proofErr w:type="spellEnd"/>
      <w:r w:rsidRPr="00D81CAD">
        <w:rPr>
          <w:rFonts w:ascii="Calibri" w:hAnsi="Calibri" w:cs="Calibri"/>
          <w:b w:val="0"/>
          <w:bCs/>
          <w:sz w:val="24"/>
          <w:szCs w:val="24"/>
        </w:rPr>
        <w:t xml:space="preserve"> quanto garantia do tipo serviço, mas não puder contabilizá-las separadamente de forma razoável, deve contabilizar ambas em conjunto, como obrigação de cumprimento única.</w:t>
      </w:r>
    </w:p>
    <w:p w14:paraId="1E2F6047" w14:textId="03968F29"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A116. </w:t>
      </w:r>
      <w:r w:rsidR="001F7721">
        <w:rPr>
          <w:rFonts w:ascii="Calibri" w:hAnsi="Calibri" w:cs="Calibri"/>
          <w:b w:val="0"/>
          <w:bCs/>
          <w:sz w:val="24"/>
          <w:szCs w:val="24"/>
        </w:rPr>
        <w:tab/>
      </w:r>
      <w:r w:rsidRPr="00D81CAD">
        <w:rPr>
          <w:rFonts w:ascii="Calibri" w:hAnsi="Calibri" w:cs="Calibri"/>
          <w:b w:val="0"/>
          <w:bCs/>
          <w:sz w:val="24"/>
          <w:szCs w:val="24"/>
        </w:rPr>
        <w:t>A lei que obrigue a entidade a pagar indenização caso seus produtos causem dano ou prejuízo não dá origem a obrigação de cumprimento. Por exemplo, um fabricante, como um laboratório médico governamental, pode vender produtos como aparelhos de ultrassonografia diagnóstica a centros e hospitais médicos públicos e privados em jurisdição cuja lei responsabilize o fabricante por quaisquer danos (por exemplo, a bens pessoais) que possam ser causados pelo uso do produto, por comprador ou terceiro beneficiário, para a finalidade a que se destina. De igual modo, a promessa da entidade de indenizar o provedor de recursos por obrigações e danos decorrentes de alegações de violação de patente, direito autoral, marca ou outra infração por seus produtos não dá origem a obrigação de cumprimento. A entidade deve contabilizar tais obrigações de acordo com a NBC TSP 03.</w:t>
      </w:r>
    </w:p>
    <w:p w14:paraId="1A8D3E2A"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Considerações sobre Principal e Agente</w:t>
      </w:r>
    </w:p>
    <w:p w14:paraId="379697D7" w14:textId="41FEDCC1"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A117. </w:t>
      </w:r>
      <w:r w:rsidR="001F7721">
        <w:rPr>
          <w:rFonts w:ascii="Calibri" w:hAnsi="Calibri" w:cs="Calibri"/>
          <w:b w:val="0"/>
          <w:bCs/>
          <w:sz w:val="24"/>
          <w:szCs w:val="24"/>
        </w:rPr>
        <w:tab/>
      </w:r>
      <w:r w:rsidRPr="00D81CAD">
        <w:rPr>
          <w:rFonts w:ascii="Calibri" w:hAnsi="Calibri" w:cs="Calibri"/>
          <w:b w:val="0"/>
          <w:bCs/>
          <w:sz w:val="24"/>
          <w:szCs w:val="24"/>
        </w:rPr>
        <w:t>Quando outra parte estiver envolvida no fornecimento de bens ou serviços a comprador ou a terceiro beneficiário, a entidade deve determinar se a natureza de sua promessa é a obrigação de cumprimento de fornecer ela própria os bens ou serviços determinados (isto é, a entidade é principal) ou de intermediar o fornecimento desses bens ou serviços pela outra parte (isto é, a entidade é agente). A entidade determina se é principal ou agente em relação a cada bem ou serviço determinado prometido ao comprador ou ao terceiro beneficiário. Bem ou serviço determinado é bem ou serviço distinto (ou conjunto distinto de bens ou serviços) a ser fornecido ao comprador ou ao terceiro beneficiário (ver itens 73–77 e A53–A56). Se o acordo vinculante celebrado com provedor de recursos abranger mais de um bem ou serviço determinado, a entidade pode ser principal em relação a alguns e agente em relação a outros.</w:t>
      </w:r>
    </w:p>
    <w:p w14:paraId="274BF0FE" w14:textId="6967AF2E"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A118. </w:t>
      </w:r>
      <w:r w:rsidR="001F7721">
        <w:rPr>
          <w:rFonts w:ascii="Calibri" w:hAnsi="Calibri" w:cs="Calibri"/>
          <w:b w:val="0"/>
          <w:bCs/>
          <w:sz w:val="24"/>
          <w:szCs w:val="24"/>
        </w:rPr>
        <w:tab/>
      </w:r>
      <w:r w:rsidRPr="00D81CAD">
        <w:rPr>
          <w:rFonts w:ascii="Calibri" w:hAnsi="Calibri" w:cs="Calibri"/>
          <w:b w:val="0"/>
          <w:bCs/>
          <w:sz w:val="24"/>
          <w:szCs w:val="24"/>
        </w:rPr>
        <w:t>Para determinar a natureza de sua promessa (conforme descrito no item A117), a entidade deve:</w:t>
      </w:r>
    </w:p>
    <w:p w14:paraId="27690A9B" w14:textId="28C3F8EB" w:rsidR="00D81CAD" w:rsidRPr="00D81CAD" w:rsidRDefault="00D81CAD" w:rsidP="009D66EE">
      <w:pPr>
        <w:pStyle w:val="IASBSectionTitle1NonInd"/>
        <w:numPr>
          <w:ilvl w:val="1"/>
          <w:numId w:val="10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identificar os bens ou serviços determinados a serem fornecidos ao comprador ou ao terceiro beneficiário (que podem ser, por exemplo, direito a bem ou serviço a ser fornecido por outra parte (ver item A51)); e</w:t>
      </w:r>
    </w:p>
    <w:p w14:paraId="03C896FB" w14:textId="013114D5" w:rsidR="00D81CAD" w:rsidRPr="00D81CAD" w:rsidRDefault="00D81CAD" w:rsidP="009D66EE">
      <w:pPr>
        <w:pStyle w:val="IASBSectionTitle1NonInd"/>
        <w:numPr>
          <w:ilvl w:val="1"/>
          <w:numId w:val="10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avaliar se controla (conforme descrito no item 90) cada bem ou serviço determinado antes de sua transferência ao comprador ou ao terceiro beneficiário.</w:t>
      </w:r>
    </w:p>
    <w:p w14:paraId="4154D747" w14:textId="49B85419"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A119. </w:t>
      </w:r>
      <w:r w:rsidR="001F7721">
        <w:rPr>
          <w:rFonts w:ascii="Calibri" w:hAnsi="Calibri" w:cs="Calibri"/>
          <w:b w:val="0"/>
          <w:bCs/>
          <w:sz w:val="24"/>
          <w:szCs w:val="24"/>
        </w:rPr>
        <w:tab/>
      </w:r>
      <w:r w:rsidRPr="00D81CAD">
        <w:rPr>
          <w:rFonts w:ascii="Calibri" w:hAnsi="Calibri" w:cs="Calibri"/>
          <w:b w:val="0"/>
          <w:bCs/>
          <w:sz w:val="24"/>
          <w:szCs w:val="24"/>
        </w:rPr>
        <w:t>A entidade é principal se controlar o bem ou serviço determinado antes de sua transferência ao comprador ou ao terceiro beneficiário. Contudo, a entidade não necessariamente controla um bem determinado se obtiver a titularidade legal desse bem apenas momentaneamente, antes de a titularidade ser transferida ao comprador ou ao terceiro beneficiário. A entidade que é principal pode satisfazer ela própria a obrigação de cumprimento de fornecer o bem ou serviço determinado, ou pode contratar outra parte (por exemplo, um subcontratado) para satisfazê-la, no todo ou em parte, por sua conta.</w:t>
      </w:r>
    </w:p>
    <w:p w14:paraId="6ED38C31" w14:textId="3F7F1B7F"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A120. </w:t>
      </w:r>
      <w:r w:rsidR="001F7721">
        <w:rPr>
          <w:rFonts w:ascii="Calibri" w:hAnsi="Calibri" w:cs="Calibri"/>
          <w:b w:val="0"/>
          <w:bCs/>
          <w:sz w:val="24"/>
          <w:szCs w:val="24"/>
        </w:rPr>
        <w:tab/>
      </w:r>
      <w:r w:rsidRPr="00D81CAD">
        <w:rPr>
          <w:rFonts w:ascii="Calibri" w:hAnsi="Calibri" w:cs="Calibri"/>
          <w:b w:val="0"/>
          <w:bCs/>
          <w:sz w:val="24"/>
          <w:szCs w:val="24"/>
        </w:rPr>
        <w:t>Quando outra parte estiver envolvida no fornecimento de bens ou serviços a comprador ou a terceiro beneficiário, a entidade que é principal obtém o controle de um dos seguintes elementos:</w:t>
      </w:r>
    </w:p>
    <w:p w14:paraId="44B625FE" w14:textId="19FE5D5B" w:rsidR="00D81CAD" w:rsidRPr="00D81CAD" w:rsidRDefault="00D81CAD" w:rsidP="009D66EE">
      <w:pPr>
        <w:pStyle w:val="IASBSectionTitle1NonInd"/>
        <w:numPr>
          <w:ilvl w:val="1"/>
          <w:numId w:val="10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bem ou outro ativo, obtido da outra parte, que em seguida transfere ao comprador ou ao terceiro beneficiário;</w:t>
      </w:r>
    </w:p>
    <w:p w14:paraId="1ADC5439" w14:textId="4E5025FA" w:rsidR="00D81CAD" w:rsidRPr="00D81CAD" w:rsidRDefault="00D81CAD" w:rsidP="009D66EE">
      <w:pPr>
        <w:pStyle w:val="IASBSectionTitle1NonInd"/>
        <w:numPr>
          <w:ilvl w:val="1"/>
          <w:numId w:val="10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 a serviço a ser executado pela outra parte, que lhe confere a capacidade de direcioná-la a prestar o serviço ao comprador ou ao terceiro beneficiário por sua conta;</w:t>
      </w:r>
    </w:p>
    <w:p w14:paraId="1197C51C" w14:textId="73CDD151" w:rsidR="00D81CAD" w:rsidRPr="00D81CAD" w:rsidRDefault="00D81CAD" w:rsidP="009D66EE">
      <w:pPr>
        <w:pStyle w:val="IASBSectionTitle1NonInd"/>
        <w:numPr>
          <w:ilvl w:val="1"/>
          <w:numId w:val="10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bem ou serviço obtido da outra parte, que em seguida combina com outros bens ou serviços no fornecimento do bem ou serviço determinado ao comprador ou ao terceiro beneficiário. Por exemplo, se a entidade presta serviço significativo de integração de bens ou serviços (ver item 76(a)) fornecidos por outra parte ao bem ou serviço determinado para o qual o provedor de recursos celebrou acordo vinculante, a entidade controla o bem ou serviço determinado antes de sua transferência ao comprador ou ao terceiro beneficiário. Isso porque a entidade primeiro obtém o controle dos insumos do bem ou serviço determinado (entre os quais bens ou serviços de outras partes) e direciona seu uso para criar o produto combinado que constitui o bem ou serviço determinado.</w:t>
      </w:r>
    </w:p>
    <w:p w14:paraId="067171B5" w14:textId="0A4EBDDE"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A121. </w:t>
      </w:r>
      <w:r w:rsidR="001F7721">
        <w:rPr>
          <w:rFonts w:ascii="Calibri" w:hAnsi="Calibri" w:cs="Calibri"/>
          <w:b w:val="0"/>
          <w:bCs/>
          <w:sz w:val="24"/>
          <w:szCs w:val="24"/>
        </w:rPr>
        <w:tab/>
      </w:r>
      <w:r w:rsidRPr="00D81CAD">
        <w:rPr>
          <w:rFonts w:ascii="Calibri" w:hAnsi="Calibri" w:cs="Calibri"/>
          <w:b w:val="0"/>
          <w:bCs/>
          <w:sz w:val="24"/>
          <w:szCs w:val="24"/>
        </w:rPr>
        <w:t>Quando (ou à medida que) a entidade que é principal satisfaz a obrigação de cumprimento, ela reconhece a receita pelo montante bruto da contraprestação a que espera ter direito em troca do bem ou serviço determinado transferido.</w:t>
      </w:r>
    </w:p>
    <w:p w14:paraId="4923D883" w14:textId="09D6A24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A122. </w:t>
      </w:r>
      <w:r w:rsidR="001F7721">
        <w:rPr>
          <w:rFonts w:ascii="Calibri" w:hAnsi="Calibri" w:cs="Calibri"/>
          <w:b w:val="0"/>
          <w:bCs/>
          <w:sz w:val="24"/>
          <w:szCs w:val="24"/>
        </w:rPr>
        <w:tab/>
      </w:r>
      <w:r w:rsidRPr="00D81CAD">
        <w:rPr>
          <w:rFonts w:ascii="Calibri" w:hAnsi="Calibri" w:cs="Calibri"/>
          <w:b w:val="0"/>
          <w:bCs/>
          <w:sz w:val="24"/>
          <w:szCs w:val="24"/>
        </w:rPr>
        <w:t xml:space="preserve">A entidade é </w:t>
      </w:r>
      <w:proofErr w:type="gramStart"/>
      <w:r w:rsidRPr="00D81CAD">
        <w:rPr>
          <w:rFonts w:ascii="Calibri" w:hAnsi="Calibri" w:cs="Calibri"/>
          <w:b w:val="0"/>
          <w:bCs/>
          <w:sz w:val="24"/>
          <w:szCs w:val="24"/>
        </w:rPr>
        <w:t>agente</w:t>
      </w:r>
      <w:proofErr w:type="gramEnd"/>
      <w:r w:rsidRPr="00D81CAD">
        <w:rPr>
          <w:rFonts w:ascii="Calibri" w:hAnsi="Calibri" w:cs="Calibri"/>
          <w:b w:val="0"/>
          <w:bCs/>
          <w:sz w:val="24"/>
          <w:szCs w:val="24"/>
        </w:rPr>
        <w:t xml:space="preserve"> se sua obrigação de cumprimento consistir em intermediar o fornecimento do bem ou serviço determinado por outra parte. A entidade que é agente não controla o bem ou serviço determinado fornecido pela outra parte antes de sua transferência ao comprador ou ao terceiro beneficiário. Quando (ou à medida que) a entidade que é agente satisfaz a obrigação de cumprimento, ela reconhece a receita pelo montante da tarifa ou comissão a que espera ter direito em troca da intermediação do fornecimento dos bens ou serviços determinados pela outra parte. A tarifa ou comissão da entidade pode ser o montante líquido da contraprestação que ela retém após pagar à outra parte a contraprestação recebida em troca dos bens ou serviços por esta fornecidos.</w:t>
      </w:r>
    </w:p>
    <w:p w14:paraId="7F35F66C" w14:textId="0A1B385C"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A123. </w:t>
      </w:r>
      <w:r w:rsidR="001F7721">
        <w:rPr>
          <w:rFonts w:ascii="Calibri" w:hAnsi="Calibri" w:cs="Calibri"/>
          <w:b w:val="0"/>
          <w:bCs/>
          <w:sz w:val="24"/>
          <w:szCs w:val="24"/>
        </w:rPr>
        <w:tab/>
      </w:r>
      <w:r w:rsidRPr="00D81CAD">
        <w:rPr>
          <w:rFonts w:ascii="Calibri" w:hAnsi="Calibri" w:cs="Calibri"/>
          <w:b w:val="0"/>
          <w:bCs/>
          <w:sz w:val="24"/>
          <w:szCs w:val="24"/>
        </w:rPr>
        <w:t>Indicadores de que a entidade controla o bem ou serviço determinado antes de sua transferência ao comprador ou ao terceiro beneficiário (sendo, portanto, principal (ver item A119)) incluem, entre outros:</w:t>
      </w:r>
    </w:p>
    <w:p w14:paraId="543B8F75" w14:textId="450E4341" w:rsidR="00D81CAD" w:rsidRPr="00D81CAD" w:rsidRDefault="00D81CAD" w:rsidP="009D66EE">
      <w:pPr>
        <w:pStyle w:val="IASBSectionTitle1NonInd"/>
        <w:numPr>
          <w:ilvl w:val="1"/>
          <w:numId w:val="10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 entidade é a principal responsável pela satisfação da promessa de fornecer o bem ou serviço determinado. Isso normalmente inclui a responsabilidade pela aceitabilidade do bem ou serviço determinado (por exemplo, a responsabilidade principal </w:t>
      </w:r>
      <w:proofErr w:type="spellStart"/>
      <w:r w:rsidRPr="00D81CAD">
        <w:rPr>
          <w:rFonts w:ascii="Calibri" w:hAnsi="Calibri" w:cs="Calibri"/>
          <w:b w:val="0"/>
          <w:bCs/>
          <w:sz w:val="24"/>
          <w:szCs w:val="24"/>
        </w:rPr>
        <w:t>por</w:t>
      </w:r>
      <w:proofErr w:type="spellEnd"/>
      <w:r w:rsidRPr="00D81CAD">
        <w:rPr>
          <w:rFonts w:ascii="Calibri" w:hAnsi="Calibri" w:cs="Calibri"/>
          <w:b w:val="0"/>
          <w:bCs/>
          <w:sz w:val="24"/>
          <w:szCs w:val="24"/>
        </w:rPr>
        <w:t xml:space="preserve"> o bem ou serviço atender às especificações do provedor de recursos). Se a entidade é a principal responsável pela satisfação da promessa de fornecer o bem ou serviço determinado, isso pode indicar que a outra parte envolvida no fornecimento atua por conta da entidade;</w:t>
      </w:r>
    </w:p>
    <w:p w14:paraId="0BFB7005" w14:textId="4F36EC6E" w:rsidR="00D81CAD" w:rsidRPr="00D81CAD" w:rsidRDefault="00D81CAD" w:rsidP="009D66EE">
      <w:pPr>
        <w:pStyle w:val="IASBSectionTitle1NonInd"/>
        <w:numPr>
          <w:ilvl w:val="1"/>
          <w:numId w:val="10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assume risco de estoque antes de o bem ou serviço determinado ser transferido ao comprador ou ao terceiro beneficiário, ou após a transferência do controle ao provedor de recursos (por exemplo, se este tiver direito de devolução). Por exemplo, se a entidade obtém, ou se compromete a obter, o bem ou serviço determinado antes de celebrar acordo vinculante com provedor de recursos, isso pode indicar que ela tem a capacidade de direcionar o uso do bem ou serviço e de obter substancialmente todos os benefícios econômicos ou o potencial de serviços dele remanescentes antes de sua transferência ao comprador ou ao terceiro beneficiário;</w:t>
      </w:r>
    </w:p>
    <w:p w14:paraId="4805349A" w14:textId="09190D4F" w:rsidR="00D81CAD" w:rsidRPr="00D81CAD" w:rsidRDefault="00D81CAD" w:rsidP="009D66EE">
      <w:pPr>
        <w:pStyle w:val="IASBSectionTitle1NonInd"/>
        <w:numPr>
          <w:ilvl w:val="1"/>
          <w:numId w:val="10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tem discricionariedade para estabelecer o preço do bem ou serviço determinado. O estabelecimento do preço que o provedor de recursos paga pelo bem ou serviço determinado pode indicar que a entidade tem a capacidade de direcionar o uso desse bem ou serviço e de obter substancialmente todos os benefícios econômicos ou o potencial de serviços dele remanescentes. Contudo, o agente pode ter discricionariedade para estabelecer preços em alguns casos. Por exemplo, o agente pode ter alguma flexibilidade na fixação de preços a fim de gerar receita adicional com seu serviço de intermediar o fornecimento de bens ou serviços, por outras partes, a compradores ou a terceiros beneficiários.</w:t>
      </w:r>
    </w:p>
    <w:p w14:paraId="0ABFC80C" w14:textId="514DE35C"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A124. </w:t>
      </w:r>
      <w:r w:rsidR="001F7721">
        <w:rPr>
          <w:rFonts w:ascii="Calibri" w:hAnsi="Calibri" w:cs="Calibri"/>
          <w:b w:val="0"/>
          <w:bCs/>
          <w:sz w:val="24"/>
          <w:szCs w:val="24"/>
        </w:rPr>
        <w:tab/>
      </w:r>
      <w:r w:rsidRPr="00D81CAD">
        <w:rPr>
          <w:rFonts w:ascii="Calibri" w:hAnsi="Calibri" w:cs="Calibri"/>
          <w:b w:val="0"/>
          <w:bCs/>
          <w:sz w:val="24"/>
          <w:szCs w:val="24"/>
        </w:rPr>
        <w:t>Os indicadores do item A123 podem ser mais ou menos relevantes para a avaliação do controle, conforme a natureza do bem ou serviço determinado e os termos e condições do acordo vinculante. Além disso, indicadores diferentes podem fornecer evidência mais persuasiva em acordos vinculantes diferentes.</w:t>
      </w:r>
    </w:p>
    <w:p w14:paraId="7A6A2E80" w14:textId="34181445"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A125. </w:t>
      </w:r>
      <w:r w:rsidR="001F7721">
        <w:rPr>
          <w:rFonts w:ascii="Calibri" w:hAnsi="Calibri" w:cs="Calibri"/>
          <w:b w:val="0"/>
          <w:bCs/>
          <w:sz w:val="24"/>
          <w:szCs w:val="24"/>
        </w:rPr>
        <w:tab/>
      </w:r>
      <w:r w:rsidRPr="00D81CAD">
        <w:rPr>
          <w:rFonts w:ascii="Calibri" w:hAnsi="Calibri" w:cs="Calibri"/>
          <w:b w:val="0"/>
          <w:bCs/>
          <w:sz w:val="24"/>
          <w:szCs w:val="24"/>
        </w:rPr>
        <w:t>Se outra entidade assumir as obrigações de cumprimento e os direitos da entidade no acordo vinculante, de modo que esta deixe de ser obrigada a satisfazer a obrigação de cumprimento de transferir o bem ou serviço determinado ao comprador ou ao terceiro beneficiário (isto é, a entidade deixa de atuar como principal), ela não deve reconhecer receita por essa obrigação de cumprimento. Em vez disso, deve avaliar se reconhece receita pela satisfação de obrigação de cumprimento consistente em obter acordo vinculante para a outra parte (isto é, se está atuando como agente).</w:t>
      </w:r>
    </w:p>
    <w:p w14:paraId="5686E2E7"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Opções do Provedor de Recursos por Bens ou Serviços Adicionais</w:t>
      </w:r>
    </w:p>
    <w:p w14:paraId="0FBBA23F" w14:textId="1ACE585C"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A126. </w:t>
      </w:r>
      <w:r w:rsidR="001F7721">
        <w:rPr>
          <w:rFonts w:ascii="Calibri" w:hAnsi="Calibri" w:cs="Calibri"/>
          <w:b w:val="0"/>
          <w:bCs/>
          <w:sz w:val="24"/>
          <w:szCs w:val="24"/>
        </w:rPr>
        <w:tab/>
      </w:r>
      <w:r w:rsidRPr="00D81CAD">
        <w:rPr>
          <w:rFonts w:ascii="Calibri" w:hAnsi="Calibri" w:cs="Calibri"/>
          <w:b w:val="0"/>
          <w:bCs/>
          <w:sz w:val="24"/>
          <w:szCs w:val="24"/>
        </w:rPr>
        <w:t>As opções do provedor de recursos de adquirir bens ou serviços adicionais gratuitamente ou com desconto assumem muitas formas, entre as quais incentivos de venda, créditos (ou pontos) de premiação, opções de renovação do acordo vinculante ou outros descontos sobre bens ou serviços futuros.</w:t>
      </w:r>
    </w:p>
    <w:p w14:paraId="2C4BF4B3" w14:textId="79208B39" w:rsidR="00D81CAD" w:rsidRPr="00DA1E98"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A127. </w:t>
      </w:r>
      <w:r w:rsidR="001F7721">
        <w:rPr>
          <w:rFonts w:ascii="Calibri" w:hAnsi="Calibri" w:cs="Calibri"/>
          <w:b w:val="0"/>
          <w:bCs/>
          <w:sz w:val="24"/>
          <w:szCs w:val="24"/>
        </w:rPr>
        <w:tab/>
      </w:r>
      <w:r w:rsidRPr="00D81CAD">
        <w:rPr>
          <w:rFonts w:ascii="Calibri" w:hAnsi="Calibri" w:cs="Calibri"/>
          <w:b w:val="0"/>
          <w:bCs/>
          <w:sz w:val="24"/>
          <w:szCs w:val="24"/>
        </w:rPr>
        <w:t xml:space="preserve">Se, em acordo vinculante, a </w:t>
      </w:r>
      <w:r w:rsidRPr="00DA1E98">
        <w:rPr>
          <w:rFonts w:ascii="Calibri" w:hAnsi="Calibri" w:cs="Calibri"/>
          <w:b w:val="0"/>
          <w:bCs/>
          <w:sz w:val="24"/>
          <w:szCs w:val="24"/>
        </w:rPr>
        <w:t xml:space="preserve">entidade conceder ao provedor de recursos a opção de adquirir bens ou serviços adicionais, essa opção dará origem a obrigação de cumprimento no acordo vinculante somente se conferir ao provedor de recursos direito </w:t>
      </w:r>
      <w:r w:rsidR="00227A0D" w:rsidRPr="00DA1E98">
        <w:rPr>
          <w:rFonts w:ascii="Calibri" w:hAnsi="Calibri" w:cs="Calibri"/>
          <w:b w:val="0"/>
          <w:bCs/>
          <w:sz w:val="24"/>
          <w:szCs w:val="24"/>
        </w:rPr>
        <w:t xml:space="preserve">material </w:t>
      </w:r>
      <w:r w:rsidRPr="00DA1E98">
        <w:rPr>
          <w:rFonts w:ascii="Calibri" w:hAnsi="Calibri" w:cs="Calibri"/>
          <w:b w:val="0"/>
          <w:bCs/>
          <w:sz w:val="24"/>
          <w:szCs w:val="24"/>
        </w:rPr>
        <w:t xml:space="preserve">que ele não obteria sem celebrar tal acordo (por exemplo, desconto adicional à faixa de descontos tipicamente concedidos para esses bens ou serviços àquela classe de provedor de recursos naquela área geográfica ou mercado). Se a opção conferir direito </w:t>
      </w:r>
      <w:r w:rsidR="003D113F" w:rsidRPr="00DA1E98">
        <w:rPr>
          <w:rFonts w:ascii="Calibri" w:hAnsi="Calibri" w:cs="Calibri"/>
          <w:b w:val="0"/>
          <w:bCs/>
          <w:sz w:val="24"/>
          <w:szCs w:val="24"/>
        </w:rPr>
        <w:t xml:space="preserve">material </w:t>
      </w:r>
      <w:r w:rsidRPr="00DA1E98">
        <w:rPr>
          <w:rFonts w:ascii="Calibri" w:hAnsi="Calibri" w:cs="Calibri"/>
          <w:b w:val="0"/>
          <w:bCs/>
          <w:sz w:val="24"/>
          <w:szCs w:val="24"/>
        </w:rPr>
        <w:t>ao provedor de recursos, este, na prática, paga antecipadamente à entidade por bens ou serviços futuros, e a entidade reconhece a receita quando esses bens ou serviços futuros forem transferidos ou quando a opção expirar.</w:t>
      </w:r>
    </w:p>
    <w:p w14:paraId="78F73823" w14:textId="708A06AF"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A1E98">
        <w:rPr>
          <w:rFonts w:ascii="Calibri" w:hAnsi="Calibri" w:cs="Calibri"/>
          <w:b w:val="0"/>
          <w:bCs/>
          <w:sz w:val="24"/>
          <w:szCs w:val="24"/>
        </w:rPr>
        <w:t xml:space="preserve">A128. </w:t>
      </w:r>
      <w:r w:rsidR="001F7721">
        <w:rPr>
          <w:rFonts w:ascii="Calibri" w:hAnsi="Calibri" w:cs="Calibri"/>
          <w:b w:val="0"/>
          <w:bCs/>
          <w:sz w:val="24"/>
          <w:szCs w:val="24"/>
        </w:rPr>
        <w:tab/>
      </w:r>
      <w:r w:rsidRPr="00DA1E98">
        <w:rPr>
          <w:rFonts w:ascii="Calibri" w:hAnsi="Calibri" w:cs="Calibri"/>
          <w:b w:val="0"/>
          <w:bCs/>
          <w:sz w:val="24"/>
          <w:szCs w:val="24"/>
        </w:rPr>
        <w:t xml:space="preserve">Se o provedor de recursos tiver a opção de adquirir bem ou serviço adicional por preço que reflita o valor individual desse bem ou serviço, essa opção não lhe confere direito </w:t>
      </w:r>
      <w:r w:rsidR="00227A0D" w:rsidRPr="00DA1E98">
        <w:rPr>
          <w:rFonts w:ascii="Calibri" w:hAnsi="Calibri" w:cs="Calibri"/>
          <w:b w:val="0"/>
          <w:bCs/>
          <w:sz w:val="24"/>
          <w:szCs w:val="24"/>
        </w:rPr>
        <w:t>material</w:t>
      </w:r>
      <w:r w:rsidRPr="00DA1E98">
        <w:rPr>
          <w:rFonts w:ascii="Calibri" w:hAnsi="Calibri" w:cs="Calibri"/>
          <w:b w:val="0"/>
          <w:bCs/>
          <w:sz w:val="24"/>
          <w:szCs w:val="24"/>
        </w:rPr>
        <w:t>, ainda que só possa ser exercida mediante a celebração de acordo vinculante anterior</w:t>
      </w:r>
      <w:r w:rsidRPr="00D81CAD">
        <w:rPr>
          <w:rFonts w:ascii="Calibri" w:hAnsi="Calibri" w:cs="Calibri"/>
          <w:b w:val="0"/>
          <w:bCs/>
          <w:sz w:val="24"/>
          <w:szCs w:val="24"/>
        </w:rPr>
        <w:t>. Nesses casos, a entidade formulou oferta comercial que deve ser contabilizada de acordo com esta norma somente quando o provedor de recursos exercer a opção de adquirir os bens ou serviços adicionais.</w:t>
      </w:r>
    </w:p>
    <w:p w14:paraId="3F319100" w14:textId="7A2F66E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A129. </w:t>
      </w:r>
      <w:r w:rsidR="001F7721">
        <w:rPr>
          <w:rFonts w:ascii="Calibri" w:hAnsi="Calibri" w:cs="Calibri"/>
          <w:b w:val="0"/>
          <w:bCs/>
          <w:sz w:val="24"/>
          <w:szCs w:val="24"/>
        </w:rPr>
        <w:tab/>
      </w:r>
      <w:r w:rsidRPr="00D81CAD">
        <w:rPr>
          <w:rFonts w:ascii="Calibri" w:hAnsi="Calibri" w:cs="Calibri"/>
          <w:b w:val="0"/>
          <w:bCs/>
          <w:sz w:val="24"/>
          <w:szCs w:val="24"/>
        </w:rPr>
        <w:t>O item 134 exige que a entidade aloque a contraprestação da transação às obrigações de cumprimento com base nos valores individuais relativos. Se o valor individual da opção do provedor de recursos de adquirir bens ou serviços adicionais não for diretamente observável, a entidade deve estimá-lo. Essa estimativa deve refletir o desconto que o provedor de recursos obteria ao exercer a opção, ajustado por:</w:t>
      </w:r>
    </w:p>
    <w:p w14:paraId="6B947142" w14:textId="1FAAB0D0" w:rsidR="00D81CAD" w:rsidRPr="00D81CAD" w:rsidRDefault="00D81CAD" w:rsidP="009D66EE">
      <w:pPr>
        <w:pStyle w:val="IASBSectionTitle1NonInd"/>
        <w:numPr>
          <w:ilvl w:val="1"/>
          <w:numId w:val="10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qualquer desconto que o provedor de recursos poderia obter sem exercer a opção; e</w:t>
      </w:r>
    </w:p>
    <w:p w14:paraId="38C9DD06" w14:textId="724DDFD2" w:rsidR="00D81CAD" w:rsidRPr="00DA1E98" w:rsidRDefault="00D81CAD" w:rsidP="009D66EE">
      <w:pPr>
        <w:pStyle w:val="IASBSectionTitle1NonInd"/>
        <w:numPr>
          <w:ilvl w:val="1"/>
          <w:numId w:val="10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 probabilidade de a opção vir </w:t>
      </w:r>
      <w:r w:rsidRPr="00DA1E98">
        <w:rPr>
          <w:rFonts w:ascii="Calibri" w:hAnsi="Calibri" w:cs="Calibri"/>
          <w:b w:val="0"/>
          <w:bCs/>
          <w:sz w:val="24"/>
          <w:szCs w:val="24"/>
        </w:rPr>
        <w:t>a ser exercida.</w:t>
      </w:r>
    </w:p>
    <w:p w14:paraId="33310653" w14:textId="078A9098"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A1E98">
        <w:rPr>
          <w:rFonts w:ascii="Calibri" w:hAnsi="Calibri" w:cs="Calibri"/>
          <w:b w:val="0"/>
          <w:bCs/>
          <w:sz w:val="24"/>
          <w:szCs w:val="24"/>
        </w:rPr>
        <w:t xml:space="preserve">A130. </w:t>
      </w:r>
      <w:r w:rsidR="001F7721">
        <w:rPr>
          <w:rFonts w:ascii="Calibri" w:hAnsi="Calibri" w:cs="Calibri"/>
          <w:b w:val="0"/>
          <w:bCs/>
          <w:sz w:val="24"/>
          <w:szCs w:val="24"/>
        </w:rPr>
        <w:tab/>
      </w:r>
      <w:r w:rsidRPr="00DA1E98">
        <w:rPr>
          <w:rFonts w:ascii="Calibri" w:hAnsi="Calibri" w:cs="Calibri"/>
          <w:b w:val="0"/>
          <w:bCs/>
          <w:sz w:val="24"/>
          <w:szCs w:val="24"/>
        </w:rPr>
        <w:t xml:space="preserve">Se o provedor de recursos tiver direito </w:t>
      </w:r>
      <w:r w:rsidR="006E1EE3" w:rsidRPr="00DA1E98">
        <w:rPr>
          <w:rFonts w:ascii="Calibri" w:hAnsi="Calibri" w:cs="Calibri"/>
          <w:b w:val="0"/>
          <w:bCs/>
          <w:sz w:val="24"/>
          <w:szCs w:val="24"/>
        </w:rPr>
        <w:t xml:space="preserve">material </w:t>
      </w:r>
      <w:r w:rsidRPr="00DA1E98">
        <w:rPr>
          <w:rFonts w:ascii="Calibri" w:hAnsi="Calibri" w:cs="Calibri"/>
          <w:b w:val="0"/>
          <w:bCs/>
          <w:sz w:val="24"/>
          <w:szCs w:val="24"/>
        </w:rPr>
        <w:t>de adquirir bens ou serviços futuros semelhantes aos bens ou serviços originais do acordo vinculante e fornecidos de acordo com os termos do acordo original, a entidade pode, como alternativa prática à estimativa do valor individual da opção, alocar a contraprestação da transação aos bens ou serviços opcionais por referência aos bens ou serviços que espera fornecer e à contraprestação esperada</w:t>
      </w:r>
      <w:r w:rsidRPr="00D81CAD">
        <w:rPr>
          <w:rFonts w:ascii="Calibri" w:hAnsi="Calibri" w:cs="Calibri"/>
          <w:b w:val="0"/>
          <w:bCs/>
          <w:sz w:val="24"/>
          <w:szCs w:val="24"/>
        </w:rPr>
        <w:t xml:space="preserve"> correspondente. Tipicamente, essas espécies de opção são de renovação do acordo vinculante.</w:t>
      </w:r>
    </w:p>
    <w:p w14:paraId="7ACC5B24"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Direitos Não Exercidos pelos Provedores de Recursos</w:t>
      </w:r>
    </w:p>
    <w:p w14:paraId="0CD16EBD" w14:textId="69D9DC6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A131. </w:t>
      </w:r>
      <w:r w:rsidR="001F7721">
        <w:rPr>
          <w:rFonts w:ascii="Calibri" w:hAnsi="Calibri" w:cs="Calibri"/>
          <w:b w:val="0"/>
          <w:bCs/>
          <w:sz w:val="24"/>
          <w:szCs w:val="24"/>
        </w:rPr>
        <w:tab/>
      </w:r>
      <w:r w:rsidRPr="00D81CAD">
        <w:rPr>
          <w:rFonts w:ascii="Calibri" w:hAnsi="Calibri" w:cs="Calibri"/>
          <w:b w:val="0"/>
          <w:bCs/>
          <w:sz w:val="24"/>
          <w:szCs w:val="24"/>
        </w:rPr>
        <w:t xml:space="preserve">De acordo com o item 163, ao receber pagamento antecipado do provedor de recursos, a entidade deve reconhecer passivo de acordo vinculante no montante do pagamento antecipado, relativo à sua obrigação de cumprimento. A entidade deve </w:t>
      </w:r>
      <w:proofErr w:type="spellStart"/>
      <w:r w:rsidRPr="00D81CAD">
        <w:rPr>
          <w:rFonts w:ascii="Calibri" w:hAnsi="Calibri" w:cs="Calibri"/>
          <w:b w:val="0"/>
          <w:bCs/>
          <w:sz w:val="24"/>
          <w:szCs w:val="24"/>
        </w:rPr>
        <w:t>desreconhecer</w:t>
      </w:r>
      <w:proofErr w:type="spellEnd"/>
      <w:r w:rsidRPr="00D81CAD">
        <w:rPr>
          <w:rFonts w:ascii="Calibri" w:hAnsi="Calibri" w:cs="Calibri"/>
          <w:b w:val="0"/>
          <w:bCs/>
          <w:sz w:val="24"/>
          <w:szCs w:val="24"/>
        </w:rPr>
        <w:t xml:space="preserve"> esse passivo (e reconhecer receita) quando satisfizer a obrigação de cumprimento associada à contraprestação anteriormente recebida do provedor de recursos.</w:t>
      </w:r>
    </w:p>
    <w:p w14:paraId="59920979" w14:textId="65E841D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A132. </w:t>
      </w:r>
      <w:r w:rsidR="001F7721">
        <w:rPr>
          <w:rFonts w:ascii="Calibri" w:hAnsi="Calibri" w:cs="Calibri"/>
          <w:b w:val="0"/>
          <w:bCs/>
          <w:sz w:val="24"/>
          <w:szCs w:val="24"/>
        </w:rPr>
        <w:tab/>
      </w:r>
      <w:r w:rsidRPr="00D81CAD">
        <w:rPr>
          <w:rFonts w:ascii="Calibri" w:hAnsi="Calibri" w:cs="Calibri"/>
          <w:b w:val="0"/>
          <w:bCs/>
          <w:sz w:val="24"/>
          <w:szCs w:val="24"/>
        </w:rPr>
        <w:t>O pagamento antecipado não reembolsável do provedor de recursos à entidade lhe confere o direito de exigir que a destinatária dos recursos satisfaça suas obrigações (ou se sujeite às consequências previstas no acordo vinculante). Contudo, os provedores de recursos podem não exercer todos os seus direitos previstos no acordo vinculante. Esses direitos não exercidos são frequentemente denominados quebra (</w:t>
      </w:r>
      <w:proofErr w:type="spellStart"/>
      <w:r w:rsidRPr="00D81CAD">
        <w:rPr>
          <w:rFonts w:ascii="Calibri" w:hAnsi="Calibri" w:cs="Calibri"/>
          <w:b w:val="0"/>
          <w:bCs/>
          <w:sz w:val="24"/>
          <w:szCs w:val="24"/>
        </w:rPr>
        <w:t>breakage</w:t>
      </w:r>
      <w:proofErr w:type="spellEnd"/>
      <w:r w:rsidRPr="00D81CAD">
        <w:rPr>
          <w:rFonts w:ascii="Calibri" w:hAnsi="Calibri" w:cs="Calibri"/>
          <w:b w:val="0"/>
          <w:bCs/>
          <w:sz w:val="24"/>
          <w:szCs w:val="24"/>
        </w:rPr>
        <w:t>).</w:t>
      </w:r>
    </w:p>
    <w:p w14:paraId="5282455E" w14:textId="1A31BAD5"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A133. </w:t>
      </w:r>
      <w:r w:rsidR="001F7721">
        <w:rPr>
          <w:rFonts w:ascii="Calibri" w:hAnsi="Calibri" w:cs="Calibri"/>
          <w:b w:val="0"/>
          <w:bCs/>
          <w:sz w:val="24"/>
          <w:szCs w:val="24"/>
        </w:rPr>
        <w:tab/>
      </w:r>
      <w:r w:rsidRPr="00D81CAD">
        <w:rPr>
          <w:rFonts w:ascii="Calibri" w:hAnsi="Calibri" w:cs="Calibri"/>
          <w:b w:val="0"/>
          <w:bCs/>
          <w:sz w:val="24"/>
          <w:szCs w:val="24"/>
        </w:rPr>
        <w:t>Se a entidade esperar ter direito a um montante de quebra em passivo de acordo vinculante, deve reconhecer o montante de quebra esperado como receita, proporcionalmente ao padrão de exercício dos direitos pelo provedor de recursos. Se a entidade não esperar ter direito a montante de quebra, deve reconhecê-lo como receita quando a probabilidade de o provedor de recursos exercer seus direitos remanescentes se tornar remota. Para determinar se espera ter direito a montante de quebra, a entidade deve considerar os requisitos dos itens 119–121 sobre a limitação das estimativas de contraprestação variável.</w:t>
      </w:r>
    </w:p>
    <w:p w14:paraId="6AABFBE4" w14:textId="00D930EF"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A134. </w:t>
      </w:r>
      <w:r w:rsidR="001F7721">
        <w:rPr>
          <w:rFonts w:ascii="Calibri" w:hAnsi="Calibri" w:cs="Calibri"/>
          <w:b w:val="0"/>
          <w:bCs/>
          <w:sz w:val="24"/>
          <w:szCs w:val="24"/>
        </w:rPr>
        <w:tab/>
      </w:r>
      <w:r w:rsidRPr="00D81CAD">
        <w:rPr>
          <w:rFonts w:ascii="Calibri" w:hAnsi="Calibri" w:cs="Calibri"/>
          <w:b w:val="0"/>
          <w:bCs/>
          <w:sz w:val="24"/>
          <w:szCs w:val="24"/>
        </w:rPr>
        <w:t>A entidade deve reconhecer passivo (e não receita) por qualquer contraprestação recebida atribuível a direitos não exercidos pelo provedor de recursos cujo montante ela seja obrigada a repassar a outra parte, por exemplo, a entidade governamental competente, nos termos da legislação aplicável sobre bens não reclamados. Tarifas Iniciais Não Reembolsáveis (e Alguns Custos Relacionados) na Transferência de Bens ou Serviços a Outra Parte</w:t>
      </w:r>
    </w:p>
    <w:p w14:paraId="62EB4460" w14:textId="2736F31A"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A135. </w:t>
      </w:r>
      <w:r w:rsidR="001F7721">
        <w:rPr>
          <w:rFonts w:ascii="Calibri" w:hAnsi="Calibri" w:cs="Calibri"/>
          <w:b w:val="0"/>
          <w:bCs/>
          <w:sz w:val="24"/>
          <w:szCs w:val="24"/>
        </w:rPr>
        <w:tab/>
      </w:r>
      <w:r w:rsidRPr="00D81CAD">
        <w:rPr>
          <w:rFonts w:ascii="Calibri" w:hAnsi="Calibri" w:cs="Calibri"/>
          <w:b w:val="0"/>
          <w:bCs/>
          <w:sz w:val="24"/>
          <w:szCs w:val="24"/>
        </w:rPr>
        <w:t>Em alguns acordos vinculantes, a entidade cobra do provedor de recursos tarifa inicial não reembolsável no início do acordo ou em momento próximo a ele. São exemplos as taxas de adesão a plano de saúde, as tarifas de ativação cobradas por empresas de telecomunicações, as tarifas de instalação de alguns serviços e as tarifas iniciais de alguns fornecimentos.</w:t>
      </w:r>
    </w:p>
    <w:p w14:paraId="18909AC2" w14:textId="021901B8" w:rsidR="00D81CAD" w:rsidRPr="00DA1E98"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A136. </w:t>
      </w:r>
      <w:r w:rsidR="001F7721">
        <w:rPr>
          <w:rFonts w:ascii="Calibri" w:hAnsi="Calibri" w:cs="Calibri"/>
          <w:b w:val="0"/>
          <w:bCs/>
          <w:sz w:val="24"/>
          <w:szCs w:val="24"/>
        </w:rPr>
        <w:tab/>
      </w:r>
      <w:r w:rsidRPr="00D81CAD">
        <w:rPr>
          <w:rFonts w:ascii="Calibri" w:hAnsi="Calibri" w:cs="Calibri"/>
          <w:b w:val="0"/>
          <w:bCs/>
          <w:sz w:val="24"/>
          <w:szCs w:val="24"/>
        </w:rPr>
        <w:t xml:space="preserve">Para identificar as obrigações de cumprimento nesses acordos vinculantes, a entidade deve avaliar se a tarifa se refere à transferência de bem ou serviço prometido. Em muitos casos, ainda que a tarifa inicial não reembolsável se refira a atividade que a entidade deva executar no início do acordo vinculante, ou em momento próximo a ele, para cumpri-lo, essa atividade não resulta na transferência de bem ou serviço prometido ao comprador ou ao terceiro beneficiário (ver item 72). Em vez disso, a tarifa inicial é pagamento antecipado por bens ou serviços futuros e, portanto, seria reconhecida como receita quando esses bens ou serviços futuros forem </w:t>
      </w:r>
      <w:r w:rsidRPr="00DA1E98">
        <w:rPr>
          <w:rFonts w:ascii="Calibri" w:hAnsi="Calibri" w:cs="Calibri"/>
          <w:b w:val="0"/>
          <w:bCs/>
          <w:sz w:val="24"/>
          <w:szCs w:val="24"/>
        </w:rPr>
        <w:t xml:space="preserve">fornecidos. O período de reconhecimento da receita se estenderia para além do período inicial do acordo vinculante se a entidade conceder ao provedor de recursos a opção de renová-lo e essa opção lhe conferir direito </w:t>
      </w:r>
      <w:r w:rsidR="004918DE" w:rsidRPr="00DA1E98">
        <w:rPr>
          <w:rFonts w:ascii="Calibri" w:hAnsi="Calibri" w:cs="Calibri"/>
          <w:b w:val="0"/>
          <w:bCs/>
          <w:sz w:val="24"/>
          <w:szCs w:val="24"/>
        </w:rPr>
        <w:t>material</w:t>
      </w:r>
      <w:r w:rsidRPr="00DA1E98">
        <w:rPr>
          <w:rFonts w:ascii="Calibri" w:hAnsi="Calibri" w:cs="Calibri"/>
          <w:b w:val="0"/>
          <w:bCs/>
          <w:sz w:val="24"/>
          <w:szCs w:val="24"/>
        </w:rPr>
        <w:t>, conforme descrito no item</w:t>
      </w:r>
      <w:r w:rsidR="00350E43" w:rsidRPr="00DA1E98">
        <w:rPr>
          <w:rFonts w:ascii="Calibri" w:hAnsi="Calibri" w:cs="Calibri"/>
          <w:b w:val="0"/>
          <w:bCs/>
          <w:sz w:val="24"/>
          <w:szCs w:val="24"/>
        </w:rPr>
        <w:t xml:space="preserve"> </w:t>
      </w:r>
      <w:r w:rsidRPr="00DA1E98">
        <w:rPr>
          <w:rFonts w:ascii="Calibri" w:hAnsi="Calibri" w:cs="Calibri"/>
          <w:b w:val="0"/>
          <w:bCs/>
          <w:sz w:val="24"/>
          <w:szCs w:val="24"/>
        </w:rPr>
        <w:t>A127.</w:t>
      </w:r>
    </w:p>
    <w:p w14:paraId="7E8DB327" w14:textId="1463A396"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A1E98">
        <w:rPr>
          <w:rFonts w:ascii="Calibri" w:hAnsi="Calibri" w:cs="Calibri"/>
          <w:b w:val="0"/>
          <w:bCs/>
          <w:sz w:val="24"/>
          <w:szCs w:val="24"/>
        </w:rPr>
        <w:lastRenderedPageBreak/>
        <w:t xml:space="preserve">A137. </w:t>
      </w:r>
      <w:r w:rsidR="001F7721">
        <w:rPr>
          <w:rFonts w:ascii="Calibri" w:hAnsi="Calibri" w:cs="Calibri"/>
          <w:b w:val="0"/>
          <w:bCs/>
          <w:sz w:val="24"/>
          <w:szCs w:val="24"/>
        </w:rPr>
        <w:tab/>
      </w:r>
      <w:r w:rsidRPr="00DA1E98">
        <w:rPr>
          <w:rFonts w:ascii="Calibri" w:hAnsi="Calibri" w:cs="Calibri"/>
          <w:b w:val="0"/>
          <w:bCs/>
          <w:sz w:val="24"/>
          <w:szCs w:val="24"/>
        </w:rPr>
        <w:t>Se a tarifa inicial não reembolsável se</w:t>
      </w:r>
      <w:r w:rsidRPr="00D81CAD">
        <w:rPr>
          <w:rFonts w:ascii="Calibri" w:hAnsi="Calibri" w:cs="Calibri"/>
          <w:b w:val="0"/>
          <w:bCs/>
          <w:sz w:val="24"/>
          <w:szCs w:val="24"/>
        </w:rPr>
        <w:t xml:space="preserve"> referir a bem ou serviço, a entidade deve avaliar se o contabiliza como obrigação de cumprimento separada, de acordo com os itens 68–77.</w:t>
      </w:r>
    </w:p>
    <w:p w14:paraId="1D1EE597" w14:textId="4D876203"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A138. </w:t>
      </w:r>
      <w:r w:rsidR="001F7721">
        <w:rPr>
          <w:rFonts w:ascii="Calibri" w:hAnsi="Calibri" w:cs="Calibri"/>
          <w:b w:val="0"/>
          <w:bCs/>
          <w:sz w:val="24"/>
          <w:szCs w:val="24"/>
        </w:rPr>
        <w:tab/>
      </w:r>
      <w:r w:rsidRPr="00D81CAD">
        <w:rPr>
          <w:rFonts w:ascii="Calibri" w:hAnsi="Calibri" w:cs="Calibri"/>
          <w:b w:val="0"/>
          <w:bCs/>
          <w:sz w:val="24"/>
          <w:szCs w:val="24"/>
        </w:rPr>
        <w:t>A entidade pode cobrar tarifa não reembolsável em parte como compensação por custos incorridos na estruturação do acordo vinculante (ou por outras tarefas administrativas descritas no item 72). Se essas atividades de estruturação não satisfizerem obrigação de cumprimento, a entidade deve desconsiderá-las (e aos custos correspondentes) ao mensurar o progresso, de acordo com o item A95. Isso porque os custos das atividades de estruturação não representam a transferência de serviços ao comprador ou ao terceiro beneficiário. A entidade deve avaliar se os custos incorridos na estruturação do acordo vinculante resultaram em ativo a ser reconhecido de acordo com o item 152.</w:t>
      </w:r>
    </w:p>
    <w:p w14:paraId="455AA699"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Aplicação dos Princípios a Transações Específicas</w:t>
      </w:r>
    </w:p>
    <w:p w14:paraId="41B62621" w14:textId="5DC7DBE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A139. </w:t>
      </w:r>
      <w:r w:rsidR="001F7721">
        <w:rPr>
          <w:rFonts w:ascii="Calibri" w:hAnsi="Calibri" w:cs="Calibri"/>
          <w:b w:val="0"/>
          <w:bCs/>
          <w:sz w:val="24"/>
          <w:szCs w:val="24"/>
        </w:rPr>
        <w:tab/>
      </w:r>
      <w:r w:rsidRPr="00D81CAD">
        <w:rPr>
          <w:rFonts w:ascii="Calibri" w:hAnsi="Calibri" w:cs="Calibri"/>
          <w:b w:val="0"/>
          <w:bCs/>
          <w:sz w:val="24"/>
          <w:szCs w:val="24"/>
        </w:rPr>
        <w:t>As entidades do setor público recebem diversos tipos de transferências. As transferências podem ou não decorrer de acordo vinculante. Sem prejuízo do item A143, a entidade deve reconhecer ativo relativo à receita de transferência quando os recursos transferidos atenderem à definição de ativo e satisfizerem os critérios para o seu reconhecimento.</w:t>
      </w:r>
    </w:p>
    <w:p w14:paraId="03E1A512"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Transferências de Capital</w:t>
      </w:r>
    </w:p>
    <w:p w14:paraId="0286584B" w14:textId="574B0D2B"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A140. </w:t>
      </w:r>
      <w:r w:rsidR="001F7721">
        <w:rPr>
          <w:rFonts w:ascii="Calibri" w:hAnsi="Calibri" w:cs="Calibri"/>
          <w:b w:val="0"/>
          <w:bCs/>
          <w:sz w:val="24"/>
          <w:szCs w:val="24"/>
        </w:rPr>
        <w:tab/>
      </w:r>
      <w:r w:rsidRPr="00D81CAD">
        <w:rPr>
          <w:rFonts w:ascii="Calibri" w:hAnsi="Calibri" w:cs="Calibri"/>
          <w:b w:val="0"/>
          <w:bCs/>
          <w:sz w:val="24"/>
          <w:szCs w:val="24"/>
        </w:rPr>
        <w:t>Esta norma define transferência de capital como a transação que decorre de acordo vinculante em que o provedor de recursos fornece caixa ou outro ativo com a especificação de que a entidade adquira ou construa ativo não financeiro que será por ela controlado. A transferência de capital impõe à entidade ao menos uma obrigação de cumprimento.</w:t>
      </w:r>
    </w:p>
    <w:p w14:paraId="76F5E3EC" w14:textId="754520EE"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A141. </w:t>
      </w:r>
      <w:r w:rsidR="001F7721">
        <w:rPr>
          <w:rFonts w:ascii="Calibri" w:hAnsi="Calibri" w:cs="Calibri"/>
          <w:b w:val="0"/>
          <w:bCs/>
          <w:sz w:val="24"/>
          <w:szCs w:val="24"/>
        </w:rPr>
        <w:tab/>
      </w:r>
      <w:r w:rsidRPr="00D81CAD">
        <w:rPr>
          <w:rFonts w:ascii="Calibri" w:hAnsi="Calibri" w:cs="Calibri"/>
          <w:b w:val="0"/>
          <w:bCs/>
          <w:sz w:val="24"/>
          <w:szCs w:val="24"/>
        </w:rPr>
        <w:t>A entidade deve reconhecer receita à medida que satisfizer suas obrigações de cumprimento na transação de transferência de capital, aplicando os itens 87–104. A entidade deve determinar separadamente se qualquer entrada de recursos decorrente de transferência de capital deve ser reconhecida como ativo, aplicando o item 80, e se sua obrigação de cumprimento deve ser reconhecida como passivo, aplicando os itens 81–86. O valor contábil desse passivo é reduzido à medida que a receita é reconhecida.</w:t>
      </w:r>
    </w:p>
    <w:p w14:paraId="5235DB28" w14:textId="780D4364"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A142. </w:t>
      </w:r>
      <w:r w:rsidR="001F7721">
        <w:rPr>
          <w:rFonts w:ascii="Calibri" w:hAnsi="Calibri" w:cs="Calibri"/>
          <w:b w:val="0"/>
          <w:bCs/>
          <w:sz w:val="24"/>
          <w:szCs w:val="24"/>
        </w:rPr>
        <w:tab/>
      </w:r>
      <w:r w:rsidRPr="00D81CAD">
        <w:rPr>
          <w:rFonts w:ascii="Calibri" w:hAnsi="Calibri" w:cs="Calibri"/>
          <w:b w:val="0"/>
          <w:bCs/>
          <w:sz w:val="24"/>
          <w:szCs w:val="24"/>
        </w:rPr>
        <w:t>Algumas transações de transferência de capital podem incluir obrigação de cumprimento relativa à operação do ativo adquirido ou construído, o que não atenderia à definição de transferência de capital. A entidade determina se o acordo vinculante contém uma ou mais obrigações de cumprimento relativas à operação do ativo, avaliando se a contraprestação da transação está associada à operação do ativo após sua aquisição ou construção. Quaisquer obrigações de cumprimento relativas à operação do ativo seriam contabilizadas de acordo com os requisitos desta norma.</w:t>
      </w:r>
    </w:p>
    <w:p w14:paraId="77257933"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Serviços em Espécie</w:t>
      </w:r>
    </w:p>
    <w:p w14:paraId="73A79A67" w14:textId="2FDF5A20"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 xml:space="preserve">A143. </w:t>
      </w:r>
      <w:r w:rsidR="001F7721">
        <w:rPr>
          <w:rFonts w:ascii="Calibri" w:hAnsi="Calibri" w:cs="Calibri"/>
          <w:b w:val="0"/>
          <w:bCs/>
          <w:sz w:val="24"/>
          <w:szCs w:val="24"/>
        </w:rPr>
        <w:tab/>
      </w:r>
      <w:r w:rsidRPr="00D81CAD">
        <w:rPr>
          <w:rFonts w:ascii="Calibri" w:hAnsi="Calibri" w:cs="Calibri"/>
          <w:b w:val="0"/>
          <w:bCs/>
          <w:sz w:val="24"/>
          <w:szCs w:val="24"/>
        </w:rPr>
        <w:t>A entidade pode, mas não é obrigada a reconhecer serviços em espécie como receita e como ativo.</w:t>
      </w:r>
    </w:p>
    <w:p w14:paraId="7FDB4B70" w14:textId="26914EC6"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A144. </w:t>
      </w:r>
      <w:r w:rsidR="001F7721">
        <w:rPr>
          <w:rFonts w:ascii="Calibri" w:hAnsi="Calibri" w:cs="Calibri"/>
          <w:b w:val="0"/>
          <w:bCs/>
          <w:sz w:val="24"/>
          <w:szCs w:val="24"/>
        </w:rPr>
        <w:tab/>
      </w:r>
      <w:r w:rsidRPr="00D81CAD">
        <w:rPr>
          <w:rFonts w:ascii="Calibri" w:hAnsi="Calibri" w:cs="Calibri"/>
          <w:b w:val="0"/>
          <w:bCs/>
          <w:sz w:val="24"/>
          <w:szCs w:val="24"/>
        </w:rPr>
        <w:t>Embora esta norma não exija o reconhecimento dos serviços em espécie, as entidades são fortemente incentivadas a divulgar os serviços em espécie recebidos, especialmente se forem essenciais às suas operações.</w:t>
      </w:r>
    </w:p>
    <w:p w14:paraId="1AEA08CB" w14:textId="2F87D0E8"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A145. </w:t>
      </w:r>
      <w:r w:rsidR="001F7721">
        <w:rPr>
          <w:rFonts w:ascii="Calibri" w:hAnsi="Calibri" w:cs="Calibri"/>
          <w:b w:val="0"/>
          <w:bCs/>
          <w:sz w:val="24"/>
          <w:szCs w:val="24"/>
        </w:rPr>
        <w:tab/>
      </w:r>
      <w:r w:rsidRPr="00D81CAD">
        <w:rPr>
          <w:rFonts w:ascii="Calibri" w:hAnsi="Calibri" w:cs="Calibri"/>
          <w:b w:val="0"/>
          <w:bCs/>
          <w:sz w:val="24"/>
          <w:szCs w:val="24"/>
        </w:rPr>
        <w:t xml:space="preserve">Serviços em espécie são serviços prestados por indivíduos a entidades do setor público sem contraprestação. Alguns serviços em espécie atendem à definição de ativo, porque a entidade controla recurso do qual se espera que fluam para ela benefícios econômicos futuros ou potencial de serviços. Esses ativos são, contudo, imediatamente consumidos, </w:t>
      </w:r>
      <w:r w:rsidRPr="00DA1E98">
        <w:rPr>
          <w:rFonts w:ascii="Calibri" w:hAnsi="Calibri" w:cs="Calibri"/>
          <w:b w:val="0"/>
          <w:bCs/>
          <w:sz w:val="24"/>
          <w:szCs w:val="24"/>
        </w:rPr>
        <w:t xml:space="preserve">e uma transação de igual valor também é reconhecida para refletir o consumo desses serviços em espécie. Por exemplo, a escola pública que recebe serviços voluntários de auxiliares de professores, cujo valor justo possa ser mensurado </w:t>
      </w:r>
      <w:r w:rsidR="00061DB2" w:rsidRPr="00DA1E98">
        <w:rPr>
          <w:rFonts w:ascii="Calibri" w:hAnsi="Calibri" w:cs="Calibri"/>
          <w:b w:val="0"/>
          <w:bCs/>
          <w:sz w:val="24"/>
          <w:szCs w:val="24"/>
        </w:rPr>
        <w:t>confiavelmente</w:t>
      </w:r>
      <w:r w:rsidRPr="00DA1E98">
        <w:rPr>
          <w:rFonts w:ascii="Calibri" w:hAnsi="Calibri" w:cs="Calibri"/>
          <w:b w:val="0"/>
          <w:bCs/>
          <w:sz w:val="24"/>
          <w:szCs w:val="24"/>
        </w:rPr>
        <w:t>, pode reconhecer aumento de ativo e receita, bem como redução de ativo e despesa. Em muitos casos, a entidade reconhecerá despesa pelo consumo dos serviços em</w:t>
      </w:r>
      <w:r w:rsidRPr="00D81CAD">
        <w:rPr>
          <w:rFonts w:ascii="Calibri" w:hAnsi="Calibri" w:cs="Calibri"/>
          <w:b w:val="0"/>
          <w:bCs/>
          <w:sz w:val="24"/>
          <w:szCs w:val="24"/>
        </w:rPr>
        <w:t xml:space="preserve"> espécie. Contudo, os serviços em espécie também podem ser utilizados para construir ativo, caso em que o montante reconhecido a esse título é incluído no custo do ativo em construção.</w:t>
      </w:r>
    </w:p>
    <w:p w14:paraId="1F600606" w14:textId="086618FF"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A146. </w:t>
      </w:r>
      <w:r w:rsidR="001F7721">
        <w:rPr>
          <w:rFonts w:ascii="Calibri" w:hAnsi="Calibri" w:cs="Calibri"/>
          <w:b w:val="0"/>
          <w:bCs/>
          <w:sz w:val="24"/>
          <w:szCs w:val="24"/>
        </w:rPr>
        <w:tab/>
      </w:r>
      <w:r w:rsidRPr="00D81CAD">
        <w:rPr>
          <w:rFonts w:ascii="Calibri" w:hAnsi="Calibri" w:cs="Calibri"/>
          <w:b w:val="0"/>
          <w:bCs/>
          <w:sz w:val="24"/>
          <w:szCs w:val="24"/>
        </w:rPr>
        <w:t>As entidades do setor público podem receber serviços em espécie por meio de programas voluntários ou não voluntários operados no interesse público. Por exemplo:</w:t>
      </w:r>
    </w:p>
    <w:p w14:paraId="41D3E973" w14:textId="5B48C150" w:rsidR="00D81CAD" w:rsidRPr="00D81CAD" w:rsidRDefault="00D81CAD" w:rsidP="009D66EE">
      <w:pPr>
        <w:pStyle w:val="IASBSectionTitle1NonInd"/>
        <w:numPr>
          <w:ilvl w:val="1"/>
          <w:numId w:val="11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assistência técnica de outros governos ou de organizações internacionais;</w:t>
      </w:r>
    </w:p>
    <w:p w14:paraId="79AFAF60" w14:textId="112D05D0" w:rsidR="00D81CAD" w:rsidRPr="00D81CAD" w:rsidRDefault="00D81CAD" w:rsidP="009D66EE">
      <w:pPr>
        <w:pStyle w:val="IASBSectionTitle1NonInd"/>
        <w:numPr>
          <w:ilvl w:val="1"/>
          <w:numId w:val="11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pessoas condenadas por infrações podem ser obrigadas a prestar serviço comunitário a entidade do setor público;</w:t>
      </w:r>
    </w:p>
    <w:p w14:paraId="63E7E478" w14:textId="0744B7AF" w:rsidR="00D81CAD" w:rsidRPr="00D81CAD" w:rsidRDefault="00D81CAD" w:rsidP="009D66EE">
      <w:pPr>
        <w:pStyle w:val="IASBSectionTitle1NonInd"/>
        <w:numPr>
          <w:ilvl w:val="1"/>
          <w:numId w:val="11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hospitais públicos podem receber serviços de voluntários;</w:t>
      </w:r>
    </w:p>
    <w:p w14:paraId="5234AD54" w14:textId="7247741C" w:rsidR="00D81CAD" w:rsidRPr="00D81CAD" w:rsidRDefault="00D81CAD" w:rsidP="009D66EE">
      <w:pPr>
        <w:pStyle w:val="IASBSectionTitle1NonInd"/>
        <w:numPr>
          <w:ilvl w:val="1"/>
          <w:numId w:val="11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escolas públicas podem receber serviços voluntários de pais, como auxiliares de professores ou como membros de conselho; e</w:t>
      </w:r>
    </w:p>
    <w:p w14:paraId="49EA5245" w14:textId="3A3E5793" w:rsidR="00D81CAD" w:rsidRPr="00D81CAD" w:rsidRDefault="00D81CAD" w:rsidP="009D66EE">
      <w:pPr>
        <w:pStyle w:val="IASBSectionTitle1NonInd"/>
        <w:numPr>
          <w:ilvl w:val="1"/>
          <w:numId w:val="11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governos municipais podem receber serviços de bombeiros voluntários.</w:t>
      </w:r>
    </w:p>
    <w:p w14:paraId="3D630A57" w14:textId="4FD99167" w:rsidR="00D81CAD" w:rsidRPr="00DA1E98"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A147. </w:t>
      </w:r>
      <w:r w:rsidR="001F7721">
        <w:rPr>
          <w:rFonts w:ascii="Calibri" w:hAnsi="Calibri" w:cs="Calibri"/>
          <w:b w:val="0"/>
          <w:bCs/>
          <w:sz w:val="24"/>
          <w:szCs w:val="24"/>
        </w:rPr>
        <w:tab/>
      </w:r>
      <w:r w:rsidRPr="00D81CAD">
        <w:rPr>
          <w:rFonts w:ascii="Calibri" w:hAnsi="Calibri" w:cs="Calibri"/>
          <w:b w:val="0"/>
          <w:bCs/>
          <w:sz w:val="24"/>
          <w:szCs w:val="24"/>
        </w:rPr>
        <w:t xml:space="preserve">Alguns serviços em espécie não atendem à definição de ativo porque a entidade não tem controle suficiente sobre os serviços prestados. Em </w:t>
      </w:r>
      <w:r w:rsidRPr="00DA1E98">
        <w:rPr>
          <w:rFonts w:ascii="Calibri" w:hAnsi="Calibri" w:cs="Calibri"/>
          <w:b w:val="0"/>
          <w:bCs/>
          <w:sz w:val="24"/>
          <w:szCs w:val="24"/>
        </w:rPr>
        <w:t xml:space="preserve">outras circunstâncias, a entidade pode ter controle sobre os serviços em espécie, mas não conseguir mensurá-los </w:t>
      </w:r>
      <w:r w:rsidR="00061DB2" w:rsidRPr="00DA1E98">
        <w:rPr>
          <w:rFonts w:ascii="Calibri" w:hAnsi="Calibri" w:cs="Calibri"/>
          <w:b w:val="0"/>
          <w:bCs/>
          <w:sz w:val="24"/>
          <w:szCs w:val="24"/>
        </w:rPr>
        <w:t>confiavelmente</w:t>
      </w:r>
      <w:r w:rsidRPr="00DA1E98">
        <w:rPr>
          <w:rFonts w:ascii="Calibri" w:hAnsi="Calibri" w:cs="Calibri"/>
          <w:b w:val="0"/>
          <w:bCs/>
          <w:sz w:val="24"/>
          <w:szCs w:val="24"/>
        </w:rPr>
        <w:t xml:space="preserve">, deixando, assim, de satisfazer os critérios para reconhecimento como ativo. As entidades podem, contudo, conseguir mensurar o valor justo de determinados serviços em espécie, tais como serviços profissionais ou outros serviços em espécie prontamente disponíveis no mercado nacional ou internacional. Ao determinar o valor justo dos tipos de serviços em espécie descritos no item A146, a entidade pode concluir que o valor dos serviços não é </w:t>
      </w:r>
      <w:r w:rsidR="004918DE" w:rsidRPr="00DA1E98">
        <w:rPr>
          <w:rFonts w:ascii="Calibri" w:hAnsi="Calibri" w:cs="Calibri"/>
          <w:b w:val="0"/>
          <w:bCs/>
          <w:sz w:val="24"/>
          <w:szCs w:val="24"/>
        </w:rPr>
        <w:t>material</w:t>
      </w:r>
      <w:r w:rsidRPr="00DA1E98">
        <w:rPr>
          <w:rFonts w:ascii="Calibri" w:hAnsi="Calibri" w:cs="Calibri"/>
          <w:b w:val="0"/>
          <w:bCs/>
          <w:sz w:val="24"/>
          <w:szCs w:val="24"/>
        </w:rPr>
        <w:t>. Em muitos casos, os serviços em espécie são prestados por pessoas com pouca ou nenhuma qualificação e são fundamentalmente distintos dos serviços que a entidade adquiriria caso os serviços em espécie não estivessem disponíveis.</w:t>
      </w:r>
    </w:p>
    <w:p w14:paraId="1B908D51" w14:textId="18A7AFF1" w:rsidR="00D81CAD" w:rsidRPr="00DA1E98"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A1E98">
        <w:rPr>
          <w:rFonts w:ascii="Calibri" w:hAnsi="Calibri" w:cs="Calibri"/>
          <w:b w:val="0"/>
          <w:bCs/>
          <w:sz w:val="24"/>
          <w:szCs w:val="24"/>
        </w:rPr>
        <w:lastRenderedPageBreak/>
        <w:t xml:space="preserve">A148. </w:t>
      </w:r>
      <w:r w:rsidR="001F7721">
        <w:rPr>
          <w:rFonts w:ascii="Calibri" w:hAnsi="Calibri" w:cs="Calibri"/>
          <w:b w:val="0"/>
          <w:bCs/>
          <w:sz w:val="24"/>
          <w:szCs w:val="24"/>
        </w:rPr>
        <w:tab/>
      </w:r>
      <w:r w:rsidRPr="00DA1E98">
        <w:rPr>
          <w:rFonts w:ascii="Calibri" w:hAnsi="Calibri" w:cs="Calibri"/>
          <w:b w:val="0"/>
          <w:bCs/>
          <w:sz w:val="24"/>
          <w:szCs w:val="24"/>
        </w:rPr>
        <w:t xml:space="preserve">Em razão das muitas incertezas que cercam os serviços em espécie, entre as quais a capacidade de exercer controle sobre eles e de mensurar seu valor justo, esta norma não exige o seu reconhecimento. O item 175, contudo, incentiva fortemente a divulgação de informações qualitativas sobre a natureza e o tipo dos serviços em espécie recebidos durante o período a que se referem as demonstrações contábeis. Como em todas as divulgações, as relativas a serviços em espécie somente são realizadas se </w:t>
      </w:r>
      <w:r w:rsidR="004918DE" w:rsidRPr="00DA1E98">
        <w:rPr>
          <w:rFonts w:ascii="Calibri" w:hAnsi="Calibri" w:cs="Calibri"/>
          <w:b w:val="0"/>
          <w:bCs/>
          <w:sz w:val="24"/>
          <w:szCs w:val="24"/>
        </w:rPr>
        <w:t>materia</w:t>
      </w:r>
      <w:r w:rsidR="00350E43" w:rsidRPr="00DA1E98">
        <w:rPr>
          <w:rFonts w:ascii="Calibri" w:hAnsi="Calibri" w:cs="Calibri"/>
          <w:b w:val="0"/>
          <w:bCs/>
          <w:sz w:val="24"/>
          <w:szCs w:val="24"/>
        </w:rPr>
        <w:t>is</w:t>
      </w:r>
      <w:r w:rsidRPr="00DA1E98">
        <w:rPr>
          <w:rFonts w:ascii="Calibri" w:hAnsi="Calibri" w:cs="Calibri"/>
          <w:b w:val="0"/>
          <w:bCs/>
          <w:sz w:val="24"/>
          <w:szCs w:val="24"/>
        </w:rPr>
        <w:t xml:space="preserve">. Para algumas entidades do setor público, os serviços prestados por voluntários não são </w:t>
      </w:r>
      <w:r w:rsidR="004918DE" w:rsidRPr="00DA1E98">
        <w:rPr>
          <w:rFonts w:ascii="Calibri" w:hAnsi="Calibri" w:cs="Calibri"/>
          <w:b w:val="0"/>
          <w:bCs/>
          <w:sz w:val="24"/>
          <w:szCs w:val="24"/>
        </w:rPr>
        <w:t>materia</w:t>
      </w:r>
      <w:r w:rsidR="00350E43" w:rsidRPr="00DA1E98">
        <w:rPr>
          <w:rFonts w:ascii="Calibri" w:hAnsi="Calibri" w:cs="Calibri"/>
          <w:b w:val="0"/>
          <w:bCs/>
          <w:sz w:val="24"/>
          <w:szCs w:val="24"/>
        </w:rPr>
        <w:t>is</w:t>
      </w:r>
      <w:r w:rsidR="004918DE" w:rsidRPr="00DA1E98">
        <w:rPr>
          <w:rFonts w:ascii="Calibri" w:hAnsi="Calibri" w:cs="Calibri"/>
          <w:b w:val="0"/>
          <w:bCs/>
          <w:sz w:val="24"/>
          <w:szCs w:val="24"/>
        </w:rPr>
        <w:t xml:space="preserve"> </w:t>
      </w:r>
      <w:r w:rsidRPr="00DA1E98">
        <w:rPr>
          <w:rFonts w:ascii="Calibri" w:hAnsi="Calibri" w:cs="Calibri"/>
          <w:b w:val="0"/>
          <w:bCs/>
          <w:sz w:val="24"/>
          <w:szCs w:val="24"/>
        </w:rPr>
        <w:t>em montante, mas podem sê-lo por sua natureza.</w:t>
      </w:r>
    </w:p>
    <w:p w14:paraId="138A0A82" w14:textId="74156526"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A1E98">
        <w:rPr>
          <w:rFonts w:ascii="Calibri" w:hAnsi="Calibri" w:cs="Calibri"/>
          <w:b w:val="0"/>
          <w:bCs/>
          <w:sz w:val="24"/>
          <w:szCs w:val="24"/>
        </w:rPr>
        <w:t xml:space="preserve">A149. </w:t>
      </w:r>
      <w:r w:rsidR="001F7721">
        <w:rPr>
          <w:rFonts w:ascii="Calibri" w:hAnsi="Calibri" w:cs="Calibri"/>
          <w:b w:val="0"/>
          <w:bCs/>
          <w:sz w:val="24"/>
          <w:szCs w:val="24"/>
        </w:rPr>
        <w:tab/>
      </w:r>
      <w:r w:rsidRPr="00DA1E98">
        <w:rPr>
          <w:rFonts w:ascii="Calibri" w:hAnsi="Calibri" w:cs="Calibri"/>
          <w:b w:val="0"/>
          <w:bCs/>
          <w:sz w:val="24"/>
          <w:szCs w:val="24"/>
        </w:rPr>
        <w:t>Ao desenvolver política contábil que trate de uma classe de serviços em espécie</w:t>
      </w:r>
      <w:r w:rsidRPr="00D81CAD">
        <w:rPr>
          <w:rFonts w:ascii="Calibri" w:hAnsi="Calibri" w:cs="Calibri"/>
          <w:b w:val="0"/>
          <w:bCs/>
          <w:sz w:val="24"/>
          <w:szCs w:val="24"/>
        </w:rPr>
        <w:t>, diversos fatores devem ser considerados, entre os quais os efeitos desses serviços sobre a situação patrimonial, o desempenho e os fluxos de caixa da entidade. A medida em que a entidade depende de determinada classe de serviços em espécie para alcançar seus objetivos pode influenciar a política contábil que ela desenvolve quanto ao reconhecimento de ativos. Por exemplo, a entidade que depende de determinada classe de serviços em espécie para alcançar seus objetivos tende a reconhecer aqueles serviços em espécie que atendam à definição de ativo e satisfaçam os critérios de reconhecimento. Ao determinar se reconhece uma classe de serviços em espécie, também se consideram as práticas de entidades semelhantes que operem em ambiente semelhante.</w:t>
      </w:r>
    </w:p>
    <w:p w14:paraId="31C1EBE7"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Compromissos de Doação</w:t>
      </w:r>
    </w:p>
    <w:p w14:paraId="7783CC1D" w14:textId="73D65046"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A150. </w:t>
      </w:r>
      <w:r w:rsidR="001F7721">
        <w:rPr>
          <w:rFonts w:ascii="Calibri" w:hAnsi="Calibri" w:cs="Calibri"/>
          <w:b w:val="0"/>
          <w:bCs/>
          <w:sz w:val="24"/>
          <w:szCs w:val="24"/>
        </w:rPr>
        <w:tab/>
      </w:r>
      <w:r w:rsidRPr="00D81CAD">
        <w:rPr>
          <w:rFonts w:ascii="Calibri" w:hAnsi="Calibri" w:cs="Calibri"/>
          <w:b w:val="0"/>
          <w:bCs/>
          <w:sz w:val="24"/>
          <w:szCs w:val="24"/>
        </w:rPr>
        <w:t xml:space="preserve">Compromissos de doação são promessas inexequíveis de transferir ativos à entidade no futuro. Os compromissos de doação não atendem à definição de ativo, porque a entidade não consegue controlar o acesso do provedor de recursos aos benefícios </w:t>
      </w:r>
      <w:r w:rsidRPr="00DA1E98">
        <w:rPr>
          <w:rFonts w:ascii="Calibri" w:hAnsi="Calibri" w:cs="Calibri"/>
          <w:b w:val="0"/>
          <w:bCs/>
          <w:sz w:val="24"/>
          <w:szCs w:val="24"/>
        </w:rPr>
        <w:t>econômicos futuros ou ao potencial de serviços incorporados ao item prometido. As entidades não reconhecem os itens prometidos como ativos ou receita. Se o item prometido for posteriormente transferido à entidade, é reconhecido como presente ou doação, de acordo com os itens A164–A167. Os compromissos de doação podem requerer divulgação como ativos contingentes, nos termos da NBC TSP 03.</w:t>
      </w:r>
    </w:p>
    <w:p w14:paraId="163A7484"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Recebimentos Antecipados de Transferências</w:t>
      </w:r>
    </w:p>
    <w:p w14:paraId="5B94A8B8" w14:textId="7FD275CD"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A151. </w:t>
      </w:r>
      <w:r w:rsidR="001F7721">
        <w:rPr>
          <w:rFonts w:ascii="Calibri" w:hAnsi="Calibri" w:cs="Calibri"/>
          <w:b w:val="0"/>
          <w:bCs/>
          <w:sz w:val="24"/>
          <w:szCs w:val="24"/>
        </w:rPr>
        <w:tab/>
      </w:r>
      <w:r w:rsidRPr="00D81CAD">
        <w:rPr>
          <w:rFonts w:ascii="Calibri" w:hAnsi="Calibri" w:cs="Calibri"/>
          <w:b w:val="0"/>
          <w:bCs/>
          <w:sz w:val="24"/>
          <w:szCs w:val="24"/>
        </w:rPr>
        <w:t>Quando a entidade recebe recursos antes de o acordo de transferência se tornar vinculante, os recursos são reconhecidos como ativo quando atenderem à definição de ativo e satisfizerem os critérios para o seu reconhecimento. A entidade também reconhecerá passivo de recebimento antecipado enquanto o acordo de transferência ainda não for vinculante. Os recebimentos antecipados relativos a transferências não são essencialmente distintos dos demais recebimentos antecipados. Esse passivo (recebimento antecipado) pode ser reconhecido como passivo (receita diferida), de acordo com os itens 81–86, quando ocorrer o evento que torna o acordo de transferência vinculante, sendo posteriormente extinto quando (ou à medida que) todas as obrigações de cumprimento previstas no acordo forem satisfeitas.</w:t>
      </w:r>
    </w:p>
    <w:p w14:paraId="71198098"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Empréstimos Subsidiados</w:t>
      </w:r>
    </w:p>
    <w:p w14:paraId="7A673AAE" w14:textId="47FE3AB9" w:rsidR="00D81CAD" w:rsidRPr="00D81CAD" w:rsidRDefault="00D81CAD" w:rsidP="001F7721">
      <w:pPr>
        <w:pStyle w:val="IASBSectionTitle1NonInd"/>
        <w:pBdr>
          <w:bottom w:val="none" w:sz="0" w:space="0" w:color="auto"/>
        </w:pBdr>
        <w:spacing w:before="100" w:after="240"/>
        <w:ind w:left="708" w:hanging="708"/>
        <w:jc w:val="both"/>
        <w:rPr>
          <w:rFonts w:ascii="Calibri" w:hAnsi="Calibri" w:cs="Calibri"/>
          <w:b w:val="0"/>
          <w:bCs/>
          <w:sz w:val="24"/>
          <w:szCs w:val="24"/>
        </w:rPr>
      </w:pPr>
      <w:r w:rsidRPr="00D81CAD">
        <w:rPr>
          <w:rFonts w:ascii="Calibri" w:hAnsi="Calibri" w:cs="Calibri"/>
          <w:b w:val="0"/>
          <w:bCs/>
          <w:sz w:val="24"/>
          <w:szCs w:val="24"/>
        </w:rPr>
        <w:lastRenderedPageBreak/>
        <w:t>A152.</w:t>
      </w:r>
      <w:r w:rsidR="001F7721">
        <w:rPr>
          <w:rFonts w:ascii="Calibri" w:hAnsi="Calibri" w:cs="Calibri"/>
          <w:b w:val="0"/>
          <w:bCs/>
          <w:sz w:val="24"/>
          <w:szCs w:val="24"/>
        </w:rPr>
        <w:tab/>
      </w:r>
      <w:r w:rsidRPr="00D81CAD">
        <w:rPr>
          <w:rFonts w:ascii="Calibri" w:hAnsi="Calibri" w:cs="Calibri"/>
          <w:b w:val="0"/>
          <w:bCs/>
          <w:sz w:val="24"/>
          <w:szCs w:val="24"/>
        </w:rPr>
        <w:t xml:space="preserve"> Empréstimos subsidiados são empréstimos obtidos pela entidade em termos mais favoráveis que os de mercado. A parcela do empréstimo que é exequível, juntamente com quaisquer pagamentos de juros, é contabilizada de acordo com a NBC TSP 31. A entidade avalia se qualquer diferença entre a contraprestação da transação (montante recebido do empréstimo) e o valor justo do empréstimo no reconhecimento inicial (ver NBC TSP 31) constitui receita a ser contabilizada de acordo com esta norma.</w:t>
      </w:r>
    </w:p>
    <w:p w14:paraId="654321F7" w14:textId="7F1FB1C8"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A153. </w:t>
      </w:r>
      <w:r w:rsidR="001F7721">
        <w:rPr>
          <w:rFonts w:ascii="Calibri" w:hAnsi="Calibri" w:cs="Calibri"/>
          <w:b w:val="0"/>
          <w:bCs/>
          <w:sz w:val="24"/>
          <w:szCs w:val="24"/>
        </w:rPr>
        <w:tab/>
      </w:r>
      <w:r w:rsidRPr="00D81CAD">
        <w:rPr>
          <w:rFonts w:ascii="Calibri" w:hAnsi="Calibri" w:cs="Calibri"/>
          <w:b w:val="0"/>
          <w:bCs/>
          <w:sz w:val="24"/>
          <w:szCs w:val="24"/>
        </w:rPr>
        <w:t>Quando a entidade determinar que a diferença entre a contraprestação da transação (montante recebido do empréstimo) e o valor justo do empréstimo no reconhecimento inicial constitui receita, ela reconhece essa diferença como receita, salvo se existir obrigação de cumprimento, por exemplo, quando requisitos específicos impostos sobre os ativos transferidos resultarem em obrigação de cumprimento. Havendo obrigação de cumprimento, a entidade avalia se ela dá origem à existência e ao reconhecimento de passivo. À medida que a entidade satisfaz a obrigação de cumprimento, o passivo é reduzido e montante equivalente de receita é reconhecido.</w:t>
      </w:r>
    </w:p>
    <w:p w14:paraId="5B7AEB34"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Arrendamentos Subsidiados para Arrendatários</w:t>
      </w:r>
    </w:p>
    <w:p w14:paraId="159E0801" w14:textId="1D3D50B6" w:rsidR="00D81CAD" w:rsidRPr="00D81CAD" w:rsidRDefault="00D81CAD" w:rsidP="001F7721">
      <w:pPr>
        <w:pStyle w:val="IASBSectionTitle1NonInd"/>
        <w:pBdr>
          <w:bottom w:val="none" w:sz="0" w:space="0" w:color="auto"/>
        </w:pBdr>
        <w:spacing w:before="100" w:after="240"/>
        <w:ind w:left="851" w:hanging="851"/>
        <w:jc w:val="both"/>
        <w:rPr>
          <w:rFonts w:ascii="Calibri" w:hAnsi="Calibri" w:cs="Calibri"/>
          <w:b w:val="0"/>
          <w:bCs/>
          <w:sz w:val="24"/>
          <w:szCs w:val="24"/>
        </w:rPr>
      </w:pPr>
      <w:r w:rsidRPr="00D81CAD">
        <w:rPr>
          <w:rFonts w:ascii="Calibri" w:hAnsi="Calibri" w:cs="Calibri"/>
          <w:b w:val="0"/>
          <w:bCs/>
          <w:sz w:val="24"/>
          <w:szCs w:val="24"/>
        </w:rPr>
        <w:t>A153A. Arrendamentos subsidiados são arrendamentos obtidos pelo arrendatário em termos mais favoráveis que os de mercado. A parcela do arrendamento que é devida, juntamente com quaisquer pagamentos de juros, é contabilizada de acordo com a NBC TSP 35 – Arrendamentos. O arrendatário avalia se qualquer diferença entre o valor presente dos pagamentos do arrendamento a taxas de mercado, com base no uso atual do ativo subjacente, e o valor presente dos pagamentos contratuais no reconhecimento inicial constitui receita a ser contabilizada de acordo com esta norma.</w:t>
      </w:r>
    </w:p>
    <w:p w14:paraId="6AA5C73B" w14:textId="544E1761" w:rsidR="00D81CAD" w:rsidRPr="00D81CAD" w:rsidRDefault="00D81CAD" w:rsidP="001F7721">
      <w:pPr>
        <w:pStyle w:val="IASBSectionTitle1NonInd"/>
        <w:pBdr>
          <w:bottom w:val="none" w:sz="0" w:space="0" w:color="auto"/>
        </w:pBdr>
        <w:spacing w:before="100" w:after="240"/>
        <w:ind w:left="851" w:hanging="851"/>
        <w:jc w:val="both"/>
        <w:rPr>
          <w:rFonts w:ascii="Calibri" w:hAnsi="Calibri" w:cs="Calibri"/>
          <w:b w:val="0"/>
          <w:bCs/>
          <w:sz w:val="24"/>
          <w:szCs w:val="24"/>
        </w:rPr>
      </w:pPr>
      <w:r w:rsidRPr="00D81CAD">
        <w:rPr>
          <w:rFonts w:ascii="Calibri" w:hAnsi="Calibri" w:cs="Calibri"/>
          <w:b w:val="0"/>
          <w:bCs/>
          <w:sz w:val="24"/>
          <w:szCs w:val="24"/>
        </w:rPr>
        <w:t xml:space="preserve">A153B. </w:t>
      </w:r>
      <w:r w:rsidR="001F7721">
        <w:rPr>
          <w:rFonts w:ascii="Calibri" w:hAnsi="Calibri" w:cs="Calibri"/>
          <w:b w:val="0"/>
          <w:bCs/>
          <w:sz w:val="24"/>
          <w:szCs w:val="24"/>
        </w:rPr>
        <w:tab/>
      </w:r>
      <w:r w:rsidRPr="00D81CAD">
        <w:rPr>
          <w:rFonts w:ascii="Calibri" w:hAnsi="Calibri" w:cs="Calibri"/>
          <w:b w:val="0"/>
          <w:bCs/>
          <w:sz w:val="24"/>
          <w:szCs w:val="24"/>
        </w:rPr>
        <w:t>Quando o arrendatário determinar que a diferença entre o valor presente dos pagamentos do arrendamento a taxas de mercado, com base no uso atual do ativo subjacente, e o valor presente dos pagamentos contratuais no reconhecimento inicial constitui receita, ele reconhece essa diferença como receita, salvo se existir obrigação de cumprimento. Havendo obrigação de cumprimento, o arrendatário avalia se ela dá origem à existência e ao reconhecimento de passivo. À medida que o arrendatário satisfaz a obrigação de cumprimento, o passivo é reduzido e montante equivalente de receita é reconhecido.</w:t>
      </w:r>
    </w:p>
    <w:p w14:paraId="74D91D77"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Mensuração dos Ativos Transferidos</w:t>
      </w:r>
    </w:p>
    <w:p w14:paraId="484C41CF" w14:textId="52E3C618"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A154. </w:t>
      </w:r>
      <w:r w:rsidR="001F7721">
        <w:rPr>
          <w:rFonts w:ascii="Calibri" w:hAnsi="Calibri" w:cs="Calibri"/>
          <w:b w:val="0"/>
          <w:bCs/>
          <w:sz w:val="24"/>
          <w:szCs w:val="24"/>
        </w:rPr>
        <w:tab/>
      </w:r>
      <w:r w:rsidRPr="00D81CAD">
        <w:rPr>
          <w:rFonts w:ascii="Calibri" w:hAnsi="Calibri" w:cs="Calibri"/>
          <w:b w:val="0"/>
          <w:bCs/>
          <w:sz w:val="24"/>
          <w:szCs w:val="24"/>
        </w:rPr>
        <w:t>Conforme exigido pelo item 106, os ativos transferidos são mensurados pela contraprestação da transação na data do reconhecimento. Quando a entidade recebe contraprestação em forma que não seja em caixa, a contraprestação não monetária é inicialmente mensurada pelo seu valor corrente, de acordo com a NBC TSP aplicável;</w:t>
      </w:r>
    </w:p>
    <w:p w14:paraId="30858B7A" w14:textId="5C38E47B" w:rsidR="00D81CAD" w:rsidRPr="00D81CAD" w:rsidRDefault="00D81CAD" w:rsidP="003E7F4A">
      <w:pPr>
        <w:pStyle w:val="IASBSectionTitle1NonInd"/>
        <w:numPr>
          <w:ilvl w:val="1"/>
          <w:numId w:val="11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ativos como estoques, propriedades para investimento e ativos intangíveis adquiridos por meio de transações de receita devem ser inicialmente mensurados pelo seu valor justo na data de aquisição;</w:t>
      </w:r>
    </w:p>
    <w:p w14:paraId="0E4482AB" w14:textId="0DA237A6" w:rsidR="00D81CAD" w:rsidRPr="00D81CAD" w:rsidRDefault="00D81CAD" w:rsidP="003E7F4A">
      <w:pPr>
        <w:pStyle w:val="IASBSectionTitle1NonInd"/>
        <w:numPr>
          <w:ilvl w:val="1"/>
          <w:numId w:val="11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ativos imobilizados adquiridos por meio de transações de receita devem ser mensurados pelo seu custo atribuído na data de aquisição. O objetivo primário pelo qual a entidade mantém o ativo imobilizado determina a base de mensuração a valor corrente utilizada para determinar o custo atribuído (os ativos mantidos por sua capacidade operacional são mensurados pelo valor corrente operacional, e os ativos mantidos por sua capacidade financeira, pelo valor justo);</w:t>
      </w:r>
    </w:p>
    <w:p w14:paraId="75558833" w14:textId="233DA38A" w:rsidR="00D81CAD" w:rsidRPr="00D81CAD" w:rsidRDefault="00D81CAD" w:rsidP="003E7F4A">
      <w:pPr>
        <w:pStyle w:val="IASBSectionTitle1NonInd"/>
        <w:numPr>
          <w:ilvl w:val="1"/>
          <w:numId w:val="11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instrumentos financeiros, incluindo caixa e transferências a receber que satisfaçam a definição de instrumento financeiro, devem ser mensurados pela contraprestação da transação na data de aquisição, de acordo com o item 109 e a política contábil apropriada; e</w:t>
      </w:r>
    </w:p>
    <w:p w14:paraId="6D570190" w14:textId="0EB79C82" w:rsidR="00D81CAD" w:rsidRPr="00D81CAD" w:rsidRDefault="00D81CAD" w:rsidP="003E7F4A">
      <w:pPr>
        <w:pStyle w:val="IASBSectionTitle1NonInd"/>
        <w:numPr>
          <w:ilvl w:val="1"/>
          <w:numId w:val="11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ativos de direito de uso mantidos por arrendatário e adquiridos por meio de arrendamentos subsidiados devem ser inicialmente mensurados pelo valor presente dos pagamentos do arrendamento a taxas de mercado, com base no uso atual do ativo subjacente, de acordo com a NBC TSP 35.</w:t>
      </w:r>
    </w:p>
    <w:p w14:paraId="3DE3E706"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Perdão de Dívida e Assunção de Passivos</w:t>
      </w:r>
    </w:p>
    <w:p w14:paraId="6B22B8CE" w14:textId="0733691A"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A155. </w:t>
      </w:r>
      <w:r w:rsidR="001F7721">
        <w:rPr>
          <w:rFonts w:ascii="Calibri" w:hAnsi="Calibri" w:cs="Calibri"/>
          <w:b w:val="0"/>
          <w:bCs/>
          <w:sz w:val="24"/>
          <w:szCs w:val="24"/>
        </w:rPr>
        <w:tab/>
      </w:r>
      <w:r w:rsidRPr="00D81CAD">
        <w:rPr>
          <w:rFonts w:ascii="Calibri" w:hAnsi="Calibri" w:cs="Calibri"/>
          <w:b w:val="0"/>
          <w:bCs/>
          <w:sz w:val="24"/>
          <w:szCs w:val="24"/>
        </w:rPr>
        <w:t>Os credores por vezes renunciam ao direito de cobrar dívida devida por entidade do setor público, cancelando-a na prática. Por exemplo, o governo nacional pode cancelar empréstimo devido por governo municipal. Nas circunstâncias em que o credor perdoa um passivo, o governo municipal reduz o valor contábil do passivo existente e reconhece aumento nos ativos líquidos.</w:t>
      </w:r>
    </w:p>
    <w:p w14:paraId="2E1898B2" w14:textId="5A53D0E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A156. </w:t>
      </w:r>
      <w:r w:rsidR="001F7721">
        <w:rPr>
          <w:rFonts w:ascii="Calibri" w:hAnsi="Calibri" w:cs="Calibri"/>
          <w:b w:val="0"/>
          <w:bCs/>
          <w:sz w:val="24"/>
          <w:szCs w:val="24"/>
        </w:rPr>
        <w:tab/>
      </w:r>
      <w:r w:rsidRPr="00D81CAD">
        <w:rPr>
          <w:rFonts w:ascii="Calibri" w:hAnsi="Calibri" w:cs="Calibri"/>
          <w:b w:val="0"/>
          <w:bCs/>
          <w:sz w:val="24"/>
          <w:szCs w:val="24"/>
        </w:rPr>
        <w:t>As entidades reconhecem receita relativa ao perdão de dívida quando a dívida anterior deixar de atender à definição de passivo ou de satisfazer os critérios para o seu reconhecimento, desde que o perdão da dívida não satisfaça a definição de contribuição dos proprietários.</w:t>
      </w:r>
    </w:p>
    <w:p w14:paraId="00A6A0D6" w14:textId="5C8117AF"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A157. </w:t>
      </w:r>
      <w:r w:rsidR="001F7721">
        <w:rPr>
          <w:rFonts w:ascii="Calibri" w:hAnsi="Calibri" w:cs="Calibri"/>
          <w:b w:val="0"/>
          <w:bCs/>
          <w:sz w:val="24"/>
          <w:szCs w:val="24"/>
        </w:rPr>
        <w:tab/>
      </w:r>
      <w:r w:rsidRPr="00D81CAD">
        <w:rPr>
          <w:rFonts w:ascii="Calibri" w:hAnsi="Calibri" w:cs="Calibri"/>
          <w:b w:val="0"/>
          <w:bCs/>
          <w:sz w:val="24"/>
          <w:szCs w:val="24"/>
        </w:rPr>
        <w:t>Quando a entidade controladora perdoa dívida devida por controlada integral, ou assume seus passivos, a transação pode ser contribuição dos proprietários, conforme descrito nos itens A7–A9.</w:t>
      </w:r>
    </w:p>
    <w:p w14:paraId="1374DFC0" w14:textId="5F768D82"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A158. </w:t>
      </w:r>
      <w:r w:rsidR="001F7721">
        <w:rPr>
          <w:rFonts w:ascii="Calibri" w:hAnsi="Calibri" w:cs="Calibri"/>
          <w:b w:val="0"/>
          <w:bCs/>
          <w:sz w:val="24"/>
          <w:szCs w:val="24"/>
        </w:rPr>
        <w:tab/>
      </w:r>
      <w:r w:rsidRPr="00D81CAD">
        <w:rPr>
          <w:rFonts w:ascii="Calibri" w:hAnsi="Calibri" w:cs="Calibri"/>
          <w:b w:val="0"/>
          <w:bCs/>
          <w:sz w:val="24"/>
          <w:szCs w:val="24"/>
        </w:rPr>
        <w:t>A receita decorrente do perdão de dívida é mensurada pelo valor contábil da dívida perdoada.</w:t>
      </w:r>
    </w:p>
    <w:p w14:paraId="05B89076"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Multas</w:t>
      </w:r>
    </w:p>
    <w:p w14:paraId="148AB754" w14:textId="621F9482"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A159. </w:t>
      </w:r>
      <w:r w:rsidR="001F7721">
        <w:rPr>
          <w:rFonts w:ascii="Calibri" w:hAnsi="Calibri" w:cs="Calibri"/>
          <w:b w:val="0"/>
          <w:bCs/>
          <w:sz w:val="24"/>
          <w:szCs w:val="24"/>
        </w:rPr>
        <w:tab/>
      </w:r>
      <w:r w:rsidRPr="00D81CAD">
        <w:rPr>
          <w:rFonts w:ascii="Calibri" w:hAnsi="Calibri" w:cs="Calibri"/>
          <w:b w:val="0"/>
          <w:bCs/>
          <w:sz w:val="24"/>
          <w:szCs w:val="24"/>
        </w:rPr>
        <w:t>Multas são benefícios econômicos ou potencial de serviços recebidos ou a receber por entidade do setor público, de indivíduo ou de outra entidade, conforme determinado por tribunal ou por outra entidade com capacidade impositiva legal, como consequência da violação, por esse indivíduo ou entidade, de exigências de leis e/ou regulamentos. Em algumas jurisdições, as autoridades encarregadas da aplicação da lei podem impor multas a indivíduos considerados infratores. Nesses casos, o indivíduo normalmente poderá optar entre pagar a multa ou recorrer ao tribunal para se defender. Quando o réu celebra acordo com o órgão acusador que inclua o pagamento de penalidade em lugar de ser julgado, o pagamento é reconhecido como multa.</w:t>
      </w:r>
    </w:p>
    <w:p w14:paraId="28A7D30B" w14:textId="709128B9"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A160. </w:t>
      </w:r>
      <w:r w:rsidR="001F7721">
        <w:rPr>
          <w:rFonts w:ascii="Calibri" w:hAnsi="Calibri" w:cs="Calibri"/>
          <w:b w:val="0"/>
          <w:bCs/>
          <w:sz w:val="24"/>
          <w:szCs w:val="24"/>
        </w:rPr>
        <w:tab/>
      </w:r>
      <w:r w:rsidRPr="00D81CAD">
        <w:rPr>
          <w:rFonts w:ascii="Calibri" w:hAnsi="Calibri" w:cs="Calibri"/>
          <w:b w:val="0"/>
          <w:bCs/>
          <w:sz w:val="24"/>
          <w:szCs w:val="24"/>
        </w:rPr>
        <w:t xml:space="preserve">As multas normalmente exigem que a entidade transfira montante fixo em caixa ao governo e não impõem a </w:t>
      </w:r>
      <w:proofErr w:type="gramStart"/>
      <w:r w:rsidRPr="00D81CAD">
        <w:rPr>
          <w:rFonts w:ascii="Calibri" w:hAnsi="Calibri" w:cs="Calibri"/>
          <w:b w:val="0"/>
          <w:bCs/>
          <w:sz w:val="24"/>
          <w:szCs w:val="24"/>
        </w:rPr>
        <w:t>este qualquer obrigação passível</w:t>
      </w:r>
      <w:proofErr w:type="gramEnd"/>
      <w:r w:rsidRPr="00D81CAD">
        <w:rPr>
          <w:rFonts w:ascii="Calibri" w:hAnsi="Calibri" w:cs="Calibri"/>
          <w:b w:val="0"/>
          <w:bCs/>
          <w:sz w:val="24"/>
          <w:szCs w:val="24"/>
        </w:rPr>
        <w:t xml:space="preserve"> de reconhecimento como passivo. Assim, as multas são reconhecidas como receita quando o valor a receber atende à definição de ativo e satisfaz os critérios para o seu reconhecimento previstos no item 18. Conforme observado no item 5, quando a entidade arrecada multas na condição de agente, a multa não será receita da entidade arrecadadora. Os ativos decorrentes de multas são mensurados pela melhor estimativa da entrada de recursos para a entidade.</w:t>
      </w:r>
    </w:p>
    <w:p w14:paraId="49580DB2"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Heranças</w:t>
      </w:r>
    </w:p>
    <w:p w14:paraId="52124CCD" w14:textId="0BD437D2"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A161. </w:t>
      </w:r>
      <w:r w:rsidR="001F7721">
        <w:rPr>
          <w:rFonts w:ascii="Calibri" w:hAnsi="Calibri" w:cs="Calibri"/>
          <w:b w:val="0"/>
          <w:bCs/>
          <w:sz w:val="24"/>
          <w:szCs w:val="24"/>
        </w:rPr>
        <w:tab/>
      </w:r>
      <w:r w:rsidRPr="00D81CAD">
        <w:rPr>
          <w:rFonts w:ascii="Calibri" w:hAnsi="Calibri" w:cs="Calibri"/>
          <w:b w:val="0"/>
          <w:bCs/>
          <w:sz w:val="24"/>
          <w:szCs w:val="24"/>
        </w:rPr>
        <w:t>Herança é a transferência de recursos realizada de acordo com as disposições do testamento de pessoa falecida. O evento passado que dá origem ao controle de recursos que incorporam benefícios econômicos futuros ou potencial de serviços, no caso de herança, ocorre quando a entidade passa a ter direito exequível, por exemplo, com o falecimento do testador ou com a abertura do inventário, conforme as leis e/ou regulamentos da jurisdição.</w:t>
      </w:r>
    </w:p>
    <w:p w14:paraId="2319429F" w14:textId="676E3B71"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A162. </w:t>
      </w:r>
      <w:r w:rsidR="001F7721">
        <w:rPr>
          <w:rFonts w:ascii="Calibri" w:hAnsi="Calibri" w:cs="Calibri"/>
          <w:b w:val="0"/>
          <w:bCs/>
          <w:sz w:val="24"/>
          <w:szCs w:val="24"/>
        </w:rPr>
        <w:tab/>
      </w:r>
      <w:r w:rsidRPr="00D81CAD">
        <w:rPr>
          <w:rFonts w:ascii="Calibri" w:hAnsi="Calibri" w:cs="Calibri"/>
          <w:b w:val="0"/>
          <w:bCs/>
          <w:sz w:val="24"/>
          <w:szCs w:val="24"/>
        </w:rPr>
        <w:t xml:space="preserve">As heranças que satisfaçam a definição de ativo são reconhecidas como ativo e receita quando for provável que os benefícios econômicos futuros ou o </w:t>
      </w:r>
      <w:r w:rsidRPr="00DA1E98">
        <w:rPr>
          <w:rFonts w:ascii="Calibri" w:hAnsi="Calibri" w:cs="Calibri"/>
          <w:b w:val="0"/>
          <w:bCs/>
          <w:sz w:val="24"/>
          <w:szCs w:val="24"/>
        </w:rPr>
        <w:t xml:space="preserve">potencial de serviços fluirão para a entidade e a contraprestação da transação dos ativos puder ser mensurada </w:t>
      </w:r>
      <w:r w:rsidR="00061DB2" w:rsidRPr="00DA1E98">
        <w:rPr>
          <w:rFonts w:ascii="Calibri" w:hAnsi="Calibri" w:cs="Calibri"/>
          <w:b w:val="0"/>
          <w:bCs/>
          <w:sz w:val="24"/>
          <w:szCs w:val="24"/>
        </w:rPr>
        <w:t>confiavelmente</w:t>
      </w:r>
      <w:r w:rsidRPr="00DA1E98">
        <w:rPr>
          <w:rFonts w:ascii="Calibri" w:hAnsi="Calibri" w:cs="Calibri"/>
          <w:b w:val="0"/>
          <w:bCs/>
          <w:sz w:val="24"/>
          <w:szCs w:val="24"/>
        </w:rPr>
        <w:t>. A determinação da probabilidade de entrada de benefícios econômicos futuros ou de</w:t>
      </w:r>
      <w:r w:rsidRPr="00D81CAD">
        <w:rPr>
          <w:rFonts w:ascii="Calibri" w:hAnsi="Calibri" w:cs="Calibri"/>
          <w:b w:val="0"/>
          <w:bCs/>
          <w:sz w:val="24"/>
          <w:szCs w:val="24"/>
        </w:rPr>
        <w:t xml:space="preserve"> potencial de serviços pode ser problemática se transcorrer certo período entre o falecimento do testador e o recebimento dos ativos pela entidade. A entidade precisará determinar se o espólio da pessoa falecida é suficiente para atender a todas as pretensões contra ele e satisfazer todas as heranças. A existência de litígio sobre o testamento também afetará a probabilidade de os ativos fluírem para a entidade.</w:t>
      </w:r>
    </w:p>
    <w:p w14:paraId="1B1D81B1" w14:textId="0AEB5B2F"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A163. </w:t>
      </w:r>
      <w:r w:rsidR="001F7721">
        <w:rPr>
          <w:rFonts w:ascii="Calibri" w:hAnsi="Calibri" w:cs="Calibri"/>
          <w:b w:val="0"/>
          <w:bCs/>
          <w:sz w:val="24"/>
          <w:szCs w:val="24"/>
        </w:rPr>
        <w:tab/>
      </w:r>
      <w:r w:rsidRPr="00D81CAD">
        <w:rPr>
          <w:rFonts w:ascii="Calibri" w:hAnsi="Calibri" w:cs="Calibri"/>
          <w:b w:val="0"/>
          <w:bCs/>
          <w:sz w:val="24"/>
          <w:szCs w:val="24"/>
        </w:rPr>
        <w:t xml:space="preserve">A contraprestação da transação dos ativos herdados é determinada da mesma maneira que a dos presentes e doações, conforme descrito no item A166. Nas jurisdições em que os espólios estão sujeitos </w:t>
      </w:r>
      <w:proofErr w:type="spellStart"/>
      <w:r w:rsidRPr="00D81CAD">
        <w:rPr>
          <w:rFonts w:ascii="Calibri" w:hAnsi="Calibri" w:cs="Calibri"/>
          <w:b w:val="0"/>
          <w:bCs/>
          <w:sz w:val="24"/>
          <w:szCs w:val="24"/>
        </w:rPr>
        <w:t>a</w:t>
      </w:r>
      <w:proofErr w:type="spellEnd"/>
      <w:r w:rsidRPr="00D81CAD">
        <w:rPr>
          <w:rFonts w:ascii="Calibri" w:hAnsi="Calibri" w:cs="Calibri"/>
          <w:b w:val="0"/>
          <w:bCs/>
          <w:sz w:val="24"/>
          <w:szCs w:val="24"/>
        </w:rPr>
        <w:t xml:space="preserve"> tributação, a autoridade tributária pode já ter determinado a contraprestação da transação do ativo herdado pela entidade, e esse montante pode estar à sua disposição. As heranças são mensuradas pela contraprestação da transação dos recursos recebidos ou a receber.</w:t>
      </w:r>
    </w:p>
    <w:p w14:paraId="5605120E"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Presentes e Doações, Incluindo Bens em Espécie</w:t>
      </w:r>
    </w:p>
    <w:p w14:paraId="1B928A1D" w14:textId="0215DA97"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A164. </w:t>
      </w:r>
      <w:r w:rsidR="001F7721">
        <w:rPr>
          <w:rFonts w:ascii="Calibri" w:hAnsi="Calibri" w:cs="Calibri"/>
          <w:b w:val="0"/>
          <w:bCs/>
          <w:sz w:val="24"/>
          <w:szCs w:val="24"/>
        </w:rPr>
        <w:tab/>
      </w:r>
      <w:r w:rsidRPr="00D81CAD">
        <w:rPr>
          <w:rFonts w:ascii="Calibri" w:hAnsi="Calibri" w:cs="Calibri"/>
          <w:b w:val="0"/>
          <w:bCs/>
          <w:sz w:val="24"/>
          <w:szCs w:val="24"/>
        </w:rPr>
        <w:t>Presentes e doações são transferências voluntárias de ativos, incluindo caixa ou outros ativos monetários, bens em espécie e serviços em espécie, que uma entidade faz a outra, normalmente sem exigências. O provedor de recursos pode ser uma entidade ou um indivíduo. Nos presentes e doações de caixa ou de outros ativos monetários e de bens em espécie, o evento passado que dá origem ao controle de recursos que incorporam benefícios econômicos futuros ou potencial de serviços é normalmente o recebimento do presente ou da doação. A realização do presente ou da doação e a transferência da titularidade legal são frequentemente simultâneas; nessas circunstâncias, não há dúvida quanto aos benefícios econômicos futuros ou ao potencial de serviços que fluem para a entidade.</w:t>
      </w:r>
    </w:p>
    <w:p w14:paraId="5FC94B02" w14:textId="1B6F9565"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A165. </w:t>
      </w:r>
      <w:r w:rsidR="001F7721">
        <w:rPr>
          <w:rFonts w:ascii="Calibri" w:hAnsi="Calibri" w:cs="Calibri"/>
          <w:b w:val="0"/>
          <w:bCs/>
          <w:sz w:val="24"/>
          <w:szCs w:val="24"/>
        </w:rPr>
        <w:tab/>
      </w:r>
      <w:r w:rsidRPr="00D81CAD">
        <w:rPr>
          <w:rFonts w:ascii="Calibri" w:hAnsi="Calibri" w:cs="Calibri"/>
          <w:b w:val="0"/>
          <w:bCs/>
          <w:sz w:val="24"/>
          <w:szCs w:val="24"/>
        </w:rPr>
        <w:t>Bens em espécie são ativos tangíveis transferidos à entidade em transação que não exige a transferência de bens ou serviços distintos a parte externa, mas que pode estar sujeita a determinadas obrigações. A assistência externa fornecida por organizações multilaterais ou bilaterais de desenvolvimento frequentemente inclui componente de bens em espécie.</w:t>
      </w:r>
    </w:p>
    <w:p w14:paraId="484F68B6" w14:textId="22C3029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A166. </w:t>
      </w:r>
      <w:r w:rsidR="001F7721">
        <w:rPr>
          <w:rFonts w:ascii="Calibri" w:hAnsi="Calibri" w:cs="Calibri"/>
          <w:b w:val="0"/>
          <w:bCs/>
          <w:sz w:val="24"/>
          <w:szCs w:val="24"/>
        </w:rPr>
        <w:tab/>
      </w:r>
      <w:r w:rsidRPr="00D81CAD">
        <w:rPr>
          <w:rFonts w:ascii="Calibri" w:hAnsi="Calibri" w:cs="Calibri"/>
          <w:b w:val="0"/>
          <w:bCs/>
          <w:sz w:val="24"/>
          <w:szCs w:val="24"/>
        </w:rPr>
        <w:t>O reconhecimento de presentes ou doações de serviços em espécie é tratado nos itens A143–A149. Os presentes e doações que não sejam serviços em espécie nem bens em espécie são reconhecidos como ativo de acordo com os itens 18–25, e o reconhecimento da receita depende de decorrerem, ou não, de transação com acordo vinculante.</w:t>
      </w:r>
    </w:p>
    <w:p w14:paraId="2970F7EB" w14:textId="2E4601A4"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A167. </w:t>
      </w:r>
      <w:r w:rsidR="001F7721">
        <w:rPr>
          <w:rFonts w:ascii="Calibri" w:hAnsi="Calibri" w:cs="Calibri"/>
          <w:b w:val="0"/>
          <w:bCs/>
          <w:sz w:val="24"/>
          <w:szCs w:val="24"/>
        </w:rPr>
        <w:tab/>
      </w:r>
      <w:r w:rsidRPr="00D81CAD">
        <w:rPr>
          <w:rFonts w:ascii="Calibri" w:hAnsi="Calibri" w:cs="Calibri"/>
          <w:b w:val="0"/>
          <w:bCs/>
          <w:sz w:val="24"/>
          <w:szCs w:val="24"/>
        </w:rPr>
        <w:t>No reconhecimento inicial, os presentes e doações (inclusive os bens em espécie) são mensurados pela contraprestação da transação na data de aquisição, de acordo com o item 30.</w:t>
      </w:r>
    </w:p>
    <w:p w14:paraId="6DE3B820"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Licenciamento</w:t>
      </w:r>
    </w:p>
    <w:p w14:paraId="541BA7F3" w14:textId="4EB9B45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A168. </w:t>
      </w:r>
      <w:r w:rsidR="001F7721">
        <w:rPr>
          <w:rFonts w:ascii="Calibri" w:hAnsi="Calibri" w:cs="Calibri"/>
          <w:b w:val="0"/>
          <w:bCs/>
          <w:sz w:val="24"/>
          <w:szCs w:val="24"/>
        </w:rPr>
        <w:tab/>
      </w:r>
      <w:r w:rsidRPr="00D81CAD">
        <w:rPr>
          <w:rFonts w:ascii="Calibri" w:hAnsi="Calibri" w:cs="Calibri"/>
          <w:b w:val="0"/>
          <w:bCs/>
          <w:sz w:val="24"/>
          <w:szCs w:val="24"/>
        </w:rPr>
        <w:t>A licença estabelece os direitos do provedor de recursos sobre a propriedade intelectual da entidade. As licenças de propriedade intelectual podem incluir, entre outras, licenças de:</w:t>
      </w:r>
    </w:p>
    <w:p w14:paraId="4406E6B9" w14:textId="5B5DC0DD" w:rsidR="00D81CAD" w:rsidRPr="00D81CAD" w:rsidRDefault="00D81CAD" w:rsidP="003E7F4A">
      <w:pPr>
        <w:pStyle w:val="IASBSectionTitle1NonInd"/>
        <w:numPr>
          <w:ilvl w:val="1"/>
          <w:numId w:val="11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software e tecnologia;</w:t>
      </w:r>
    </w:p>
    <w:p w14:paraId="57CE320E" w14:textId="36BCD413" w:rsidR="00D81CAD" w:rsidRPr="00D81CAD" w:rsidRDefault="00D81CAD" w:rsidP="003E7F4A">
      <w:pPr>
        <w:pStyle w:val="IASBSectionTitle1NonInd"/>
        <w:numPr>
          <w:ilvl w:val="1"/>
          <w:numId w:val="11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obras cinematográficas, música e outras formas de mídia e entretenimento;</w:t>
      </w:r>
    </w:p>
    <w:p w14:paraId="1C631DAD" w14:textId="0520A510" w:rsidR="00D81CAD" w:rsidRPr="00D81CAD" w:rsidRDefault="00D81CAD" w:rsidP="003E7F4A">
      <w:pPr>
        <w:pStyle w:val="IASBSectionTitle1NonInd"/>
        <w:numPr>
          <w:ilvl w:val="1"/>
          <w:numId w:val="11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franquias; e</w:t>
      </w:r>
    </w:p>
    <w:p w14:paraId="2176407A" w14:textId="50690737" w:rsidR="00D81CAD" w:rsidRPr="00D81CAD" w:rsidRDefault="00D81CAD" w:rsidP="003E7F4A">
      <w:pPr>
        <w:pStyle w:val="IASBSectionTitle1NonInd"/>
        <w:numPr>
          <w:ilvl w:val="1"/>
          <w:numId w:val="11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patentes, marcas e direitos autorais.</w:t>
      </w:r>
    </w:p>
    <w:p w14:paraId="50945EDD" w14:textId="454742B2"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A169. </w:t>
      </w:r>
      <w:r w:rsidR="001F7721">
        <w:rPr>
          <w:rFonts w:ascii="Calibri" w:hAnsi="Calibri" w:cs="Calibri"/>
          <w:b w:val="0"/>
          <w:bCs/>
          <w:sz w:val="24"/>
          <w:szCs w:val="24"/>
        </w:rPr>
        <w:tab/>
      </w:r>
      <w:r w:rsidRPr="00D81CAD">
        <w:rPr>
          <w:rFonts w:ascii="Calibri" w:hAnsi="Calibri" w:cs="Calibri"/>
          <w:b w:val="0"/>
          <w:bCs/>
          <w:sz w:val="24"/>
          <w:szCs w:val="24"/>
        </w:rPr>
        <w:t>Além da promessa de conceder licença (ou licenças) ao provedor de recursos, a entidade também pode prometer transferir outros bens ou serviços ao comprador ou ao terceiro beneficiário. Essas promessas podem estar declaradas expressamente no acordo vinculante ou implícitas nas práticas habituais da entidade, em suas políticas divulgadas ou em declarações específicas (ver item 71). Como nos demais tipos de acordo vinculante, quando o acordo celebrado com provedor de recursos contiver promessa de conceder licença (ou licenças) além de outros bens ou serviços prometidos, a entidade aplica os itens 68–77 para identificar cada uma das obrigações de cumprimento do acordo.</w:t>
      </w:r>
    </w:p>
    <w:p w14:paraId="67081641" w14:textId="59D67423"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A170. </w:t>
      </w:r>
      <w:r w:rsidR="001F7721">
        <w:rPr>
          <w:rFonts w:ascii="Calibri" w:hAnsi="Calibri" w:cs="Calibri"/>
          <w:b w:val="0"/>
          <w:bCs/>
          <w:sz w:val="24"/>
          <w:szCs w:val="24"/>
        </w:rPr>
        <w:tab/>
      </w:r>
      <w:r w:rsidRPr="00D81CAD">
        <w:rPr>
          <w:rFonts w:ascii="Calibri" w:hAnsi="Calibri" w:cs="Calibri"/>
          <w:b w:val="0"/>
          <w:bCs/>
          <w:sz w:val="24"/>
          <w:szCs w:val="24"/>
        </w:rPr>
        <w:t>Se a promessa de conceder licença não for distinta dos demais bens ou serviços prometidos no acordo vinculante, de acordo com os itens 73–77, a entidade deve contabilizar em conjunto, como obrigação de cumprimento única, a promessa de conceder a licença e esses outros bens ou serviços prometidos. São exemplos de licenças que não são distintas dos demais bens ou serviços prometidos no acordo vinculante:</w:t>
      </w:r>
    </w:p>
    <w:p w14:paraId="3C4AB0E0" w14:textId="218B31BD" w:rsidR="00D81CAD" w:rsidRPr="00D81CAD" w:rsidRDefault="00D81CAD" w:rsidP="003E7F4A">
      <w:pPr>
        <w:pStyle w:val="IASBSectionTitle1NonInd"/>
        <w:numPr>
          <w:ilvl w:val="1"/>
          <w:numId w:val="11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licença que constitua componente de bem tangível e que seja essencial à funcionalidade desse bem; e</w:t>
      </w:r>
    </w:p>
    <w:p w14:paraId="1870657B" w14:textId="73FFF11B" w:rsidR="00D81CAD" w:rsidRPr="00D81CAD" w:rsidRDefault="00D81CAD" w:rsidP="003E7F4A">
      <w:pPr>
        <w:pStyle w:val="IASBSectionTitle1NonInd"/>
        <w:numPr>
          <w:ilvl w:val="1"/>
          <w:numId w:val="11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licença a partir da qual o comprador ou o terceiro beneficiário só possa gerar benefícios econômicos ou potencial de serviços em conjunto com serviço relacionado (tal como serviço em linha prestado pela entidade que permita, mediante a concessão de licença, o acesso do comprador ou do terceiro beneficiário a determinado conteúdo).</w:t>
      </w:r>
    </w:p>
    <w:p w14:paraId="2AF1ECF0" w14:textId="13325BE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A171. </w:t>
      </w:r>
      <w:r w:rsidR="001F7721">
        <w:rPr>
          <w:rFonts w:ascii="Calibri" w:hAnsi="Calibri" w:cs="Calibri"/>
          <w:b w:val="0"/>
          <w:bCs/>
          <w:sz w:val="24"/>
          <w:szCs w:val="24"/>
        </w:rPr>
        <w:tab/>
      </w:r>
      <w:r w:rsidRPr="00D81CAD">
        <w:rPr>
          <w:rFonts w:ascii="Calibri" w:hAnsi="Calibri" w:cs="Calibri"/>
          <w:b w:val="0"/>
          <w:bCs/>
          <w:sz w:val="24"/>
          <w:szCs w:val="24"/>
        </w:rPr>
        <w:t>Se a licença não for distinta, a entidade deve aplicar os itens 87–97 para determinar se a obrigação de cumprimento (que compreende a licença prometida) é satisfeita ao longo do tempo ou em determinado momento.</w:t>
      </w:r>
    </w:p>
    <w:p w14:paraId="1E1B7115" w14:textId="0DFB6F34"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A172. </w:t>
      </w:r>
      <w:r w:rsidR="001F7721">
        <w:rPr>
          <w:rFonts w:ascii="Calibri" w:hAnsi="Calibri" w:cs="Calibri"/>
          <w:b w:val="0"/>
          <w:bCs/>
          <w:sz w:val="24"/>
          <w:szCs w:val="24"/>
        </w:rPr>
        <w:tab/>
      </w:r>
      <w:r w:rsidRPr="00D81CAD">
        <w:rPr>
          <w:rFonts w:ascii="Calibri" w:hAnsi="Calibri" w:cs="Calibri"/>
          <w:b w:val="0"/>
          <w:bCs/>
          <w:sz w:val="24"/>
          <w:szCs w:val="24"/>
        </w:rPr>
        <w:t>Se a promessa de conceder a licença for distinta dos demais bens ou serviços prometidos no acordo vinculante e, portanto, constituir obrigação de cumprimento separada, a entidade deve determinar se a licença é transferida ao comprador ou ao terceiro beneficiário em determinado momento ou ao longo do tempo. Para essa determinação, a entidade deve considerar se a natureza de sua promessa, ao conceder a licença ao comprador ou ao terceiro beneficiário, é a de fornecer ao provedor de recursos:</w:t>
      </w:r>
    </w:p>
    <w:p w14:paraId="1DCDE775" w14:textId="579381E5" w:rsidR="00D81CAD" w:rsidRPr="00D81CAD" w:rsidRDefault="00D81CAD" w:rsidP="003E7F4A">
      <w:pPr>
        <w:pStyle w:val="IASBSectionTitle1NonInd"/>
        <w:numPr>
          <w:ilvl w:val="1"/>
          <w:numId w:val="11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 de acesso à propriedade intelectual da entidade tal como ela existir ao longo do período da licença; ou</w:t>
      </w:r>
    </w:p>
    <w:p w14:paraId="7F352926" w14:textId="50EB063B" w:rsidR="00D81CAD" w:rsidRPr="00D81CAD" w:rsidRDefault="00D81CAD" w:rsidP="003E7F4A">
      <w:pPr>
        <w:pStyle w:val="IASBSectionTitle1NonInd"/>
        <w:numPr>
          <w:ilvl w:val="1"/>
          <w:numId w:val="11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 de uso da propriedade intelectual da entidade tal como ela existir no momento em que a licença for concedida.</w:t>
      </w:r>
    </w:p>
    <w:p w14:paraId="3578991B"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Determinação da Natureza da Promessa da Entidade</w:t>
      </w:r>
    </w:p>
    <w:p w14:paraId="6E9675DA" w14:textId="01E5D4AB"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A173. </w:t>
      </w:r>
      <w:r w:rsidR="001F7721">
        <w:rPr>
          <w:rFonts w:ascii="Calibri" w:hAnsi="Calibri" w:cs="Calibri"/>
          <w:b w:val="0"/>
          <w:bCs/>
          <w:sz w:val="24"/>
          <w:szCs w:val="24"/>
        </w:rPr>
        <w:tab/>
      </w:r>
      <w:r w:rsidRPr="00D81CAD">
        <w:rPr>
          <w:rFonts w:ascii="Calibri" w:hAnsi="Calibri" w:cs="Calibri"/>
          <w:b w:val="0"/>
          <w:bCs/>
          <w:sz w:val="24"/>
          <w:szCs w:val="24"/>
        </w:rPr>
        <w:t>A natureza da promessa da entidade ao conceder licença é a de fornecer direito de acesso à sua propriedade intelectual se todos os seguintes critérios forem atendidos:</w:t>
      </w:r>
    </w:p>
    <w:p w14:paraId="1D340C41" w14:textId="63204A79" w:rsidR="00D81CAD" w:rsidRPr="00D81CAD" w:rsidRDefault="00D81CAD" w:rsidP="003E7F4A">
      <w:pPr>
        <w:pStyle w:val="IASBSectionTitle1NonInd"/>
        <w:numPr>
          <w:ilvl w:val="1"/>
          <w:numId w:val="11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acordo vinculante exige, ou o provedor de recursos razoavelmente espera, que a entidade realize atividades que afetem significativamente a propriedade intelectual sobre a qual ele tem direitos (ver itens A174–A175);</w:t>
      </w:r>
    </w:p>
    <w:p w14:paraId="70C6EE5B" w14:textId="68D5F180" w:rsidR="00D81CAD" w:rsidRPr="00D81CAD" w:rsidRDefault="00D81CAD" w:rsidP="003E7F4A">
      <w:pPr>
        <w:pStyle w:val="IASBSectionTitle1NonInd"/>
        <w:numPr>
          <w:ilvl w:val="1"/>
          <w:numId w:val="11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direitos conferidos pela licença expõem diretamente o comprador ou o terceiro beneficiário a quaisquer efeitos, positivos ou negativos, das atividades da entidade identificadas no item A173(a); e</w:t>
      </w:r>
    </w:p>
    <w:p w14:paraId="1AB3039C" w14:textId="729EAAC4" w:rsidR="00D81CAD" w:rsidRPr="00D81CAD" w:rsidRDefault="00D81CAD" w:rsidP="003E7F4A">
      <w:pPr>
        <w:pStyle w:val="IASBSectionTitle1NonInd"/>
        <w:numPr>
          <w:ilvl w:val="1"/>
          <w:numId w:val="11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essas atividades não resultam na transferência de bem ou serviço ao comprador ou ao terceiro beneficiário à medida que ocorrem (ver item 72).</w:t>
      </w:r>
    </w:p>
    <w:p w14:paraId="609E3689" w14:textId="691C4F21"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A174. </w:t>
      </w:r>
      <w:r w:rsidR="001F7721">
        <w:rPr>
          <w:rFonts w:ascii="Calibri" w:hAnsi="Calibri" w:cs="Calibri"/>
          <w:b w:val="0"/>
          <w:bCs/>
          <w:sz w:val="24"/>
          <w:szCs w:val="24"/>
        </w:rPr>
        <w:tab/>
      </w:r>
      <w:r w:rsidRPr="00D81CAD">
        <w:rPr>
          <w:rFonts w:ascii="Calibri" w:hAnsi="Calibri" w:cs="Calibri"/>
          <w:b w:val="0"/>
          <w:bCs/>
          <w:sz w:val="24"/>
          <w:szCs w:val="24"/>
        </w:rPr>
        <w:t>Fatores que podem indicar que o provedor de recursos poderia razoavelmente esperar que a entidade realize atividades que afetem significativamente a propriedade intelectual incluem as práticas habituais da entidade, suas políticas divulgadas ou declarações específicas. Embora não seja determinante, a existência de interesse econômico compartilhado (por exemplo, royalty baseado em vendas) entre a entidade e o provedor de recursos, relativo à propriedade intelectual sobre a qual este tem direitos, também pode indicar que ele poderia razoavelmente esperar que a entidade realize tais atividades.</w:t>
      </w:r>
    </w:p>
    <w:p w14:paraId="309F0ED2" w14:textId="7E1488DE"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A175. </w:t>
      </w:r>
      <w:r w:rsidR="001F7721">
        <w:rPr>
          <w:rFonts w:ascii="Calibri" w:hAnsi="Calibri" w:cs="Calibri"/>
          <w:b w:val="0"/>
          <w:bCs/>
          <w:sz w:val="24"/>
          <w:szCs w:val="24"/>
        </w:rPr>
        <w:tab/>
      </w:r>
      <w:r w:rsidRPr="00D81CAD">
        <w:rPr>
          <w:rFonts w:ascii="Calibri" w:hAnsi="Calibri" w:cs="Calibri"/>
          <w:b w:val="0"/>
          <w:bCs/>
          <w:sz w:val="24"/>
          <w:szCs w:val="24"/>
        </w:rPr>
        <w:t>As atividades da entidade afetam significativamente a propriedade intelectual sobre a qual o provedor de recursos tem direitos quando:</w:t>
      </w:r>
    </w:p>
    <w:p w14:paraId="61085B17" w14:textId="06D4FE44" w:rsidR="00D81CAD" w:rsidRPr="00D81CAD" w:rsidRDefault="00D81CAD" w:rsidP="003E7F4A">
      <w:pPr>
        <w:pStyle w:val="IASBSectionTitle1NonInd"/>
        <w:numPr>
          <w:ilvl w:val="1"/>
          <w:numId w:val="11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espera-se que essas atividades alterem significativamente a forma (por exemplo, o desenho ou o conteúdo) ou a funcionalidade (por exemplo, a capacidade de executar função ou tarefa) da propriedade intelectual; ou</w:t>
      </w:r>
    </w:p>
    <w:p w14:paraId="189B622A" w14:textId="342B3019" w:rsidR="00D81CAD" w:rsidRPr="00D81CAD" w:rsidRDefault="00D81CAD" w:rsidP="003E7F4A">
      <w:pPr>
        <w:pStyle w:val="IASBSectionTitle1NonInd"/>
        <w:numPr>
          <w:ilvl w:val="1"/>
          <w:numId w:val="11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capacidade de o provedor de recursos obter benefícios econômicos ou potencial de serviços da propriedade intelectual decorre substancialmente dessas atividades ou delas depende. Por exemplo, os benefícios econômicos ou o potencial de serviços de uma marca frequentemente decorrem das atividades contínuas da entidade que sustentam ou mantêm o valor da propriedade intelectual, ou delas dependem.</w:t>
      </w:r>
    </w:p>
    <w:p w14:paraId="1C11B2D0" w14:textId="74D3A25C"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A176. </w:t>
      </w:r>
      <w:r w:rsidR="001F7721">
        <w:rPr>
          <w:rFonts w:ascii="Calibri" w:hAnsi="Calibri" w:cs="Calibri"/>
          <w:b w:val="0"/>
          <w:bCs/>
          <w:sz w:val="24"/>
          <w:szCs w:val="24"/>
        </w:rPr>
        <w:tab/>
      </w:r>
      <w:r w:rsidRPr="00D81CAD">
        <w:rPr>
          <w:rFonts w:ascii="Calibri" w:hAnsi="Calibri" w:cs="Calibri"/>
          <w:b w:val="0"/>
          <w:bCs/>
          <w:sz w:val="24"/>
          <w:szCs w:val="24"/>
        </w:rPr>
        <w:t>Assim, se a propriedade intelectual sobre a qual o provedor de recursos tem direitos possuir funcionalidade individual significativa, parcela substancial de seus benefícios econômicos ou de seu potencial de serviços decorre dessa funcionalidade. Por conseguinte, a capacidade de o comprador ou o terceiro beneficiário obter benefícios econômicos ou potencial de serviços dessa propriedade intelectual não seria significativamente afetada pelas atividades da entidade, a menos que essas atividades alterem significativamente sua forma ou funcionalidade. Entre os tipos de propriedade intelectual que frequentemente possuem funcionalidade individual significativa estão os softwares, os compostos biológicos ou fórmulas de medicamentos e os conteúdos de mídia concluídos (por exemplo, filmes, programas de televisão e gravações musicais).</w:t>
      </w:r>
    </w:p>
    <w:p w14:paraId="6E0588F6" w14:textId="76088B0B"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A177. </w:t>
      </w:r>
      <w:r w:rsidR="001F7721">
        <w:rPr>
          <w:rFonts w:ascii="Calibri" w:hAnsi="Calibri" w:cs="Calibri"/>
          <w:b w:val="0"/>
          <w:bCs/>
          <w:sz w:val="24"/>
          <w:szCs w:val="24"/>
        </w:rPr>
        <w:tab/>
      </w:r>
      <w:r w:rsidRPr="00D81CAD">
        <w:rPr>
          <w:rFonts w:ascii="Calibri" w:hAnsi="Calibri" w:cs="Calibri"/>
          <w:b w:val="0"/>
          <w:bCs/>
          <w:sz w:val="24"/>
          <w:szCs w:val="24"/>
        </w:rPr>
        <w:t>Se os critérios do item A173 forem atendidos, a entidade deve contabilizar a promessa de conceder licença como obrigação de cumprimento satisfeita ao longo do tempo, porque o comprador ou o terceiro beneficiário receberá e consumirá simultaneamente os benefícios econômicos ou o potencial de serviços do desempenho da entidade consistente em fornecer acesso à sua propriedade intelectual, à medida que esse desempenho ocorrer (ver item 95(a)). A entidade deve aplicar os itens 98–104 para selecionar método apropriado de mensuração do seu progresso rumo à satisfação integral dessa obrigação de cumprimento de fornecer acesso.</w:t>
      </w:r>
    </w:p>
    <w:p w14:paraId="6564366F" w14:textId="40CB2D4A"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A178. </w:t>
      </w:r>
      <w:r w:rsidR="001F7721">
        <w:rPr>
          <w:rFonts w:ascii="Calibri" w:hAnsi="Calibri" w:cs="Calibri"/>
          <w:b w:val="0"/>
          <w:bCs/>
          <w:sz w:val="24"/>
          <w:szCs w:val="24"/>
        </w:rPr>
        <w:tab/>
      </w:r>
      <w:r w:rsidRPr="00D81CAD">
        <w:rPr>
          <w:rFonts w:ascii="Calibri" w:hAnsi="Calibri" w:cs="Calibri"/>
          <w:b w:val="0"/>
          <w:bCs/>
          <w:sz w:val="24"/>
          <w:szCs w:val="24"/>
        </w:rPr>
        <w:t xml:space="preserve">Se os critérios do item A173 não forem atendidos, a natureza da promessa da entidade é a de fornecer direito de uso de sua propriedade intelectual tal como esta existir (em termos de forma e funcionalidade) </w:t>
      </w:r>
      <w:proofErr w:type="gramStart"/>
      <w:r w:rsidRPr="00D81CAD">
        <w:rPr>
          <w:rFonts w:ascii="Calibri" w:hAnsi="Calibri" w:cs="Calibri"/>
          <w:b w:val="0"/>
          <w:bCs/>
          <w:sz w:val="24"/>
          <w:szCs w:val="24"/>
        </w:rPr>
        <w:t>no momento em que</w:t>
      </w:r>
      <w:proofErr w:type="gramEnd"/>
      <w:r w:rsidRPr="00D81CAD">
        <w:rPr>
          <w:rFonts w:ascii="Calibri" w:hAnsi="Calibri" w:cs="Calibri"/>
          <w:b w:val="0"/>
          <w:bCs/>
          <w:sz w:val="24"/>
          <w:szCs w:val="24"/>
        </w:rPr>
        <w:t xml:space="preserve"> a licença for concedida ao provedor de recursos. Isso significa que o provedor de recursos pode direcionar o uso da licença e obter substancialmente todos os benefícios econômicos ou o potencial de serviços dela remanescentes no momento em que a licença for transferida. A entidade deve contabilizar a promessa de fornecer direito de uso de sua propriedade intelectual como obrigação de cumprimento satisfeita em determinado momento. A entidade deve aplicar o item 97 para determinar o momento em que a licença é transferida ao comprador ou ao terceiro beneficiário. Contudo, não se pode reconhecer receita relativa </w:t>
      </w:r>
      <w:proofErr w:type="gramStart"/>
      <w:r w:rsidRPr="00D81CAD">
        <w:rPr>
          <w:rFonts w:ascii="Calibri" w:hAnsi="Calibri" w:cs="Calibri"/>
          <w:b w:val="0"/>
          <w:bCs/>
          <w:sz w:val="24"/>
          <w:szCs w:val="24"/>
        </w:rPr>
        <w:t>a</w:t>
      </w:r>
      <w:proofErr w:type="gramEnd"/>
      <w:r w:rsidRPr="00D81CAD">
        <w:rPr>
          <w:rFonts w:ascii="Calibri" w:hAnsi="Calibri" w:cs="Calibri"/>
          <w:b w:val="0"/>
          <w:bCs/>
          <w:sz w:val="24"/>
          <w:szCs w:val="24"/>
        </w:rPr>
        <w:t xml:space="preserve"> licença que confira direito de uso da propriedade intelectual da entidade antes do início do período durante o qual o comprador ou o terceiro beneficiário possa utilizar a licença e dela obter os benefícios econômicos ou o potencial de serviços. Por exemplo, se o período de licença de software começar antes de a entidade fornecer (ou de outro modo disponibilizar) ao comprador ou ao terceiro beneficiário código que lhe permita utilizar imediatamente o software, a entidade não reconheceria receita antes de esse código ter sido fornecido (ou de outro modo disponibilizado).</w:t>
      </w:r>
    </w:p>
    <w:p w14:paraId="50891DE9" w14:textId="4D95594E"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A179. </w:t>
      </w:r>
      <w:r w:rsidR="001F7721">
        <w:rPr>
          <w:rFonts w:ascii="Calibri" w:hAnsi="Calibri" w:cs="Calibri"/>
          <w:b w:val="0"/>
          <w:bCs/>
          <w:sz w:val="24"/>
          <w:szCs w:val="24"/>
        </w:rPr>
        <w:tab/>
      </w:r>
      <w:r w:rsidRPr="00D81CAD">
        <w:rPr>
          <w:rFonts w:ascii="Calibri" w:hAnsi="Calibri" w:cs="Calibri"/>
          <w:b w:val="0"/>
          <w:bCs/>
          <w:sz w:val="24"/>
          <w:szCs w:val="24"/>
        </w:rPr>
        <w:t>A entidade deve desconsiderar os seguintes fatores ao determinar se a licença confere direito de acesso ou direito de uso de sua propriedade intelectual:</w:t>
      </w:r>
    </w:p>
    <w:p w14:paraId="374D4877" w14:textId="02E4ADD1" w:rsidR="00D81CAD" w:rsidRPr="00D81CAD" w:rsidRDefault="00D81CAD" w:rsidP="003E7F4A">
      <w:pPr>
        <w:pStyle w:val="IASBSectionTitle1NonInd"/>
        <w:numPr>
          <w:ilvl w:val="1"/>
          <w:numId w:val="11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restrições de tempo, de região geográfica ou de uso — essas restrições definem os atributos da licença prometida, e não se a entidade satisfaz sua obrigação de cumprimento em determinado momento ou ao longo do tempo;</w:t>
      </w:r>
    </w:p>
    <w:p w14:paraId="2AE1C863" w14:textId="19ECD50A" w:rsidR="00D81CAD" w:rsidRPr="00D81CAD" w:rsidRDefault="00D81CAD" w:rsidP="003E7F4A">
      <w:pPr>
        <w:pStyle w:val="IASBSectionTitle1NonInd"/>
        <w:numPr>
          <w:ilvl w:val="1"/>
          <w:numId w:val="11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garantias prestadas pela entidade de que detém patente válida sobre a propriedade intelectual e de que a defenderá contra uso não autorizado — a promessa de defender direito de patente não é obrigação de cumprimento, porque o ato de defender a patente protege o valor dos ativos de propriedade intelectual da entidade e assegura ao provedor de recursos que a licença transferida atende às especificações da licença prometida no acordo vinculante.</w:t>
      </w:r>
    </w:p>
    <w:p w14:paraId="32D1388F"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Royalties Baseados em Vendas ou em Uso</w:t>
      </w:r>
    </w:p>
    <w:p w14:paraId="1F73A170" w14:textId="5D09D0F2"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A180. </w:t>
      </w:r>
      <w:r w:rsidR="001F7721">
        <w:rPr>
          <w:rFonts w:ascii="Calibri" w:hAnsi="Calibri" w:cs="Calibri"/>
          <w:b w:val="0"/>
          <w:bCs/>
          <w:sz w:val="24"/>
          <w:szCs w:val="24"/>
        </w:rPr>
        <w:tab/>
      </w:r>
      <w:r w:rsidRPr="00D81CAD">
        <w:rPr>
          <w:rFonts w:ascii="Calibri" w:hAnsi="Calibri" w:cs="Calibri"/>
          <w:b w:val="0"/>
          <w:bCs/>
          <w:sz w:val="24"/>
          <w:szCs w:val="24"/>
        </w:rPr>
        <w:t>Não obstante os requisitos dos itens 119–121, a entidade deve reconhecer receita relativa a royalty baseado em vendas ou em uso, prometido em troca de licença de propriedade intelectual, somente quando (ou à medida que) ocorrer o último dos seguintes eventos:</w:t>
      </w:r>
    </w:p>
    <w:p w14:paraId="32051736" w14:textId="1A30358B" w:rsidR="00D81CAD" w:rsidRPr="00D81CAD" w:rsidRDefault="00D81CAD" w:rsidP="003E7F4A">
      <w:pPr>
        <w:pStyle w:val="IASBSectionTitle1NonInd"/>
        <w:numPr>
          <w:ilvl w:val="1"/>
          <w:numId w:val="11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venda ou o uso subsequente ocorre; e</w:t>
      </w:r>
    </w:p>
    <w:p w14:paraId="08583E13" w14:textId="4682C2FA" w:rsidR="00D81CAD" w:rsidRPr="00D81CAD" w:rsidRDefault="00D81CAD" w:rsidP="003E7F4A">
      <w:pPr>
        <w:pStyle w:val="IASBSectionTitle1NonInd"/>
        <w:numPr>
          <w:ilvl w:val="1"/>
          <w:numId w:val="118"/>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obrigação de cumprimento à qual parte ou a totalidade do royalty baseado em vendas ou em uso foi alocada tiver sido satisfeita (ou parcialmente satisfeita).</w:t>
      </w:r>
    </w:p>
    <w:p w14:paraId="3C520F02" w14:textId="5CA1BC4A"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A181. </w:t>
      </w:r>
      <w:r w:rsidR="001F7721">
        <w:rPr>
          <w:rFonts w:ascii="Calibri" w:hAnsi="Calibri" w:cs="Calibri"/>
          <w:b w:val="0"/>
          <w:bCs/>
          <w:sz w:val="24"/>
          <w:szCs w:val="24"/>
        </w:rPr>
        <w:tab/>
      </w:r>
      <w:r w:rsidRPr="00D81CAD">
        <w:rPr>
          <w:rFonts w:ascii="Calibri" w:hAnsi="Calibri" w:cs="Calibri"/>
          <w:b w:val="0"/>
          <w:bCs/>
          <w:sz w:val="24"/>
          <w:szCs w:val="24"/>
        </w:rPr>
        <w:t>O requisito relativo a royalty baseado em vendas ou em uso previsto no item A180 aplica-se quando o royalty se referir apenas a licença de propriedade intelectual, ou quando a licença de propriedade intelectual for o item predominante a que o royalty se refere (por exemplo, a licença de propriedade intelectual pode ser o item predominante quando a entidade tiver expectativa razoável de que o provedor de recursos atribuiria valor significativamente maior à licença do que aos demais bens ou serviços a que o royalty se refere).</w:t>
      </w:r>
    </w:p>
    <w:p w14:paraId="33168ABB" w14:textId="43C13DB2"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A182. </w:t>
      </w:r>
      <w:r w:rsidR="001F7721">
        <w:rPr>
          <w:rFonts w:ascii="Calibri" w:hAnsi="Calibri" w:cs="Calibri"/>
          <w:b w:val="0"/>
          <w:bCs/>
          <w:sz w:val="24"/>
          <w:szCs w:val="24"/>
        </w:rPr>
        <w:tab/>
      </w:r>
      <w:r w:rsidRPr="00D81CAD">
        <w:rPr>
          <w:rFonts w:ascii="Calibri" w:hAnsi="Calibri" w:cs="Calibri"/>
          <w:b w:val="0"/>
          <w:bCs/>
          <w:sz w:val="24"/>
          <w:szCs w:val="24"/>
        </w:rPr>
        <w:t>Atendido o requisito do item A181, a receita de royalty baseado em vendas ou em uso deve ser reconhecida integralmente de acordo com o item A180. Não atendido o requisito do item A181, aplicam-se ao royalty baseado em vendas ou em uso os requisitos sobre contraprestação variável previstos nos itens 113–122.</w:t>
      </w:r>
    </w:p>
    <w:p w14:paraId="02D4FAF5"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Acordos de Recompra</w:t>
      </w:r>
    </w:p>
    <w:p w14:paraId="3FAC465F" w14:textId="6768B532"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A183. </w:t>
      </w:r>
      <w:r w:rsidR="001F7721">
        <w:rPr>
          <w:rFonts w:ascii="Calibri" w:hAnsi="Calibri" w:cs="Calibri"/>
          <w:b w:val="0"/>
          <w:bCs/>
          <w:sz w:val="24"/>
          <w:szCs w:val="24"/>
        </w:rPr>
        <w:tab/>
      </w:r>
      <w:r w:rsidRPr="00D81CAD">
        <w:rPr>
          <w:rFonts w:ascii="Calibri" w:hAnsi="Calibri" w:cs="Calibri"/>
          <w:b w:val="0"/>
          <w:bCs/>
          <w:sz w:val="24"/>
          <w:szCs w:val="24"/>
        </w:rPr>
        <w:t>Ao avaliar se transfere o controle de ativo ao comprador ou a terceiro beneficiário identificado, a entidade deve considerar qualquer acordo de recompra do ativo.</w:t>
      </w:r>
    </w:p>
    <w:p w14:paraId="4F147B49" w14:textId="36FC2FB5"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A184. </w:t>
      </w:r>
      <w:r w:rsidR="001F7721">
        <w:rPr>
          <w:rFonts w:ascii="Calibri" w:hAnsi="Calibri" w:cs="Calibri"/>
          <w:b w:val="0"/>
          <w:bCs/>
          <w:sz w:val="24"/>
          <w:szCs w:val="24"/>
        </w:rPr>
        <w:tab/>
      </w:r>
      <w:r w:rsidRPr="00D81CAD">
        <w:rPr>
          <w:rFonts w:ascii="Calibri" w:hAnsi="Calibri" w:cs="Calibri"/>
          <w:b w:val="0"/>
          <w:bCs/>
          <w:sz w:val="24"/>
          <w:szCs w:val="24"/>
        </w:rPr>
        <w:t xml:space="preserve">Acordo de recompra é o acordo vinculante em que a entidade fornece um ativo </w:t>
      </w:r>
      <w:proofErr w:type="gramStart"/>
      <w:r w:rsidRPr="00D81CAD">
        <w:rPr>
          <w:rFonts w:ascii="Calibri" w:hAnsi="Calibri" w:cs="Calibri"/>
          <w:b w:val="0"/>
          <w:bCs/>
          <w:sz w:val="24"/>
          <w:szCs w:val="24"/>
        </w:rPr>
        <w:t>e também</w:t>
      </w:r>
      <w:proofErr w:type="gramEnd"/>
      <w:r w:rsidRPr="00D81CAD">
        <w:rPr>
          <w:rFonts w:ascii="Calibri" w:hAnsi="Calibri" w:cs="Calibri"/>
          <w:b w:val="0"/>
          <w:bCs/>
          <w:sz w:val="24"/>
          <w:szCs w:val="24"/>
        </w:rPr>
        <w:t xml:space="preserve"> promete recomprá-lo, ou tem a opção de fazê-lo (no mesmo acordo vinculante ou em outro). O ativo recomprado pode ser o ativo originalmente fornecido ao provedor de recursos, ativo substancialmente igual a ele ou outro ativo do qual o ativo originalmente fornecido seja componente.</w:t>
      </w:r>
    </w:p>
    <w:p w14:paraId="5FCA8904" w14:textId="03BF05DA"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A185. </w:t>
      </w:r>
      <w:r w:rsidR="001F7721">
        <w:rPr>
          <w:rFonts w:ascii="Calibri" w:hAnsi="Calibri" w:cs="Calibri"/>
          <w:b w:val="0"/>
          <w:bCs/>
          <w:sz w:val="24"/>
          <w:szCs w:val="24"/>
        </w:rPr>
        <w:tab/>
      </w:r>
      <w:r w:rsidRPr="00D81CAD">
        <w:rPr>
          <w:rFonts w:ascii="Calibri" w:hAnsi="Calibri" w:cs="Calibri"/>
          <w:b w:val="0"/>
          <w:bCs/>
          <w:sz w:val="24"/>
          <w:szCs w:val="24"/>
        </w:rPr>
        <w:t>Os acordos de recompra geralmente assumem três formas:</w:t>
      </w:r>
    </w:p>
    <w:p w14:paraId="77F75510" w14:textId="50CA4BC4" w:rsidR="00D81CAD" w:rsidRPr="00D81CAD" w:rsidRDefault="00D81CAD" w:rsidP="003E7F4A">
      <w:pPr>
        <w:pStyle w:val="IASBSectionTitle1NonInd"/>
        <w:numPr>
          <w:ilvl w:val="1"/>
          <w:numId w:val="11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obrigação de a entidade recomprar o ativo (contrato a termo);</w:t>
      </w:r>
    </w:p>
    <w:p w14:paraId="66873541" w14:textId="7BC97A96" w:rsidR="00D81CAD" w:rsidRPr="00D81CAD" w:rsidRDefault="00D81CAD" w:rsidP="003E7F4A">
      <w:pPr>
        <w:pStyle w:val="IASBSectionTitle1NonInd"/>
        <w:numPr>
          <w:ilvl w:val="1"/>
          <w:numId w:val="11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direito de a entidade recomprar o ativo (opção de compra); e</w:t>
      </w:r>
    </w:p>
    <w:p w14:paraId="6C12F4EC" w14:textId="7B70CB44" w:rsidR="00D81CAD" w:rsidRPr="00D81CAD" w:rsidRDefault="00D81CAD" w:rsidP="003E7F4A">
      <w:pPr>
        <w:pStyle w:val="IASBSectionTitle1NonInd"/>
        <w:numPr>
          <w:ilvl w:val="1"/>
          <w:numId w:val="119"/>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obrigação de a entidade recomprar o ativo a pedido do provedor de recursos (opção de venda).</w:t>
      </w:r>
    </w:p>
    <w:p w14:paraId="2E4AFAAC"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Contrato a Termo ou Opção de Compra</w:t>
      </w:r>
    </w:p>
    <w:p w14:paraId="0D7F528F" w14:textId="52504087"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A186. </w:t>
      </w:r>
      <w:r w:rsidR="001F7721">
        <w:rPr>
          <w:rFonts w:ascii="Calibri" w:hAnsi="Calibri" w:cs="Calibri"/>
          <w:b w:val="0"/>
          <w:bCs/>
          <w:sz w:val="24"/>
          <w:szCs w:val="24"/>
        </w:rPr>
        <w:tab/>
      </w:r>
      <w:r w:rsidRPr="00D81CAD">
        <w:rPr>
          <w:rFonts w:ascii="Calibri" w:hAnsi="Calibri" w:cs="Calibri"/>
          <w:b w:val="0"/>
          <w:bCs/>
          <w:sz w:val="24"/>
          <w:szCs w:val="24"/>
        </w:rPr>
        <w:t>Se a entidade tiver obrigação ou direito de recomprar o ativo (contrato a termo ou opção de compra), o provedor de recursos não obtém o controle do ativo, pois fica limitado em sua capacidade de direcionar o uso do ativo e de obter substancialmente todos os benefícios econômicos ou o potencial de serviços dele remanescentes, ainda que o comprador ou o terceiro beneficiário possa ter a posse física do ativo. Por conseguinte, a entidade deve contabilizar o acordo vinculante como:</w:t>
      </w:r>
    </w:p>
    <w:p w14:paraId="688EE2A8" w14:textId="64FA9696" w:rsidR="00D81CAD" w:rsidRPr="00D81CAD" w:rsidRDefault="00D81CAD" w:rsidP="003E7F4A">
      <w:pPr>
        <w:pStyle w:val="IASBSectionTitle1NonInd"/>
        <w:numPr>
          <w:ilvl w:val="1"/>
          <w:numId w:val="12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arrendamento, de acordo com a NBC TSP 35 – Arrendamentos, se a entidade puder ou dever recomprar o ativo por montante inferior ao preço original do ativo; ou</w:t>
      </w:r>
    </w:p>
    <w:p w14:paraId="4C9A3566" w14:textId="7C6FE61C" w:rsidR="00D81CAD" w:rsidRPr="00D81CAD" w:rsidRDefault="00D81CAD" w:rsidP="003E7F4A">
      <w:pPr>
        <w:pStyle w:val="IASBSectionTitle1NonInd"/>
        <w:numPr>
          <w:ilvl w:val="1"/>
          <w:numId w:val="120"/>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operação de financiamento, de acordo com o item A188, se a entidade puder ou dever recomprar o ativo por montante igual ou superior ao preço original do ativo.</w:t>
      </w:r>
    </w:p>
    <w:p w14:paraId="52FF793F" w14:textId="6BC86E0E"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A187. </w:t>
      </w:r>
      <w:r w:rsidR="001F7721">
        <w:rPr>
          <w:rFonts w:ascii="Calibri" w:hAnsi="Calibri" w:cs="Calibri"/>
          <w:b w:val="0"/>
          <w:bCs/>
          <w:sz w:val="24"/>
          <w:szCs w:val="24"/>
        </w:rPr>
        <w:tab/>
      </w:r>
      <w:r w:rsidRPr="00D81CAD">
        <w:rPr>
          <w:rFonts w:ascii="Calibri" w:hAnsi="Calibri" w:cs="Calibri"/>
          <w:b w:val="0"/>
          <w:bCs/>
          <w:sz w:val="24"/>
          <w:szCs w:val="24"/>
        </w:rPr>
        <w:t>Ao comparar o preço de recompra com o preço original, a entidade deve considerar o valor do dinheiro no tempo.</w:t>
      </w:r>
    </w:p>
    <w:p w14:paraId="2DDB5502" w14:textId="03330853"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A188. </w:t>
      </w:r>
      <w:r w:rsidR="001F7721">
        <w:rPr>
          <w:rFonts w:ascii="Calibri" w:hAnsi="Calibri" w:cs="Calibri"/>
          <w:b w:val="0"/>
          <w:bCs/>
          <w:sz w:val="24"/>
          <w:szCs w:val="24"/>
        </w:rPr>
        <w:tab/>
      </w:r>
      <w:r w:rsidRPr="00D81CAD">
        <w:rPr>
          <w:rFonts w:ascii="Calibri" w:hAnsi="Calibri" w:cs="Calibri"/>
          <w:b w:val="0"/>
          <w:bCs/>
          <w:sz w:val="24"/>
          <w:szCs w:val="24"/>
        </w:rPr>
        <w:t>Se o acordo de recompra for operação de financiamento, a entidade deve continuar a reconhecer o ativo e reconhecer também passivo financeiro por qualquer contraprestação recebida do provedor de recursos. A entidade deve reconhecer a diferença entre o montante da contraprestação recebida do provedor de recursos e o montante da contraprestação a ele devida como juros e, se aplicável, como custos de processamento ou de manutenção (por exemplo, seguro).</w:t>
      </w:r>
    </w:p>
    <w:p w14:paraId="5258EF83" w14:textId="57D307BB"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A189. </w:t>
      </w:r>
      <w:r w:rsidR="001F7721">
        <w:rPr>
          <w:rFonts w:ascii="Calibri" w:hAnsi="Calibri" w:cs="Calibri"/>
          <w:b w:val="0"/>
          <w:bCs/>
          <w:sz w:val="24"/>
          <w:szCs w:val="24"/>
        </w:rPr>
        <w:tab/>
      </w:r>
      <w:r w:rsidRPr="00D81CAD">
        <w:rPr>
          <w:rFonts w:ascii="Calibri" w:hAnsi="Calibri" w:cs="Calibri"/>
          <w:b w:val="0"/>
          <w:bCs/>
          <w:sz w:val="24"/>
          <w:szCs w:val="24"/>
        </w:rPr>
        <w:t xml:space="preserve">Se a opção expirar sem ser exercida, a entidade deve </w:t>
      </w:r>
      <w:proofErr w:type="spellStart"/>
      <w:r w:rsidRPr="00D81CAD">
        <w:rPr>
          <w:rFonts w:ascii="Calibri" w:hAnsi="Calibri" w:cs="Calibri"/>
          <w:b w:val="0"/>
          <w:bCs/>
          <w:sz w:val="24"/>
          <w:szCs w:val="24"/>
        </w:rPr>
        <w:t>desreconhecer</w:t>
      </w:r>
      <w:proofErr w:type="spellEnd"/>
      <w:r w:rsidRPr="00D81CAD">
        <w:rPr>
          <w:rFonts w:ascii="Calibri" w:hAnsi="Calibri" w:cs="Calibri"/>
          <w:b w:val="0"/>
          <w:bCs/>
          <w:sz w:val="24"/>
          <w:szCs w:val="24"/>
        </w:rPr>
        <w:t xml:space="preserve"> o passivo e reconhecer receita.</w:t>
      </w:r>
    </w:p>
    <w:p w14:paraId="38E960DD"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Opção de Venda</w:t>
      </w:r>
    </w:p>
    <w:p w14:paraId="6C35C3D1" w14:textId="55DC77E3"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A190. </w:t>
      </w:r>
      <w:r w:rsidR="001F7721">
        <w:rPr>
          <w:rFonts w:ascii="Calibri" w:hAnsi="Calibri" w:cs="Calibri"/>
          <w:b w:val="0"/>
          <w:bCs/>
          <w:sz w:val="24"/>
          <w:szCs w:val="24"/>
        </w:rPr>
        <w:tab/>
      </w:r>
      <w:r w:rsidRPr="00D81CAD">
        <w:rPr>
          <w:rFonts w:ascii="Calibri" w:hAnsi="Calibri" w:cs="Calibri"/>
          <w:b w:val="0"/>
          <w:bCs/>
          <w:sz w:val="24"/>
          <w:szCs w:val="24"/>
        </w:rPr>
        <w:t>Se a entidade tiver obrigação de recomprar o ativo a pedido do provedor de recursos (opção de venda) por preço inferior ao preço original do ativo, deve avaliar, no início do acordo vinculante, se o provedor de recursos tem incentivo econômico significativo para exercer esse direito. O exercício desse direito pelo provedor de recursos faz com que ele, na prática, pague à entidade contraprestação pelo direito de usar determinado ativo por certo período. Portanto, se o provedor de recursos tiver incentivo econômico significativo para exercer esse direito, a entidade deve contabilizar o acordo como arrendamento, de acordo com a NBC TSP 35.</w:t>
      </w:r>
    </w:p>
    <w:p w14:paraId="65A61858" w14:textId="05F01FFA"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A191. </w:t>
      </w:r>
      <w:r w:rsidR="001F7721">
        <w:rPr>
          <w:rFonts w:ascii="Calibri" w:hAnsi="Calibri" w:cs="Calibri"/>
          <w:b w:val="0"/>
          <w:bCs/>
          <w:sz w:val="24"/>
          <w:szCs w:val="24"/>
        </w:rPr>
        <w:tab/>
      </w:r>
      <w:r w:rsidRPr="00D81CAD">
        <w:rPr>
          <w:rFonts w:ascii="Calibri" w:hAnsi="Calibri" w:cs="Calibri"/>
          <w:b w:val="0"/>
          <w:bCs/>
          <w:sz w:val="24"/>
          <w:szCs w:val="24"/>
        </w:rPr>
        <w:t>Para determinar se o provedor de recursos tem incentivo econômico significativo para exercer seu direito, a entidade deve considerar diversos fatores, entre os quais a relação entre o preço de recompra e o valor de mercado esperado do ativo na data da recompra e o tempo remanescente até a expiração do direito. Por exemplo, se for esperado que o preço de recompra exceda significativamente o valor de mercado do ativo, isso pode indicar que o provedor de recursos tem incentivo econômico significativo para exercer a opção de venda.</w:t>
      </w:r>
    </w:p>
    <w:p w14:paraId="3000C5B5" w14:textId="68076B7F"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A192. </w:t>
      </w:r>
      <w:r w:rsidR="001F7721">
        <w:rPr>
          <w:rFonts w:ascii="Calibri" w:hAnsi="Calibri" w:cs="Calibri"/>
          <w:b w:val="0"/>
          <w:bCs/>
          <w:sz w:val="24"/>
          <w:szCs w:val="24"/>
        </w:rPr>
        <w:tab/>
      </w:r>
      <w:r w:rsidRPr="00D81CAD">
        <w:rPr>
          <w:rFonts w:ascii="Calibri" w:hAnsi="Calibri" w:cs="Calibri"/>
          <w:b w:val="0"/>
          <w:bCs/>
          <w:sz w:val="24"/>
          <w:szCs w:val="24"/>
        </w:rPr>
        <w:t>Se o provedor de recursos não tiver incentivo econômico significativo para exercer seu direito a preço inferior ao preço original do ativo, a entidade deve contabilizar o acordo como se fosse a venda de produto com direito de devolução, conforme descrito nos itens A96–A103.</w:t>
      </w:r>
    </w:p>
    <w:p w14:paraId="28AD6D26" w14:textId="7FB3D162"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A193. </w:t>
      </w:r>
      <w:r w:rsidR="001F7721">
        <w:rPr>
          <w:rFonts w:ascii="Calibri" w:hAnsi="Calibri" w:cs="Calibri"/>
          <w:b w:val="0"/>
          <w:bCs/>
          <w:sz w:val="24"/>
          <w:szCs w:val="24"/>
        </w:rPr>
        <w:tab/>
      </w:r>
      <w:r w:rsidRPr="00D81CAD">
        <w:rPr>
          <w:rFonts w:ascii="Calibri" w:hAnsi="Calibri" w:cs="Calibri"/>
          <w:b w:val="0"/>
          <w:bCs/>
          <w:sz w:val="24"/>
          <w:szCs w:val="24"/>
        </w:rPr>
        <w:t>Se o preço de recompra do ativo for igual ou superior ao preço original e superior ao valor de mercado esperado do ativo, o acordo vinculante é, na prática, operação de financiamento e, portanto, deve ser contabilizado conforme descrito no item A188.</w:t>
      </w:r>
    </w:p>
    <w:p w14:paraId="20410DB8" w14:textId="30748C2C"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A194. </w:t>
      </w:r>
      <w:r w:rsidR="001F7721">
        <w:rPr>
          <w:rFonts w:ascii="Calibri" w:hAnsi="Calibri" w:cs="Calibri"/>
          <w:b w:val="0"/>
          <w:bCs/>
          <w:sz w:val="24"/>
          <w:szCs w:val="24"/>
        </w:rPr>
        <w:tab/>
      </w:r>
      <w:r w:rsidRPr="00D81CAD">
        <w:rPr>
          <w:rFonts w:ascii="Calibri" w:hAnsi="Calibri" w:cs="Calibri"/>
          <w:b w:val="0"/>
          <w:bCs/>
          <w:sz w:val="24"/>
          <w:szCs w:val="24"/>
        </w:rPr>
        <w:t>Se o preço de recompra do ativo for igual ou superior ao preço original e igual ou inferior ao valor de mercado esperado do ativo, e o provedor de recursos não tiver incentivo econômico significativo para exercer seu direito, a entidade deve contabilizar o acordo como se fosse a venda de produto com direito de devolução, conforme descrito nos itens A96–A103.</w:t>
      </w:r>
    </w:p>
    <w:p w14:paraId="7AB8072F" w14:textId="0232394C"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A195. </w:t>
      </w:r>
      <w:r w:rsidR="001F7721">
        <w:rPr>
          <w:rFonts w:ascii="Calibri" w:hAnsi="Calibri" w:cs="Calibri"/>
          <w:b w:val="0"/>
          <w:bCs/>
          <w:sz w:val="24"/>
          <w:szCs w:val="24"/>
        </w:rPr>
        <w:tab/>
      </w:r>
      <w:r w:rsidRPr="00D81CAD">
        <w:rPr>
          <w:rFonts w:ascii="Calibri" w:hAnsi="Calibri" w:cs="Calibri"/>
          <w:b w:val="0"/>
          <w:bCs/>
          <w:sz w:val="24"/>
          <w:szCs w:val="24"/>
        </w:rPr>
        <w:t>Ao comparar o preço de recompra com o preço original, a entidade deve considerar o valor do dinheiro no tempo.</w:t>
      </w:r>
    </w:p>
    <w:p w14:paraId="00F890E3" w14:textId="5BCCCCC2"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A196. </w:t>
      </w:r>
      <w:r w:rsidR="001F7721">
        <w:rPr>
          <w:rFonts w:ascii="Calibri" w:hAnsi="Calibri" w:cs="Calibri"/>
          <w:b w:val="0"/>
          <w:bCs/>
          <w:sz w:val="24"/>
          <w:szCs w:val="24"/>
        </w:rPr>
        <w:tab/>
      </w:r>
      <w:r w:rsidRPr="00D81CAD">
        <w:rPr>
          <w:rFonts w:ascii="Calibri" w:hAnsi="Calibri" w:cs="Calibri"/>
          <w:b w:val="0"/>
          <w:bCs/>
          <w:sz w:val="24"/>
          <w:szCs w:val="24"/>
        </w:rPr>
        <w:t xml:space="preserve">Se a opção expirar sem ser exercida, a entidade deve </w:t>
      </w:r>
      <w:proofErr w:type="spellStart"/>
      <w:r w:rsidRPr="00D81CAD">
        <w:rPr>
          <w:rFonts w:ascii="Calibri" w:hAnsi="Calibri" w:cs="Calibri"/>
          <w:b w:val="0"/>
          <w:bCs/>
          <w:sz w:val="24"/>
          <w:szCs w:val="24"/>
        </w:rPr>
        <w:t>desreconhecer</w:t>
      </w:r>
      <w:proofErr w:type="spellEnd"/>
      <w:r w:rsidRPr="00D81CAD">
        <w:rPr>
          <w:rFonts w:ascii="Calibri" w:hAnsi="Calibri" w:cs="Calibri"/>
          <w:b w:val="0"/>
          <w:bCs/>
          <w:sz w:val="24"/>
          <w:szCs w:val="24"/>
        </w:rPr>
        <w:t xml:space="preserve"> o passivo e reconhecer receita.</w:t>
      </w:r>
    </w:p>
    <w:p w14:paraId="5ADAFCDA"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Acordos de Consignação</w:t>
      </w:r>
    </w:p>
    <w:p w14:paraId="1E230D5E" w14:textId="5AD8188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A197. </w:t>
      </w:r>
      <w:r w:rsidR="001F7721">
        <w:rPr>
          <w:rFonts w:ascii="Calibri" w:hAnsi="Calibri" w:cs="Calibri"/>
          <w:b w:val="0"/>
          <w:bCs/>
          <w:sz w:val="24"/>
          <w:szCs w:val="24"/>
        </w:rPr>
        <w:tab/>
      </w:r>
      <w:r w:rsidRPr="00D81CAD">
        <w:rPr>
          <w:rFonts w:ascii="Calibri" w:hAnsi="Calibri" w:cs="Calibri"/>
          <w:b w:val="0"/>
          <w:bCs/>
          <w:sz w:val="24"/>
          <w:szCs w:val="24"/>
        </w:rPr>
        <w:t>Quando a entidade entrega produto a outra parte (tal como um revendedor ou um distribuidor) para venda a compradores finais, ela deve avaliar se essa outra parte obteve o controle do produto naquele momento. O produto entregue a outra parte pode estar mantido em acordo de consignação, se essa outra parte não tiver obtido o seu controle. Assim, a entidade não deve reconhecer receita na entrega do produto a outra parte se o produto entregue estiver mantido em consignação.</w:t>
      </w:r>
    </w:p>
    <w:p w14:paraId="41C489BE" w14:textId="2F30D82B"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 xml:space="preserve">A198. </w:t>
      </w:r>
      <w:r w:rsidR="001F7721">
        <w:rPr>
          <w:rFonts w:ascii="Calibri" w:hAnsi="Calibri" w:cs="Calibri"/>
          <w:b w:val="0"/>
          <w:bCs/>
          <w:sz w:val="24"/>
          <w:szCs w:val="24"/>
        </w:rPr>
        <w:tab/>
      </w:r>
      <w:r w:rsidRPr="00D81CAD">
        <w:rPr>
          <w:rFonts w:ascii="Calibri" w:hAnsi="Calibri" w:cs="Calibri"/>
          <w:b w:val="0"/>
          <w:bCs/>
          <w:sz w:val="24"/>
          <w:szCs w:val="24"/>
        </w:rPr>
        <w:t>Indicadores de que o acordo é de consignação incluem, entre outros:</w:t>
      </w:r>
    </w:p>
    <w:p w14:paraId="2BE51983" w14:textId="1E061272" w:rsidR="00D81CAD" w:rsidRPr="00D81CAD" w:rsidRDefault="00D81CAD" w:rsidP="003E7F4A">
      <w:pPr>
        <w:pStyle w:val="IASBSectionTitle1NonInd"/>
        <w:numPr>
          <w:ilvl w:val="1"/>
          <w:numId w:val="12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produto é controlado pela entidade até que ocorra evento determinado, tal como a venda do produto a provedor de recursos do revendedor, ou até que expire prazo determinado;</w:t>
      </w:r>
    </w:p>
    <w:p w14:paraId="0F10881D" w14:textId="69FE507D" w:rsidR="00D81CAD" w:rsidRPr="00D81CAD" w:rsidRDefault="00D81CAD" w:rsidP="003E7F4A">
      <w:pPr>
        <w:pStyle w:val="IASBSectionTitle1NonInd"/>
        <w:numPr>
          <w:ilvl w:val="1"/>
          <w:numId w:val="12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pode exigir a devolução do produto ou transferi-lo a terceiro (tal como outro revendedor); e</w:t>
      </w:r>
    </w:p>
    <w:p w14:paraId="08428BFE" w14:textId="5C62CAA3" w:rsidR="00D81CAD" w:rsidRPr="00D81CAD" w:rsidRDefault="00D81CAD" w:rsidP="003E7F4A">
      <w:pPr>
        <w:pStyle w:val="IASBSectionTitle1NonInd"/>
        <w:numPr>
          <w:ilvl w:val="1"/>
          <w:numId w:val="121"/>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revendedor não tem obrigação incondicional de pagar pelo produto (ainda que possa ser obrigado a pagar caução).</w:t>
      </w:r>
    </w:p>
    <w:p w14:paraId="7C013F60"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Acordos de Faturamento e Retenção</w:t>
      </w:r>
    </w:p>
    <w:p w14:paraId="56E9373E" w14:textId="7FE1B226"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A199. </w:t>
      </w:r>
      <w:r w:rsidR="001F7721">
        <w:rPr>
          <w:rFonts w:ascii="Calibri" w:hAnsi="Calibri" w:cs="Calibri"/>
          <w:b w:val="0"/>
          <w:bCs/>
          <w:sz w:val="24"/>
          <w:szCs w:val="24"/>
        </w:rPr>
        <w:tab/>
      </w:r>
      <w:r w:rsidRPr="00D81CAD">
        <w:rPr>
          <w:rFonts w:ascii="Calibri" w:hAnsi="Calibri" w:cs="Calibri"/>
          <w:b w:val="0"/>
          <w:bCs/>
          <w:sz w:val="24"/>
          <w:szCs w:val="24"/>
        </w:rPr>
        <w:t>Acordo de faturamento e retenção é o acordo vinculante em que a entidade fatura produto ao provedor de recursos, mas retém a posse física do produto até que ele seja transferido ao comprador ou ao terceiro beneficiário em momento futuro. Por exemplo, o comprador pode solicitar à entidade a celebração de acordo vinculante dessa natureza em razão da falta de espaço disponível para o produto ou de atrasos em seu cronograma de produção.</w:t>
      </w:r>
    </w:p>
    <w:p w14:paraId="4BF9189E" w14:textId="107C556B"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 xml:space="preserve">A200. </w:t>
      </w:r>
      <w:r w:rsidR="001F7721">
        <w:rPr>
          <w:rFonts w:ascii="Calibri" w:hAnsi="Calibri" w:cs="Calibri"/>
          <w:b w:val="0"/>
          <w:bCs/>
          <w:sz w:val="24"/>
          <w:szCs w:val="24"/>
        </w:rPr>
        <w:tab/>
      </w:r>
      <w:r w:rsidRPr="00D81CAD">
        <w:rPr>
          <w:rFonts w:ascii="Calibri" w:hAnsi="Calibri" w:cs="Calibri"/>
          <w:b w:val="0"/>
          <w:bCs/>
          <w:sz w:val="24"/>
          <w:szCs w:val="24"/>
        </w:rPr>
        <w:t>A entidade deve determinar quando satisfez sua obrigação de cumprimento de transferir o produto, avaliando quando o provedor de recursos obtém o controle desse produto (ver item 97). Em alguns acordos vinculantes, o controle é transferido quando o produto é entregue no local do comprador ou do terceiro beneficiário, ou quando é expedido, conforme os termos do acordo vinculante (inclusive as condições de entrega e de expedição). Contudo, em alguns acordos vinculantes, o provedor de recursos pode obter o controle do produto ainda que este permaneça na posse física da entidade. Nesse caso, o provedor de recursos tem a capacidade de direcionar o uso do produto e de obter substancialmente todos os benefícios econômicos ou o potencial de serviços dele remanescentes, ainda que tenha decidido não exercer seu direito de tomar a posse física do produto. Por conseguinte, a entidade não controla o produto; em vez disso, presta ao provedor de recursos serviços de custódia sobre ativo dele.</w:t>
      </w:r>
    </w:p>
    <w:p w14:paraId="2E325019" w14:textId="0CE595DC"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A201. </w:t>
      </w:r>
      <w:r w:rsidR="001F7721">
        <w:rPr>
          <w:rFonts w:ascii="Calibri" w:hAnsi="Calibri" w:cs="Calibri"/>
          <w:b w:val="0"/>
          <w:bCs/>
          <w:sz w:val="24"/>
          <w:szCs w:val="24"/>
        </w:rPr>
        <w:tab/>
      </w:r>
      <w:r w:rsidRPr="00D81CAD">
        <w:rPr>
          <w:rFonts w:ascii="Calibri" w:hAnsi="Calibri" w:cs="Calibri"/>
          <w:b w:val="0"/>
          <w:bCs/>
          <w:sz w:val="24"/>
          <w:szCs w:val="24"/>
        </w:rPr>
        <w:t>Além de aplicar os requisitos do item 97, para que o provedor de recursos tenha obtido o controle do produto em acordo de faturamento e retenção, todos os seguintes critérios devem ser atendidos:</w:t>
      </w:r>
    </w:p>
    <w:p w14:paraId="5B379BBB" w14:textId="318ADE6A" w:rsidR="00D81CAD" w:rsidRPr="00D81CAD" w:rsidRDefault="00D81CAD" w:rsidP="00E31FFB">
      <w:pPr>
        <w:pStyle w:val="IASBSectionTitle1NonInd"/>
        <w:numPr>
          <w:ilvl w:val="1"/>
          <w:numId w:val="12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razão do acordo de faturamento e retenção deve ser substantiva (por exemplo, o provedor de recursos solicitou o acordo);</w:t>
      </w:r>
    </w:p>
    <w:p w14:paraId="7F5E4E2A" w14:textId="378347F9" w:rsidR="00D81CAD" w:rsidRPr="00D81CAD" w:rsidRDefault="00D81CAD" w:rsidP="00E31FFB">
      <w:pPr>
        <w:pStyle w:val="IASBSectionTitle1NonInd"/>
        <w:numPr>
          <w:ilvl w:val="1"/>
          <w:numId w:val="12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produto deve ser identificado separadamente como pertencente ao provedor de recursos;</w:t>
      </w:r>
    </w:p>
    <w:p w14:paraId="5FE99D6A" w14:textId="426CEF87" w:rsidR="00D81CAD" w:rsidRPr="00D81CAD" w:rsidRDefault="00D81CAD" w:rsidP="00E31FFB">
      <w:pPr>
        <w:pStyle w:val="IASBSectionTitle1NonInd"/>
        <w:numPr>
          <w:ilvl w:val="1"/>
          <w:numId w:val="12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produto deve estar, no momento, pronto para transferência física ao comprador ou ao terceiro beneficiário; e</w:t>
      </w:r>
    </w:p>
    <w:p w14:paraId="2048C49A" w14:textId="682DE03D" w:rsidR="00D81CAD" w:rsidRPr="00D81CAD" w:rsidRDefault="00D81CAD" w:rsidP="00E31FFB">
      <w:pPr>
        <w:pStyle w:val="IASBSectionTitle1NonInd"/>
        <w:numPr>
          <w:ilvl w:val="1"/>
          <w:numId w:val="122"/>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entidade não pode ter a capacidade de usar o produto ou de direcioná-lo a outro provedor de recursos.</w:t>
      </w:r>
    </w:p>
    <w:p w14:paraId="22AAFA4D" w14:textId="5EB2BDEF"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 xml:space="preserve">A202. </w:t>
      </w:r>
      <w:r w:rsidR="001F7721">
        <w:rPr>
          <w:rFonts w:ascii="Calibri" w:hAnsi="Calibri" w:cs="Calibri"/>
          <w:b w:val="0"/>
          <w:bCs/>
          <w:sz w:val="24"/>
          <w:szCs w:val="24"/>
        </w:rPr>
        <w:tab/>
      </w:r>
      <w:r w:rsidRPr="00D81CAD">
        <w:rPr>
          <w:rFonts w:ascii="Calibri" w:hAnsi="Calibri" w:cs="Calibri"/>
          <w:b w:val="0"/>
          <w:bCs/>
          <w:sz w:val="24"/>
          <w:szCs w:val="24"/>
        </w:rPr>
        <w:t>Se a entidade reconhecer receita pela venda de produto em regime de faturamento e retenção, deve avaliar se possui obrigações de cumprimento remanescentes (por exemplo, de serviços de custódia), de acordo com os itens 68–77, às quais deve alocar parcela da contraprestação da transação, de acordo com os itens 133–143.</w:t>
      </w:r>
    </w:p>
    <w:p w14:paraId="145111D9"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Ativos de Direito de Uso em Espécie</w:t>
      </w:r>
    </w:p>
    <w:p w14:paraId="05267C51"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Identificação</w:t>
      </w:r>
    </w:p>
    <w:p w14:paraId="307BD1AB" w14:textId="5B788DB7"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A202A. Ativos de direito de uso em espécie são ativos de direito de uso recebidos sem contraprestação. A entidade identifica ativo de direito de uso em espécie de acordo com os requisitos dos itens 10–12 e A10–A34 da NBC TSP 35 para a identificação de arrendamento, com as adaptações necessárias em razão da ausência de pagamentos.</w:t>
      </w:r>
    </w:p>
    <w:p w14:paraId="19276756" w14:textId="6DC9C670"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lastRenderedPageBreak/>
        <w:t>A202B. Ativos de direito de uso em espécie são transferências de ativos que uma entidade faz a outra sujeitas a determinadas obrigações. O provedor de recursos pode ser uma entidade ou um indivíduo.</w:t>
      </w:r>
    </w:p>
    <w:p w14:paraId="17B41C65"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Reconhecimento</w:t>
      </w:r>
    </w:p>
    <w:p w14:paraId="73B21379" w14:textId="695EE3B8"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A202C. Os ativos de direito de uso em espécie são reconhecidos como ativos de acordo com a NBC TSP 06 ou com a NBC TSP 37, se atenderem, respectivamente, à definição de propriedade para investimento ou de ativo imobilizado. O momento do reconhecimento da receita depende do cumprimento das obrigações de cumprimento.</w:t>
      </w:r>
    </w:p>
    <w:p w14:paraId="11A1FF6C"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Mensuração</w:t>
      </w:r>
    </w:p>
    <w:p w14:paraId="0ED08C75" w14:textId="7D9BC741"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A202D.</w:t>
      </w:r>
      <w:r w:rsidR="001F7721">
        <w:rPr>
          <w:rFonts w:ascii="Calibri" w:hAnsi="Calibri" w:cs="Calibri"/>
          <w:b w:val="0"/>
          <w:bCs/>
          <w:sz w:val="24"/>
          <w:szCs w:val="24"/>
        </w:rPr>
        <w:t xml:space="preserve"> </w:t>
      </w:r>
      <w:r w:rsidRPr="00D81CAD">
        <w:rPr>
          <w:rFonts w:ascii="Calibri" w:hAnsi="Calibri" w:cs="Calibri"/>
          <w:b w:val="0"/>
          <w:bCs/>
          <w:sz w:val="24"/>
          <w:szCs w:val="24"/>
        </w:rPr>
        <w:t>No reconhecimento inicial, os ativos de direito de uso em espécie são mensurados pelo valor presente dos pagamentos a taxas de mercado, com base no uso atual do ativo subjacente, de acordo com os itens 26A e 26B da NBC TSP 35. Se os pagamentos pelos ativos de direito de uso em espécie a taxas de mercado, com base no uso atual do ativo subjacente, não estiverem prontamente disponíveis, os ativos de direito de uso em espécie devem ser mensurados de acordo com os itens 24–26 da NBC TSP 35.</w:t>
      </w:r>
    </w:p>
    <w:p w14:paraId="71A91D26" w14:textId="6EB99498" w:rsidR="00D81CAD" w:rsidRPr="00D81CAD" w:rsidRDefault="00D81CAD" w:rsidP="001F7721">
      <w:pPr>
        <w:pStyle w:val="IASBSectionTitle1NonInd"/>
        <w:pBdr>
          <w:bottom w:val="none" w:sz="0" w:space="0" w:color="auto"/>
        </w:pBdr>
        <w:spacing w:before="100" w:after="240"/>
        <w:ind w:left="705" w:hanging="705"/>
        <w:jc w:val="both"/>
        <w:rPr>
          <w:rFonts w:ascii="Calibri" w:hAnsi="Calibri" w:cs="Calibri"/>
          <w:b w:val="0"/>
          <w:bCs/>
          <w:sz w:val="24"/>
          <w:szCs w:val="24"/>
        </w:rPr>
      </w:pPr>
      <w:r w:rsidRPr="00D81CAD">
        <w:rPr>
          <w:rFonts w:ascii="Calibri" w:hAnsi="Calibri" w:cs="Calibri"/>
          <w:b w:val="0"/>
          <w:bCs/>
          <w:sz w:val="24"/>
          <w:szCs w:val="24"/>
        </w:rPr>
        <w:t>A202E. Após o reconhecimento inicial, a entidade deve mensurar subsequentemente os ativos de direito de uso em espécie de acordo com os itens 30–36 da NBC TSP 35, aplicáveis aos ativos de direito de uso.</w:t>
      </w:r>
    </w:p>
    <w:p w14:paraId="7FD020EE"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Apresentação</w:t>
      </w:r>
    </w:p>
    <w:p w14:paraId="6E8C3A7A"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Exposição nas Demonstrações Contábeis</w:t>
      </w:r>
    </w:p>
    <w:p w14:paraId="14AC4971" w14:textId="255497E9" w:rsidR="00D81CAD" w:rsidRPr="00D81CAD" w:rsidRDefault="00D81CAD" w:rsidP="001F7721">
      <w:pPr>
        <w:pStyle w:val="IASBSectionTitle1NonInd"/>
        <w:pBdr>
          <w:bottom w:val="none" w:sz="0" w:space="0" w:color="auto"/>
        </w:pBdr>
        <w:spacing w:before="100" w:after="240"/>
        <w:ind w:left="708" w:hanging="708"/>
        <w:jc w:val="both"/>
        <w:rPr>
          <w:rFonts w:ascii="Calibri" w:hAnsi="Calibri" w:cs="Calibri"/>
          <w:b w:val="0"/>
          <w:bCs/>
          <w:sz w:val="24"/>
          <w:szCs w:val="24"/>
        </w:rPr>
      </w:pPr>
      <w:r w:rsidRPr="00D81CAD">
        <w:rPr>
          <w:rFonts w:ascii="Calibri" w:hAnsi="Calibri" w:cs="Calibri"/>
          <w:b w:val="0"/>
          <w:bCs/>
          <w:sz w:val="24"/>
          <w:szCs w:val="24"/>
        </w:rPr>
        <w:t>A202F. A entidade deve apresentar no balanço patrimonial, ou divulgar em notas explicativas às demonstrações contábeis de propósito geral, os ativos de direito de uso em espécie separadamente dos demais ativos. Se não os apresentar separadamente no balanço patrimonial, a entidade deve:</w:t>
      </w:r>
    </w:p>
    <w:p w14:paraId="308A35EA" w14:textId="1F71B4B7" w:rsidR="00D81CAD" w:rsidRPr="00D81CAD" w:rsidRDefault="00D81CAD" w:rsidP="00E31FFB">
      <w:pPr>
        <w:pStyle w:val="IASBSectionTitle1NonInd"/>
        <w:numPr>
          <w:ilvl w:val="1"/>
          <w:numId w:val="12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incluir os ativos de direito de uso em espécie na mesma rubrica em que se apresentariam:</w:t>
      </w:r>
    </w:p>
    <w:p w14:paraId="41431EE2" w14:textId="3AA628AF" w:rsidR="00D81CAD" w:rsidRPr="00D81CAD" w:rsidRDefault="00D81CAD" w:rsidP="00E31FFB">
      <w:pPr>
        <w:pStyle w:val="IASBSectionTitle1NonInd"/>
        <w:numPr>
          <w:ilvl w:val="0"/>
          <w:numId w:val="12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correspondentes ativos subjacentes, caso fossem de sua propriedade; ou</w:t>
      </w:r>
    </w:p>
    <w:p w14:paraId="4704ABE1" w14:textId="4C68D5B7" w:rsidR="00D81CAD" w:rsidRPr="00D81CAD" w:rsidRDefault="00D81CAD" w:rsidP="00E31FFB">
      <w:pPr>
        <w:pStyle w:val="IASBSectionTitle1NonInd"/>
        <w:numPr>
          <w:ilvl w:val="0"/>
          <w:numId w:val="124"/>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os demais ativos de direito de uso; e</w:t>
      </w:r>
    </w:p>
    <w:p w14:paraId="1942A02C" w14:textId="2C54FBC9" w:rsidR="00D81CAD" w:rsidRPr="00D81CAD" w:rsidRDefault="00D81CAD" w:rsidP="00E31FFB">
      <w:pPr>
        <w:pStyle w:val="IASBSectionTitle1NonInd"/>
        <w:numPr>
          <w:ilvl w:val="1"/>
          <w:numId w:val="123"/>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divulgar em quais rubricas do balanço patrimonial esses ativos de direito de uso em espécie estão incluídos.</w:t>
      </w:r>
    </w:p>
    <w:p w14:paraId="2C076BC3"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Divulgação</w:t>
      </w:r>
    </w:p>
    <w:p w14:paraId="33BDDF06" w14:textId="7C12E543" w:rsidR="00D81CAD" w:rsidRPr="00D81CAD" w:rsidRDefault="00D81CAD" w:rsidP="001F7721">
      <w:pPr>
        <w:pStyle w:val="IASBSectionTitle1NonInd"/>
        <w:pBdr>
          <w:bottom w:val="none" w:sz="0" w:space="0" w:color="auto"/>
        </w:pBdr>
        <w:spacing w:before="100" w:after="240"/>
        <w:ind w:left="708" w:hanging="708"/>
        <w:jc w:val="both"/>
        <w:rPr>
          <w:rFonts w:ascii="Calibri" w:hAnsi="Calibri" w:cs="Calibri"/>
          <w:b w:val="0"/>
          <w:bCs/>
          <w:sz w:val="24"/>
          <w:szCs w:val="24"/>
        </w:rPr>
      </w:pPr>
      <w:r w:rsidRPr="00D81CAD">
        <w:rPr>
          <w:rFonts w:ascii="Calibri" w:hAnsi="Calibri" w:cs="Calibri"/>
          <w:b w:val="0"/>
          <w:bCs/>
          <w:sz w:val="24"/>
          <w:szCs w:val="24"/>
        </w:rPr>
        <w:lastRenderedPageBreak/>
        <w:t>A202G. A entidade deve divulgar em notas explicativas às demonstrações contábeis de propósito geral a natureza e o tipo das principais classes de ativos de direito de uso em espécie, apresentando separadamente as principais classes recebidas.</w:t>
      </w:r>
    </w:p>
    <w:p w14:paraId="1621B216" w14:textId="77777777" w:rsidR="00D81CAD" w:rsidRPr="00D81CAD" w:rsidRDefault="00D81CAD" w:rsidP="001F7721">
      <w:pPr>
        <w:pStyle w:val="IASBSectionTitle1NonInd"/>
        <w:pBdr>
          <w:bottom w:val="none" w:sz="0" w:space="0" w:color="auto"/>
        </w:pBdr>
        <w:spacing w:before="100" w:after="240"/>
        <w:ind w:left="708" w:hanging="708"/>
        <w:jc w:val="both"/>
        <w:rPr>
          <w:rFonts w:ascii="Calibri" w:hAnsi="Calibri" w:cs="Calibri"/>
          <w:b w:val="0"/>
          <w:bCs/>
          <w:sz w:val="24"/>
          <w:szCs w:val="24"/>
        </w:rPr>
      </w:pPr>
      <w:r w:rsidRPr="00D81CAD">
        <w:rPr>
          <w:rFonts w:ascii="Calibri" w:hAnsi="Calibri" w:cs="Calibri"/>
          <w:b w:val="0"/>
          <w:bCs/>
          <w:sz w:val="24"/>
          <w:szCs w:val="24"/>
        </w:rPr>
        <w:t>A202H. Quanto aos ativos de direito de uso em espécie, a entidade deve divulgar em notas explicativas às demonstrações contábeis de propósito geral:</w:t>
      </w:r>
    </w:p>
    <w:p w14:paraId="25B9C5B8" w14:textId="1A674DA6" w:rsidR="00D81CAD" w:rsidRPr="00D81CAD" w:rsidRDefault="00D81CAD" w:rsidP="00E31FFB">
      <w:pPr>
        <w:pStyle w:val="IASBSectionTitle1NonInd"/>
        <w:numPr>
          <w:ilvl w:val="1"/>
          <w:numId w:val="12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 despesa de depreciação dos ativos de direito de uso em espécie, por classe de ativo subjacente; e</w:t>
      </w:r>
    </w:p>
    <w:p w14:paraId="62E2E182" w14:textId="081AA117" w:rsidR="00D81CAD" w:rsidRPr="00D81CAD" w:rsidRDefault="00D81CAD" w:rsidP="00E31FFB">
      <w:pPr>
        <w:pStyle w:val="IASBSectionTitle1NonInd"/>
        <w:numPr>
          <w:ilvl w:val="1"/>
          <w:numId w:val="125"/>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 valor contábil ao final do período a que se referem as demonstrações contábeis, por classe de ativo subjacente.</w:t>
      </w:r>
    </w:p>
    <w:p w14:paraId="34F224E0" w14:textId="77777777" w:rsidR="00D81CAD" w:rsidRPr="00D81CAD" w:rsidRDefault="00D81CAD" w:rsidP="001F7721">
      <w:pPr>
        <w:pStyle w:val="IASBSectionTitle1NonInd"/>
        <w:pBdr>
          <w:bottom w:val="none" w:sz="0" w:space="0" w:color="auto"/>
        </w:pBdr>
        <w:spacing w:before="100" w:after="240"/>
        <w:ind w:left="708" w:hanging="708"/>
        <w:jc w:val="both"/>
        <w:rPr>
          <w:rFonts w:ascii="Calibri" w:hAnsi="Calibri" w:cs="Calibri"/>
          <w:b w:val="0"/>
          <w:bCs/>
          <w:sz w:val="24"/>
          <w:szCs w:val="24"/>
        </w:rPr>
      </w:pPr>
      <w:r w:rsidRPr="00D81CAD">
        <w:rPr>
          <w:rFonts w:ascii="Calibri" w:hAnsi="Calibri" w:cs="Calibri"/>
          <w:b w:val="0"/>
          <w:bCs/>
          <w:sz w:val="24"/>
          <w:szCs w:val="24"/>
        </w:rPr>
        <w:t>A202I. Se os ativos de direito de uso em espécie atenderem à definição de propriedade para investimento, a entidade deve aplicar os requisitos de divulgação da NBC TSP 06. Nesse caso, a entidade não é obrigada a apresentar as divulgações previstas no item A202H para esses ativos.</w:t>
      </w:r>
    </w:p>
    <w:p w14:paraId="487D6763" w14:textId="77777777" w:rsidR="00D81CAD" w:rsidRPr="00D81CAD" w:rsidRDefault="00D81CAD" w:rsidP="001F7721">
      <w:pPr>
        <w:pStyle w:val="IASBSectionTitle1NonInd"/>
        <w:pBdr>
          <w:bottom w:val="none" w:sz="0" w:space="0" w:color="auto"/>
        </w:pBdr>
        <w:spacing w:before="100" w:after="240"/>
        <w:ind w:left="708" w:hanging="708"/>
        <w:jc w:val="both"/>
        <w:rPr>
          <w:rFonts w:ascii="Calibri" w:hAnsi="Calibri" w:cs="Calibri"/>
          <w:b w:val="0"/>
          <w:bCs/>
          <w:sz w:val="24"/>
          <w:szCs w:val="24"/>
        </w:rPr>
      </w:pPr>
      <w:r w:rsidRPr="00D81CAD">
        <w:rPr>
          <w:rFonts w:ascii="Calibri" w:hAnsi="Calibri" w:cs="Calibri"/>
          <w:b w:val="0"/>
          <w:bCs/>
          <w:sz w:val="24"/>
          <w:szCs w:val="24"/>
        </w:rPr>
        <w:t>A202J. Se a entidade mensurar os ativos de direito de uso em espécie por valores reavaliados, aplicando a NBC TSP 37, deve divulgar a informação exigida pelo item 74 da NBC TSP 37 para esses ativos.</w:t>
      </w:r>
    </w:p>
    <w:p w14:paraId="0DF41BC8"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Divulgação (itens 167–193)</w:t>
      </w:r>
    </w:p>
    <w:p w14:paraId="68DA80D3" w14:textId="6E653BAE" w:rsidR="00D81CAD" w:rsidRPr="00D81CAD" w:rsidRDefault="00D81CAD" w:rsidP="001F7721">
      <w:pPr>
        <w:pStyle w:val="IASBSectionTitle1NonInd"/>
        <w:pBdr>
          <w:bottom w:val="none" w:sz="0" w:space="0" w:color="auto"/>
        </w:pBdr>
        <w:spacing w:before="100" w:after="240"/>
        <w:ind w:left="708" w:hanging="708"/>
        <w:jc w:val="both"/>
        <w:rPr>
          <w:rFonts w:ascii="Calibri" w:hAnsi="Calibri" w:cs="Calibri"/>
          <w:b w:val="0"/>
          <w:bCs/>
          <w:sz w:val="24"/>
          <w:szCs w:val="24"/>
        </w:rPr>
      </w:pPr>
      <w:r w:rsidRPr="00D81CAD">
        <w:rPr>
          <w:rFonts w:ascii="Calibri" w:hAnsi="Calibri" w:cs="Calibri"/>
          <w:b w:val="0"/>
          <w:bCs/>
          <w:sz w:val="24"/>
          <w:szCs w:val="24"/>
        </w:rPr>
        <w:t xml:space="preserve">A203. </w:t>
      </w:r>
      <w:r w:rsidR="001F7721">
        <w:rPr>
          <w:rFonts w:ascii="Calibri" w:hAnsi="Calibri" w:cs="Calibri"/>
          <w:b w:val="0"/>
          <w:bCs/>
          <w:sz w:val="24"/>
          <w:szCs w:val="24"/>
        </w:rPr>
        <w:t xml:space="preserve"> </w:t>
      </w:r>
      <w:r w:rsidRPr="00D81CAD">
        <w:rPr>
          <w:rFonts w:ascii="Calibri" w:hAnsi="Calibri" w:cs="Calibri"/>
          <w:b w:val="0"/>
          <w:bCs/>
          <w:sz w:val="24"/>
          <w:szCs w:val="24"/>
        </w:rPr>
        <w:t>A entidade não precisa divulgar informação de acordo com esta norma se já a tiver fornecido de acordo com outra norma.</w:t>
      </w:r>
    </w:p>
    <w:p w14:paraId="218D0F32" w14:textId="5355ABF4" w:rsidR="00D81CAD" w:rsidRPr="00DA1E98" w:rsidRDefault="00D81CAD" w:rsidP="001F7721">
      <w:pPr>
        <w:pStyle w:val="IASBSectionTitle1NonInd"/>
        <w:pBdr>
          <w:bottom w:val="none" w:sz="0" w:space="0" w:color="auto"/>
        </w:pBdr>
        <w:spacing w:before="100" w:after="240"/>
        <w:ind w:left="708" w:hanging="708"/>
        <w:jc w:val="both"/>
        <w:rPr>
          <w:rFonts w:ascii="Calibri" w:hAnsi="Calibri" w:cs="Calibri"/>
          <w:b w:val="0"/>
          <w:bCs/>
          <w:sz w:val="24"/>
          <w:szCs w:val="24"/>
        </w:rPr>
      </w:pPr>
      <w:r w:rsidRPr="00D81CAD">
        <w:rPr>
          <w:rFonts w:ascii="Calibri" w:hAnsi="Calibri" w:cs="Calibri"/>
          <w:b w:val="0"/>
          <w:bCs/>
          <w:sz w:val="24"/>
          <w:szCs w:val="24"/>
        </w:rPr>
        <w:t xml:space="preserve">A204. </w:t>
      </w:r>
      <w:r w:rsidR="001F7721">
        <w:rPr>
          <w:rFonts w:ascii="Calibri" w:hAnsi="Calibri" w:cs="Calibri"/>
          <w:b w:val="0"/>
          <w:bCs/>
          <w:sz w:val="24"/>
          <w:szCs w:val="24"/>
        </w:rPr>
        <w:t xml:space="preserve"> </w:t>
      </w:r>
      <w:r w:rsidRPr="00D81CAD">
        <w:rPr>
          <w:rFonts w:ascii="Calibri" w:hAnsi="Calibri" w:cs="Calibri"/>
          <w:b w:val="0"/>
          <w:bCs/>
          <w:sz w:val="24"/>
          <w:szCs w:val="24"/>
        </w:rPr>
        <w:t xml:space="preserve">Ao realizar as divulgações exigidas por esta norma, a entidade deve considerar os requisitos dos itens 45–47 da NBC TSP 11, que fornecem orientações sobre materialidade e agregação. O requisito específico de divulgação previsto nesta norma não precisa ser atendido se </w:t>
      </w:r>
      <w:r w:rsidRPr="00DA1E98">
        <w:rPr>
          <w:rFonts w:ascii="Calibri" w:hAnsi="Calibri" w:cs="Calibri"/>
          <w:b w:val="0"/>
          <w:bCs/>
          <w:sz w:val="24"/>
          <w:szCs w:val="24"/>
        </w:rPr>
        <w:t xml:space="preserve">a informação não for </w:t>
      </w:r>
      <w:r w:rsidR="00D113EA" w:rsidRPr="00DA1E98">
        <w:rPr>
          <w:rFonts w:ascii="Calibri" w:hAnsi="Calibri" w:cs="Calibri"/>
          <w:b w:val="0"/>
          <w:bCs/>
          <w:sz w:val="24"/>
          <w:szCs w:val="24"/>
        </w:rPr>
        <w:t>material</w:t>
      </w:r>
      <w:r w:rsidRPr="00DA1E98">
        <w:rPr>
          <w:rFonts w:ascii="Calibri" w:hAnsi="Calibri" w:cs="Calibri"/>
          <w:b w:val="0"/>
          <w:bCs/>
          <w:sz w:val="24"/>
          <w:szCs w:val="24"/>
        </w:rPr>
        <w:t>.</w:t>
      </w:r>
    </w:p>
    <w:p w14:paraId="3B8CC443"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A1E98">
        <w:rPr>
          <w:rFonts w:ascii="Calibri" w:hAnsi="Calibri" w:cs="Calibri"/>
          <w:b w:val="0"/>
          <w:bCs/>
          <w:sz w:val="24"/>
          <w:szCs w:val="24"/>
        </w:rPr>
        <w:t>Divulgação da Receita Desagregada (itens 179–180)</w:t>
      </w:r>
    </w:p>
    <w:p w14:paraId="225202AD" w14:textId="408EAFC1" w:rsidR="00D81CAD" w:rsidRPr="00D81CAD" w:rsidRDefault="00D81CAD" w:rsidP="001F7721">
      <w:pPr>
        <w:pStyle w:val="IASBSectionTitle1NonInd"/>
        <w:pBdr>
          <w:bottom w:val="none" w:sz="0" w:space="0" w:color="auto"/>
        </w:pBdr>
        <w:spacing w:before="100" w:after="240"/>
        <w:ind w:left="708" w:hanging="708"/>
        <w:jc w:val="both"/>
        <w:rPr>
          <w:rFonts w:ascii="Calibri" w:hAnsi="Calibri" w:cs="Calibri"/>
          <w:b w:val="0"/>
          <w:bCs/>
          <w:sz w:val="24"/>
          <w:szCs w:val="24"/>
        </w:rPr>
      </w:pPr>
      <w:r w:rsidRPr="00D81CAD">
        <w:rPr>
          <w:rFonts w:ascii="Calibri" w:hAnsi="Calibri" w:cs="Calibri"/>
          <w:b w:val="0"/>
          <w:bCs/>
          <w:sz w:val="24"/>
          <w:szCs w:val="24"/>
        </w:rPr>
        <w:t xml:space="preserve">A205. </w:t>
      </w:r>
      <w:r w:rsidR="001F7721">
        <w:rPr>
          <w:rFonts w:ascii="Calibri" w:hAnsi="Calibri" w:cs="Calibri"/>
          <w:b w:val="0"/>
          <w:bCs/>
          <w:sz w:val="24"/>
          <w:szCs w:val="24"/>
        </w:rPr>
        <w:t xml:space="preserve"> </w:t>
      </w:r>
      <w:r w:rsidRPr="00D81CAD">
        <w:rPr>
          <w:rFonts w:ascii="Calibri" w:hAnsi="Calibri" w:cs="Calibri"/>
          <w:b w:val="0"/>
          <w:bCs/>
          <w:sz w:val="24"/>
          <w:szCs w:val="24"/>
        </w:rPr>
        <w:t>O item 179 exige que a entidade desagregue a receita proveniente de acordos vinculantes em categorias que descrevam como a natureza, o montante, o momento e a incerteza da receita e dos fluxos de caixa são afetados por fatores econômicos. Por conseguinte, a extensão em que a receita da entidade é desagregada para fins dessa divulgação depende dos fatos e circunstâncias relativos a seus acordos vinculantes. Algumas entidades podem precisar utilizar mais de um tipo de categoria para atender ao objetivo do item 179; outras podem atendê-lo utilizando apenas um tipo de categoria.</w:t>
      </w:r>
    </w:p>
    <w:p w14:paraId="3F3D7380" w14:textId="1A9A242D" w:rsidR="00D81CAD" w:rsidRPr="00D81CAD" w:rsidRDefault="00D81CAD" w:rsidP="001F7721">
      <w:pPr>
        <w:pStyle w:val="IASBSectionTitle1NonInd"/>
        <w:pBdr>
          <w:bottom w:val="none" w:sz="0" w:space="0" w:color="auto"/>
        </w:pBdr>
        <w:spacing w:before="100" w:after="240"/>
        <w:ind w:left="708" w:hanging="708"/>
        <w:jc w:val="both"/>
        <w:rPr>
          <w:rFonts w:ascii="Calibri" w:hAnsi="Calibri" w:cs="Calibri"/>
          <w:b w:val="0"/>
          <w:bCs/>
          <w:sz w:val="24"/>
          <w:szCs w:val="24"/>
        </w:rPr>
      </w:pPr>
      <w:r w:rsidRPr="00D81CAD">
        <w:rPr>
          <w:rFonts w:ascii="Calibri" w:hAnsi="Calibri" w:cs="Calibri"/>
          <w:b w:val="0"/>
          <w:bCs/>
          <w:sz w:val="24"/>
          <w:szCs w:val="24"/>
        </w:rPr>
        <w:t xml:space="preserve">A206. </w:t>
      </w:r>
      <w:r w:rsidR="001F7721">
        <w:rPr>
          <w:rFonts w:ascii="Calibri" w:hAnsi="Calibri" w:cs="Calibri"/>
          <w:b w:val="0"/>
          <w:bCs/>
          <w:sz w:val="24"/>
          <w:szCs w:val="24"/>
        </w:rPr>
        <w:t xml:space="preserve"> </w:t>
      </w:r>
      <w:r w:rsidRPr="00D81CAD">
        <w:rPr>
          <w:rFonts w:ascii="Calibri" w:hAnsi="Calibri" w:cs="Calibri"/>
          <w:b w:val="0"/>
          <w:bCs/>
          <w:sz w:val="24"/>
          <w:szCs w:val="24"/>
        </w:rPr>
        <w:t>Ao selecionar o tipo de categoria (ou categorias) a ser utilizado para desagregar a receita, a entidade deve considerar de que modo a informação sobre sua receita tem sido apresentada para outras finalidades, inclusive:</w:t>
      </w:r>
    </w:p>
    <w:p w14:paraId="3384C85F" w14:textId="4B3B20D3" w:rsidR="00D81CAD" w:rsidRPr="00D81CAD" w:rsidRDefault="00D81CAD" w:rsidP="00E31FFB">
      <w:pPr>
        <w:pStyle w:val="IASBSectionTitle1NonInd"/>
        <w:numPr>
          <w:ilvl w:val="1"/>
          <w:numId w:val="12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lastRenderedPageBreak/>
        <w:t>divulgações apresentadas fora das demonstrações contábeis (por exemplo, em comunicados à imprensa, relatórios anuais ou apresentações a partes interessadas);</w:t>
      </w:r>
    </w:p>
    <w:p w14:paraId="0807BA4F" w14:textId="36671BA4" w:rsidR="00D81CAD" w:rsidRPr="00D81CAD" w:rsidRDefault="00D81CAD" w:rsidP="00E31FFB">
      <w:pPr>
        <w:pStyle w:val="IASBSectionTitle1NonInd"/>
        <w:numPr>
          <w:ilvl w:val="1"/>
          <w:numId w:val="12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informação regularmente analisada para avaliar o desempenho financeiro dos segmentos; e</w:t>
      </w:r>
    </w:p>
    <w:p w14:paraId="2B831B5A" w14:textId="2C9C2604" w:rsidR="00D81CAD" w:rsidRPr="00D81CAD" w:rsidRDefault="00D81CAD" w:rsidP="00E31FFB">
      <w:pPr>
        <w:pStyle w:val="IASBSectionTitle1NonInd"/>
        <w:numPr>
          <w:ilvl w:val="1"/>
          <w:numId w:val="126"/>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outras informações semelhantes às identificadas nos itens A206(a) e (b), utilizadas pela entidade ou pelos usuários de suas demonstrações contábeis para avaliar seu desempenho financeiro ou para tomar decisões de alocação de recursos.</w:t>
      </w:r>
    </w:p>
    <w:p w14:paraId="5FBD1D71" w14:textId="77777777" w:rsidR="00D81CAD" w:rsidRPr="00D81CAD" w:rsidRDefault="00D81CAD" w:rsidP="00C97A3F">
      <w:pPr>
        <w:pStyle w:val="IASBSectionTitle1NonInd"/>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A207. Exemplos de categorias que podem ser apropriadas incluem, entre outros:</w:t>
      </w:r>
    </w:p>
    <w:p w14:paraId="751F5868" w14:textId="24D2BDE0" w:rsidR="00D81CAD" w:rsidRPr="00D81CAD" w:rsidRDefault="00D81CAD" w:rsidP="00E31FFB">
      <w:pPr>
        <w:pStyle w:val="IASBSectionTitle1NonInd"/>
        <w:numPr>
          <w:ilvl w:val="1"/>
          <w:numId w:val="1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tipo de obrigação de cumprimento;</w:t>
      </w:r>
    </w:p>
    <w:p w14:paraId="4E8F7E40" w14:textId="43CB0FA5" w:rsidR="00D81CAD" w:rsidRPr="00D81CAD" w:rsidRDefault="00D81CAD" w:rsidP="00E31FFB">
      <w:pPr>
        <w:pStyle w:val="IASBSectionTitle1NonInd"/>
        <w:numPr>
          <w:ilvl w:val="1"/>
          <w:numId w:val="1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região geográfica (por exemplo, país ou região);</w:t>
      </w:r>
    </w:p>
    <w:p w14:paraId="71EB2973" w14:textId="6023FB8A" w:rsidR="00D81CAD" w:rsidRPr="00D81CAD" w:rsidRDefault="00D81CAD" w:rsidP="00E31FFB">
      <w:pPr>
        <w:pStyle w:val="IASBSectionTitle1NonInd"/>
        <w:numPr>
          <w:ilvl w:val="1"/>
          <w:numId w:val="1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mercado ou tipo de provedor de recursos (por exemplo, provedores de recursos governamentais e não governamentais);</w:t>
      </w:r>
    </w:p>
    <w:p w14:paraId="65A21690" w14:textId="5F75CBBA" w:rsidR="00D81CAD" w:rsidRPr="00D81CAD" w:rsidRDefault="00D81CAD" w:rsidP="00E31FFB">
      <w:pPr>
        <w:pStyle w:val="IASBSectionTitle1NonInd"/>
        <w:numPr>
          <w:ilvl w:val="1"/>
          <w:numId w:val="1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tipo de acordo vinculante (por exemplo, acordos vinculantes de preço fixo e acordos por tempo e materiais);</w:t>
      </w:r>
    </w:p>
    <w:p w14:paraId="164880D6" w14:textId="45157C4E" w:rsidR="00D81CAD" w:rsidRPr="00D81CAD" w:rsidRDefault="00D81CAD" w:rsidP="00E31FFB">
      <w:pPr>
        <w:pStyle w:val="IASBSectionTitle1NonInd"/>
        <w:numPr>
          <w:ilvl w:val="1"/>
          <w:numId w:val="1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duração do acordo vinculante (por exemplo, acordos vinculantes de curto e de longo prazo);</w:t>
      </w:r>
    </w:p>
    <w:p w14:paraId="76834225" w14:textId="644E9F17" w:rsidR="00D81CAD" w:rsidRPr="00D81CAD" w:rsidRDefault="00D81CAD" w:rsidP="00E31FFB">
      <w:pPr>
        <w:pStyle w:val="IASBSectionTitle1NonInd"/>
        <w:numPr>
          <w:ilvl w:val="1"/>
          <w:numId w:val="1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momento da transferência dos bens ou serviços (por exemplo, receita de bens ou serviços transferidos a compradores ou a terceiros beneficiários em determinado momento e receita de bens ou serviços transferidos ao longo do tempo);</w:t>
      </w:r>
    </w:p>
    <w:p w14:paraId="248D6C52" w14:textId="373A1EA1" w:rsidR="00D81CAD" w:rsidRPr="00D81CAD" w:rsidRDefault="00D81CAD" w:rsidP="00E31FFB">
      <w:pPr>
        <w:pStyle w:val="IASBSectionTitle1NonInd"/>
        <w:numPr>
          <w:ilvl w:val="1"/>
          <w:numId w:val="1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canais de venda (por exemplo, bens fornecidos diretamente a compradores ou a terceiros beneficiários e bens fornecidos por meio de intermediários); e</w:t>
      </w:r>
    </w:p>
    <w:p w14:paraId="3A9E89C4" w14:textId="4BB5E832" w:rsidR="00D81CAD" w:rsidRPr="00D81CAD" w:rsidRDefault="00D81CAD" w:rsidP="00E31FFB">
      <w:pPr>
        <w:pStyle w:val="IASBSectionTitle1NonInd"/>
        <w:numPr>
          <w:ilvl w:val="1"/>
          <w:numId w:val="127"/>
        </w:numPr>
        <w:pBdr>
          <w:bottom w:val="none" w:sz="0" w:space="0" w:color="auto"/>
        </w:pBdr>
        <w:spacing w:before="100" w:after="240"/>
        <w:jc w:val="both"/>
        <w:rPr>
          <w:rFonts w:ascii="Calibri" w:hAnsi="Calibri" w:cs="Calibri"/>
          <w:b w:val="0"/>
          <w:bCs/>
          <w:sz w:val="24"/>
          <w:szCs w:val="24"/>
        </w:rPr>
      </w:pPr>
      <w:r w:rsidRPr="00D81CAD">
        <w:rPr>
          <w:rFonts w:ascii="Calibri" w:hAnsi="Calibri" w:cs="Calibri"/>
          <w:b w:val="0"/>
          <w:bCs/>
          <w:sz w:val="24"/>
          <w:szCs w:val="24"/>
        </w:rPr>
        <w:t>receita auferida com o fornecimento de bens ou serviços a terceiros beneficiários.</w:t>
      </w:r>
    </w:p>
    <w:p w14:paraId="72792D89" w14:textId="77777777" w:rsidR="00D81CAD" w:rsidRPr="00D81CAD" w:rsidRDefault="00D81CAD" w:rsidP="00F5446D">
      <w:pPr>
        <w:pStyle w:val="IASBSectionTitle1NonInd"/>
        <w:pBdr>
          <w:bottom w:val="none" w:sz="0" w:space="0" w:color="auto"/>
        </w:pBdr>
        <w:spacing w:before="0" w:after="0"/>
        <w:jc w:val="both"/>
        <w:rPr>
          <w:rFonts w:ascii="Calibri" w:hAnsi="Calibri" w:cs="Calibri"/>
          <w:b w:val="0"/>
          <w:bCs/>
          <w:sz w:val="24"/>
          <w:szCs w:val="24"/>
        </w:rPr>
      </w:pPr>
    </w:p>
    <w:p w14:paraId="11284F2B" w14:textId="77777777" w:rsidR="002006C1" w:rsidRDefault="002006C1" w:rsidP="00A96139">
      <w:pPr>
        <w:spacing w:after="0"/>
        <w:ind w:right="-142"/>
        <w:jc w:val="right"/>
        <w:rPr>
          <w:rFonts w:asciiTheme="majorHAnsi" w:eastAsia="Calibri" w:hAnsiTheme="majorHAnsi" w:cstheme="majorHAnsi"/>
          <w:szCs w:val="24"/>
        </w:rPr>
      </w:pPr>
    </w:p>
    <w:p w14:paraId="62CD6D02" w14:textId="77777777" w:rsidR="00D81CAD" w:rsidRDefault="00D81CAD" w:rsidP="00A96139">
      <w:pPr>
        <w:spacing w:after="0"/>
        <w:ind w:right="-142"/>
        <w:jc w:val="right"/>
        <w:rPr>
          <w:rFonts w:asciiTheme="majorHAnsi" w:eastAsia="Calibri" w:hAnsiTheme="majorHAnsi" w:cstheme="majorHAnsi"/>
          <w:szCs w:val="24"/>
        </w:rPr>
      </w:pPr>
    </w:p>
    <w:p w14:paraId="71B7142B" w14:textId="77777777" w:rsidR="004562FB" w:rsidRDefault="004562FB" w:rsidP="004562FB">
      <w:pPr>
        <w:pStyle w:val="IASBNormalnpara"/>
        <w:spacing w:after="240"/>
        <w:rPr>
          <w:rFonts w:ascii="Calibri" w:hAnsi="Calibri" w:cs="Calibri"/>
          <w:bCs/>
          <w:sz w:val="24"/>
          <w:szCs w:val="24"/>
        </w:rPr>
      </w:pPr>
    </w:p>
    <w:p w14:paraId="72EF5A99" w14:textId="77777777" w:rsidR="002006C1" w:rsidRDefault="002006C1" w:rsidP="004562FB">
      <w:pPr>
        <w:pStyle w:val="IASBNormalnpara"/>
        <w:spacing w:after="240"/>
        <w:rPr>
          <w:rFonts w:ascii="Calibri" w:hAnsi="Calibri" w:cs="Calibri"/>
          <w:bCs/>
          <w:sz w:val="24"/>
          <w:szCs w:val="24"/>
        </w:rPr>
      </w:pPr>
    </w:p>
    <w:p w14:paraId="64B1C02E" w14:textId="77777777" w:rsidR="002006C1" w:rsidRDefault="002006C1" w:rsidP="004562FB">
      <w:pPr>
        <w:pStyle w:val="IASBNormalnpara"/>
        <w:spacing w:after="240"/>
        <w:rPr>
          <w:rFonts w:ascii="Calibri" w:hAnsi="Calibri" w:cs="Calibri"/>
          <w:bCs/>
          <w:sz w:val="24"/>
          <w:szCs w:val="24"/>
        </w:rPr>
      </w:pPr>
    </w:p>
    <w:p w14:paraId="6C97B8F3" w14:textId="77777777" w:rsidR="002006C1" w:rsidRDefault="002006C1" w:rsidP="004562FB">
      <w:pPr>
        <w:pStyle w:val="IASBNormalnpara"/>
        <w:spacing w:after="240"/>
        <w:rPr>
          <w:rFonts w:ascii="Calibri" w:hAnsi="Calibri" w:cs="Calibri"/>
          <w:bCs/>
          <w:sz w:val="24"/>
          <w:szCs w:val="24"/>
        </w:rPr>
      </w:pPr>
    </w:p>
    <w:sectPr w:rsidR="002006C1" w:rsidSect="0022322B">
      <w:headerReference w:type="even" r:id="rId10"/>
      <w:headerReference w:type="default" r:id="rId11"/>
      <w:footerReference w:type="even" r:id="rId12"/>
      <w:footerReference w:type="default" r:id="rId13"/>
      <w:headerReference w:type="first" r:id="rId14"/>
      <w:footerReference w:type="first" r:id="rId15"/>
      <w:pgSz w:w="11907" w:h="16840" w:code="9"/>
      <w:pgMar w:top="2835" w:right="567" w:bottom="1418" w:left="1134"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42CB8" w14:textId="77777777" w:rsidR="00EC08E4" w:rsidRDefault="00EC08E4">
      <w:r>
        <w:separator/>
      </w:r>
    </w:p>
  </w:endnote>
  <w:endnote w:type="continuationSeparator" w:id="0">
    <w:p w14:paraId="734EB024" w14:textId="77777777" w:rsidR="00EC08E4" w:rsidRDefault="00EC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2164" w14:textId="77777777" w:rsidR="006269B5" w:rsidRDefault="006269B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6324C2D5" w14:textId="77777777" w:rsidR="006269B5" w:rsidRDefault="006269B5">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3EC78" w14:textId="77777777" w:rsidR="005D395C" w:rsidRDefault="001E5248" w:rsidP="0086559C">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679232" behindDoc="0" locked="0" layoutInCell="1" allowOverlap="1" wp14:anchorId="69E2F5BC" wp14:editId="29D1D28A">
              <wp:simplePos x="0" y="0"/>
              <wp:positionH relativeFrom="margin">
                <wp:posOffset>0</wp:posOffset>
              </wp:positionH>
              <wp:positionV relativeFrom="paragraph">
                <wp:posOffset>-635</wp:posOffset>
              </wp:positionV>
              <wp:extent cx="6454140" cy="22860"/>
              <wp:effectExtent l="0" t="0" r="22860" b="34290"/>
              <wp:wrapNone/>
              <wp:docPr id="2" name="Conector reto 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D9B198" id="Conector reto 2" o:spid="_x0000_s1026" style="position:absolute;flip:y;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4C53A73D"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40439B5D"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7CAC0E35" w14:textId="77777777" w:rsidR="005D395C" w:rsidRPr="005A0077" w:rsidRDefault="005D395C" w:rsidP="006C2B5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1386671364"/>
      <w:docPartObj>
        <w:docPartGallery w:val="Page Numbers (Bottom of Page)"/>
        <w:docPartUnique/>
      </w:docPartObj>
    </w:sdtPr>
    <w:sdtEndPr/>
    <w:sdtContent>
      <w:p w14:paraId="6FA9F5C5" w14:textId="77777777" w:rsidR="00857A2D" w:rsidRDefault="00BF5A40" w:rsidP="00857A2D">
        <w:pPr>
          <w:pStyle w:val="Rodap"/>
          <w:jc w:val="center"/>
        </w:pPr>
        <w:r>
          <w:rPr>
            <w:noProof/>
          </w:rPr>
          <w:drawing>
            <wp:anchor distT="0" distB="0" distL="114300" distR="114300" simplePos="0" relativeHeight="251701760" behindDoc="1" locked="0" layoutInCell="1" allowOverlap="1" wp14:anchorId="180B59B5" wp14:editId="27984D08">
              <wp:simplePos x="0" y="0"/>
              <wp:positionH relativeFrom="margin">
                <wp:align>center</wp:align>
              </wp:positionH>
              <wp:positionV relativeFrom="paragraph">
                <wp:posOffset>391886</wp:posOffset>
              </wp:positionV>
              <wp:extent cx="8948420" cy="123823"/>
              <wp:effectExtent l="0" t="0" r="0" b="0"/>
              <wp:wrapNone/>
              <wp:docPr id="95655402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rsidR="00857A2D">
          <w:fldChar w:fldCharType="begin"/>
        </w:r>
        <w:r w:rsidR="00857A2D">
          <w:instrText>PAGE   \* MERGEFORMAT</w:instrText>
        </w:r>
        <w:r w:rsidR="00857A2D">
          <w:fldChar w:fldCharType="separate"/>
        </w:r>
        <w:r w:rsidR="00857A2D">
          <w:t>2</w:t>
        </w:r>
        <w:r w:rsidR="00857A2D">
          <w:fldChar w:fldCharType="end"/>
        </w:r>
      </w:p>
    </w:sdtContent>
  </w:sdt>
  <w:p w14:paraId="664683C5" w14:textId="77777777" w:rsidR="005D395C" w:rsidRPr="005D395C" w:rsidRDefault="005D395C" w:rsidP="0086559C">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41F9" w14:textId="77777777" w:rsidR="005D7DA5" w:rsidRDefault="005D7DA5" w:rsidP="00604561">
    <w:pPr>
      <w:pStyle w:val="Rodap"/>
      <w:spacing w:after="0"/>
      <w:jc w:val="center"/>
      <w:rPr>
        <w:rFonts w:asciiTheme="majorHAnsi" w:hAnsiTheme="majorHAnsi" w:cstheme="majorHAnsi"/>
        <w:color w:val="1D2644"/>
        <w:sz w:val="16"/>
      </w:rPr>
    </w:pPr>
  </w:p>
  <w:p w14:paraId="2D2BC87F" w14:textId="77777777" w:rsidR="00690FCD" w:rsidRDefault="00604561" w:rsidP="00604561">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703808" behindDoc="0" locked="0" layoutInCell="1" allowOverlap="1" wp14:anchorId="3946AB64" wp14:editId="6729F64A">
              <wp:simplePos x="0" y="0"/>
              <wp:positionH relativeFrom="margin">
                <wp:posOffset>0</wp:posOffset>
              </wp:positionH>
              <wp:positionV relativeFrom="paragraph">
                <wp:posOffset>-635</wp:posOffset>
              </wp:positionV>
              <wp:extent cx="6454140" cy="22860"/>
              <wp:effectExtent l="0" t="0" r="22860" b="34290"/>
              <wp:wrapNone/>
              <wp:docPr id="2116333292" name="Conector reto 211633329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4A6FAB" id="Conector reto 2116333292" o:spid="_x0000_s1026" style="position:absolute;flip:y;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03B77E37"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3171C1CC"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74248353" w14:textId="77777777" w:rsidR="00604561" w:rsidRPr="005A0077" w:rsidRDefault="00604561" w:rsidP="0060456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513993113"/>
      <w:docPartObj>
        <w:docPartGallery w:val="Page Numbers (Bottom of Page)"/>
        <w:docPartUnique/>
      </w:docPartObj>
    </w:sdtPr>
    <w:sdtEndPr/>
    <w:sdtContent>
      <w:p w14:paraId="37CF0DA6" w14:textId="77777777" w:rsidR="00604561" w:rsidRDefault="00604561" w:rsidP="00604561">
        <w:pPr>
          <w:pStyle w:val="Rodap"/>
          <w:jc w:val="center"/>
        </w:pPr>
        <w:r>
          <w:rPr>
            <w:noProof/>
          </w:rPr>
          <w:drawing>
            <wp:anchor distT="0" distB="0" distL="114300" distR="114300" simplePos="0" relativeHeight="251704832" behindDoc="1" locked="0" layoutInCell="1" allowOverlap="1" wp14:anchorId="4FDA625A" wp14:editId="07FBFF00">
              <wp:simplePos x="0" y="0"/>
              <wp:positionH relativeFrom="margin">
                <wp:align>center</wp:align>
              </wp:positionH>
              <wp:positionV relativeFrom="paragraph">
                <wp:posOffset>391886</wp:posOffset>
              </wp:positionV>
              <wp:extent cx="8948420" cy="123823"/>
              <wp:effectExtent l="0" t="0" r="0" b="0"/>
              <wp:wrapNone/>
              <wp:docPr id="157428771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1D4B74F2" w14:textId="77777777" w:rsidR="00857A2D" w:rsidRDefault="00857A2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F0845" w14:textId="77777777" w:rsidR="00EC08E4" w:rsidRDefault="00EC08E4">
      <w:r>
        <w:separator/>
      </w:r>
    </w:p>
  </w:footnote>
  <w:footnote w:type="continuationSeparator" w:id="0">
    <w:p w14:paraId="6B1713D8" w14:textId="77777777" w:rsidR="00EC08E4" w:rsidRDefault="00EC0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34092" w14:textId="3394474D" w:rsidR="0047470D" w:rsidRDefault="0047470D">
    <w:pPr>
      <w:pStyle w:val="Cabealho"/>
    </w:pPr>
    <w:r>
      <w:rPr>
        <w:noProof/>
      </w:rPr>
      <w:pict w14:anchorId="60AEF9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826516" o:spid="_x0000_s1026" type="#_x0000_t136" style="position:absolute;margin-left:0;margin-top:0;width:503.6pt;height:215.8pt;rotation:315;z-index:-251607552;mso-position-horizontal:center;mso-position-horizontal-relative:margin;mso-position-vertical:center;mso-position-vertical-relative:margin" o:allowincell="f" fillcolor="silver" stroked="f">
          <v:fill opacity=".5"/>
          <v:textpath style="font-family:&quot;Calibri&quot;;font-size:1pt" string="MINUT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124B" w14:textId="51556815" w:rsidR="00D177CB" w:rsidRPr="00DA209E" w:rsidRDefault="0047470D" w:rsidP="008A06AC">
    <w:pPr>
      <w:pStyle w:val="Cabealho"/>
      <w:widowControl w:val="0"/>
      <w:tabs>
        <w:tab w:val="clear" w:pos="4419"/>
        <w:tab w:val="clear" w:pos="8838"/>
        <w:tab w:val="center" w:pos="4677"/>
      </w:tabs>
      <w:spacing w:after="0"/>
      <w:jc w:val="center"/>
      <w:rPr>
        <w:noProof/>
        <w:color w:val="112143"/>
        <w:sz w:val="16"/>
        <w:szCs w:val="16"/>
      </w:rPr>
    </w:pPr>
    <w:r>
      <w:rPr>
        <w:noProof/>
      </w:rPr>
      <w:pict w14:anchorId="6E65C5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826517" o:spid="_x0000_s1027" type="#_x0000_t136" style="position:absolute;left:0;text-align:left;margin-left:0;margin-top:0;width:503.6pt;height:215.8pt;rotation:315;z-index:-251605504;mso-position-horizontal:center;mso-position-horizontal-relative:margin;mso-position-vertical:center;mso-position-vertical-relative:margin" o:allowincell="f" fillcolor="silver" stroked="f">
          <v:fill opacity=".5"/>
          <v:textpath style="font-family:&quot;Calibri&quot;;font-size:1pt" string="MINUTA"/>
        </v:shape>
      </w:pict>
    </w:r>
    <w:r w:rsidR="008774FC">
      <w:rPr>
        <w:noProof/>
      </w:rPr>
      <w:drawing>
        <wp:anchor distT="0" distB="0" distL="114300" distR="114300" simplePos="0" relativeHeight="251678207" behindDoc="1" locked="0" layoutInCell="1" allowOverlap="1" wp14:anchorId="26174EDD" wp14:editId="42BD0405">
          <wp:simplePos x="0" y="0"/>
          <wp:positionH relativeFrom="margin">
            <wp:posOffset>-701040</wp:posOffset>
          </wp:positionH>
          <wp:positionV relativeFrom="paragraph">
            <wp:posOffset>-9525</wp:posOffset>
          </wp:positionV>
          <wp:extent cx="7816162" cy="1484413"/>
          <wp:effectExtent l="0" t="0" r="0" b="0"/>
          <wp:wrapNone/>
          <wp:docPr id="60208296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13092"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16162" cy="148441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22CB" w14:textId="0F01DA11" w:rsidR="00857A2D" w:rsidRDefault="0047470D">
    <w:pPr>
      <w:pStyle w:val="Cabealho"/>
    </w:pPr>
    <w:r>
      <w:rPr>
        <w:noProof/>
      </w:rPr>
      <w:pict w14:anchorId="32E179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826515" o:spid="_x0000_s1025" type="#_x0000_t136" style="position:absolute;margin-left:0;margin-top:0;width:503.6pt;height:215.8pt;rotation:315;z-index:-251609600;mso-position-horizontal:center;mso-position-horizontal-relative:margin;mso-position-vertical:center;mso-position-vertical-relative:margin" o:allowincell="f" fillcolor="silver" stroked="f">
          <v:fill opacity=".5"/>
          <v:textpath style="font-family:&quot;Calibri&quot;;font-size:1pt" string="MINUTA"/>
        </v:shape>
      </w:pict>
    </w:r>
    <w:r w:rsidR="00F06D7D">
      <w:rPr>
        <w:noProof/>
      </w:rPr>
      <w:drawing>
        <wp:anchor distT="0" distB="0" distL="114300" distR="114300" simplePos="0" relativeHeight="251692544" behindDoc="1" locked="0" layoutInCell="1" allowOverlap="1" wp14:anchorId="00F54D95" wp14:editId="0E6954D1">
          <wp:simplePos x="0" y="0"/>
          <wp:positionH relativeFrom="page">
            <wp:posOffset>19050</wp:posOffset>
          </wp:positionH>
          <wp:positionV relativeFrom="paragraph">
            <wp:posOffset>0</wp:posOffset>
          </wp:positionV>
          <wp:extent cx="7523058" cy="1428748"/>
          <wp:effectExtent l="0" t="0" r="1905" b="0"/>
          <wp:wrapNone/>
          <wp:docPr id="19242023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82067"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3058" cy="14287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D21"/>
    <w:multiLevelType w:val="hybridMultilevel"/>
    <w:tmpl w:val="4BF8E08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E454C1"/>
    <w:multiLevelType w:val="hybridMultilevel"/>
    <w:tmpl w:val="1400B882"/>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857066"/>
    <w:multiLevelType w:val="hybridMultilevel"/>
    <w:tmpl w:val="94EE13D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262779"/>
    <w:multiLevelType w:val="hybridMultilevel"/>
    <w:tmpl w:val="CC6A738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410B3D"/>
    <w:multiLevelType w:val="hybridMultilevel"/>
    <w:tmpl w:val="929E55A4"/>
    <w:lvl w:ilvl="0" w:tplc="611A9B26">
      <w:start w:val="1"/>
      <w:numFmt w:val="lowerRoman"/>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04BD6FFC"/>
    <w:multiLevelType w:val="hybridMultilevel"/>
    <w:tmpl w:val="7E8054D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1B7FF9"/>
    <w:multiLevelType w:val="hybridMultilevel"/>
    <w:tmpl w:val="C6ECC4C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954257"/>
    <w:multiLevelType w:val="hybridMultilevel"/>
    <w:tmpl w:val="316C608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6D25E08"/>
    <w:multiLevelType w:val="hybridMultilevel"/>
    <w:tmpl w:val="DC2E6B6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86B2BB0"/>
    <w:multiLevelType w:val="hybridMultilevel"/>
    <w:tmpl w:val="4196706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6233FE"/>
    <w:multiLevelType w:val="hybridMultilevel"/>
    <w:tmpl w:val="DA7EA23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831AAB"/>
    <w:multiLevelType w:val="hybridMultilevel"/>
    <w:tmpl w:val="9A8C6384"/>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09C86201"/>
    <w:multiLevelType w:val="hybridMultilevel"/>
    <w:tmpl w:val="0FB4DB9E"/>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A31293B"/>
    <w:multiLevelType w:val="hybridMultilevel"/>
    <w:tmpl w:val="B828528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AA5004B"/>
    <w:multiLevelType w:val="hybridMultilevel"/>
    <w:tmpl w:val="7AC2D74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AD9651D"/>
    <w:multiLevelType w:val="hybridMultilevel"/>
    <w:tmpl w:val="3F30A9B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B375D91"/>
    <w:multiLevelType w:val="hybridMultilevel"/>
    <w:tmpl w:val="9B84A43C"/>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0BAB5A3F"/>
    <w:multiLevelType w:val="hybridMultilevel"/>
    <w:tmpl w:val="6A325698"/>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E303BF"/>
    <w:multiLevelType w:val="hybridMultilevel"/>
    <w:tmpl w:val="D7685AA4"/>
    <w:lvl w:ilvl="0" w:tplc="611A9B26">
      <w:start w:val="1"/>
      <w:numFmt w:val="lowerRoman"/>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0D790E12"/>
    <w:multiLevelType w:val="hybridMultilevel"/>
    <w:tmpl w:val="B678A3DC"/>
    <w:lvl w:ilvl="0" w:tplc="C150C28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F794A07"/>
    <w:multiLevelType w:val="hybridMultilevel"/>
    <w:tmpl w:val="756629F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0E4266D"/>
    <w:multiLevelType w:val="hybridMultilevel"/>
    <w:tmpl w:val="2BFAA51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16463CA"/>
    <w:multiLevelType w:val="hybridMultilevel"/>
    <w:tmpl w:val="44B4FE9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37812DF"/>
    <w:multiLevelType w:val="hybridMultilevel"/>
    <w:tmpl w:val="BD6C649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3F42680"/>
    <w:multiLevelType w:val="hybridMultilevel"/>
    <w:tmpl w:val="374CC8C8"/>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4193274"/>
    <w:multiLevelType w:val="hybridMultilevel"/>
    <w:tmpl w:val="DF50BAF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4536945"/>
    <w:multiLevelType w:val="hybridMultilevel"/>
    <w:tmpl w:val="3D240CB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5081A92"/>
    <w:multiLevelType w:val="hybridMultilevel"/>
    <w:tmpl w:val="163A08FC"/>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51A45E3"/>
    <w:multiLevelType w:val="hybridMultilevel"/>
    <w:tmpl w:val="F75AE222"/>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8094AC5"/>
    <w:multiLevelType w:val="hybridMultilevel"/>
    <w:tmpl w:val="4AC61D68"/>
    <w:lvl w:ilvl="0" w:tplc="C150C28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191D1F63"/>
    <w:multiLevelType w:val="hybridMultilevel"/>
    <w:tmpl w:val="46AED13C"/>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9743DC3"/>
    <w:multiLevelType w:val="hybridMultilevel"/>
    <w:tmpl w:val="58869C4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9811657"/>
    <w:multiLevelType w:val="hybridMultilevel"/>
    <w:tmpl w:val="B3402CF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9CC5F76"/>
    <w:multiLevelType w:val="hybridMultilevel"/>
    <w:tmpl w:val="6A06C44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9EF1898"/>
    <w:multiLevelType w:val="hybridMultilevel"/>
    <w:tmpl w:val="C5CA4BF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AD22874"/>
    <w:multiLevelType w:val="hybridMultilevel"/>
    <w:tmpl w:val="CD7CB3B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B345618"/>
    <w:multiLevelType w:val="hybridMultilevel"/>
    <w:tmpl w:val="9E383E8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D311823"/>
    <w:multiLevelType w:val="hybridMultilevel"/>
    <w:tmpl w:val="AB544C6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DB01383"/>
    <w:multiLevelType w:val="hybridMultilevel"/>
    <w:tmpl w:val="682017DE"/>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1DC66842"/>
    <w:multiLevelType w:val="hybridMultilevel"/>
    <w:tmpl w:val="902EB3E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DD82EDD"/>
    <w:multiLevelType w:val="hybridMultilevel"/>
    <w:tmpl w:val="FB8823B2"/>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1E990894"/>
    <w:multiLevelType w:val="hybridMultilevel"/>
    <w:tmpl w:val="0D083E42"/>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17E261E"/>
    <w:multiLevelType w:val="hybridMultilevel"/>
    <w:tmpl w:val="31305B6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2402331"/>
    <w:multiLevelType w:val="hybridMultilevel"/>
    <w:tmpl w:val="7D14F046"/>
    <w:lvl w:ilvl="0" w:tplc="C150C284">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4" w15:restartNumberingAfterBreak="0">
    <w:nsid w:val="22734781"/>
    <w:multiLevelType w:val="hybridMultilevel"/>
    <w:tmpl w:val="214E3758"/>
    <w:lvl w:ilvl="0" w:tplc="C150C284">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5" w15:restartNumberingAfterBreak="0">
    <w:nsid w:val="23FA724B"/>
    <w:multiLevelType w:val="hybridMultilevel"/>
    <w:tmpl w:val="8A40322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478410A"/>
    <w:multiLevelType w:val="hybridMultilevel"/>
    <w:tmpl w:val="5AC48DC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50A303F"/>
    <w:multiLevelType w:val="hybridMultilevel"/>
    <w:tmpl w:val="52783F7C"/>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253925A3"/>
    <w:multiLevelType w:val="hybridMultilevel"/>
    <w:tmpl w:val="40AA10E8"/>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5794DAA"/>
    <w:multiLevelType w:val="hybridMultilevel"/>
    <w:tmpl w:val="5FBC148A"/>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275D44FE"/>
    <w:multiLevelType w:val="hybridMultilevel"/>
    <w:tmpl w:val="86922A28"/>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A554A9A"/>
    <w:multiLevelType w:val="hybridMultilevel"/>
    <w:tmpl w:val="95E60BB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AD90195"/>
    <w:multiLevelType w:val="hybridMultilevel"/>
    <w:tmpl w:val="145A349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D17035C"/>
    <w:multiLevelType w:val="hybridMultilevel"/>
    <w:tmpl w:val="2B96735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E0D63BA"/>
    <w:multiLevelType w:val="hybridMultilevel"/>
    <w:tmpl w:val="659217E0"/>
    <w:lvl w:ilvl="0" w:tplc="C150C28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15:restartNumberingAfterBreak="0">
    <w:nsid w:val="2EB16D26"/>
    <w:multiLevelType w:val="hybridMultilevel"/>
    <w:tmpl w:val="E75EA38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EE669E1"/>
    <w:multiLevelType w:val="hybridMultilevel"/>
    <w:tmpl w:val="3FD436AE"/>
    <w:lvl w:ilvl="0" w:tplc="C150C284">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57" w15:restartNumberingAfterBreak="0">
    <w:nsid w:val="2F145C8D"/>
    <w:multiLevelType w:val="hybridMultilevel"/>
    <w:tmpl w:val="2B388B9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F8D6B49"/>
    <w:multiLevelType w:val="hybridMultilevel"/>
    <w:tmpl w:val="8FCCFD4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02C4574"/>
    <w:multiLevelType w:val="hybridMultilevel"/>
    <w:tmpl w:val="94424A8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09622F2"/>
    <w:multiLevelType w:val="hybridMultilevel"/>
    <w:tmpl w:val="901E3F1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0BC5311"/>
    <w:multiLevelType w:val="hybridMultilevel"/>
    <w:tmpl w:val="D3306B9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1EB4A59"/>
    <w:multiLevelType w:val="hybridMultilevel"/>
    <w:tmpl w:val="94D2C42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2897CDA"/>
    <w:multiLevelType w:val="hybridMultilevel"/>
    <w:tmpl w:val="EDC8B6F8"/>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3B5598C"/>
    <w:multiLevelType w:val="hybridMultilevel"/>
    <w:tmpl w:val="A114F82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3D40A98"/>
    <w:multiLevelType w:val="hybridMultilevel"/>
    <w:tmpl w:val="6BF034A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43062DE"/>
    <w:multiLevelType w:val="hybridMultilevel"/>
    <w:tmpl w:val="85A210A8"/>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36675B0B"/>
    <w:multiLevelType w:val="hybridMultilevel"/>
    <w:tmpl w:val="BCF0B75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7962522"/>
    <w:multiLevelType w:val="hybridMultilevel"/>
    <w:tmpl w:val="DFFC719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9303120"/>
    <w:multiLevelType w:val="hybridMultilevel"/>
    <w:tmpl w:val="7D7694C2"/>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9B62D54"/>
    <w:multiLevelType w:val="hybridMultilevel"/>
    <w:tmpl w:val="BC2EE7B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9F64E48"/>
    <w:multiLevelType w:val="hybridMultilevel"/>
    <w:tmpl w:val="7E60CF5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3A4C391B"/>
    <w:multiLevelType w:val="hybridMultilevel"/>
    <w:tmpl w:val="D5AA840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BC07E1C"/>
    <w:multiLevelType w:val="hybridMultilevel"/>
    <w:tmpl w:val="78F0F1FC"/>
    <w:lvl w:ilvl="0" w:tplc="C150C28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4" w15:restartNumberingAfterBreak="0">
    <w:nsid w:val="3BCA6EDD"/>
    <w:multiLevelType w:val="hybridMultilevel"/>
    <w:tmpl w:val="88AA778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3C607A7D"/>
    <w:multiLevelType w:val="hybridMultilevel"/>
    <w:tmpl w:val="4858D99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C8D1F9A"/>
    <w:multiLevelType w:val="hybridMultilevel"/>
    <w:tmpl w:val="B18E16F2"/>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CBC39D4"/>
    <w:multiLevelType w:val="hybridMultilevel"/>
    <w:tmpl w:val="64AA60A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D40106D"/>
    <w:multiLevelType w:val="hybridMultilevel"/>
    <w:tmpl w:val="8BB052B2"/>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3E3E08A0"/>
    <w:multiLevelType w:val="hybridMultilevel"/>
    <w:tmpl w:val="6E96CEE2"/>
    <w:lvl w:ilvl="0" w:tplc="611A9B26">
      <w:start w:val="1"/>
      <w:numFmt w:val="lowerRoman"/>
      <w:lvlText w:val="(%1)"/>
      <w:lvlJc w:val="left"/>
      <w:pPr>
        <w:ind w:left="1428" w:hanging="360"/>
      </w:pPr>
      <w:rPr>
        <w:rFonts w:hint="default"/>
      </w:rPr>
    </w:lvl>
    <w:lvl w:ilvl="1" w:tplc="4ACCFF22">
      <w:start w:val="1"/>
      <w:numFmt w:val="lowerLetter"/>
      <w:lvlText w:val="(%2)"/>
      <w:lvlJc w:val="left"/>
      <w:pPr>
        <w:ind w:left="2148" w:hanging="360"/>
      </w:pPr>
      <w:rPr>
        <w:rFonts w:hint="default"/>
      </w:r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80" w15:restartNumberingAfterBreak="0">
    <w:nsid w:val="3E632B7F"/>
    <w:multiLevelType w:val="hybridMultilevel"/>
    <w:tmpl w:val="10A4C89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1" w15:restartNumberingAfterBreak="0">
    <w:nsid w:val="40E13E61"/>
    <w:multiLevelType w:val="hybridMultilevel"/>
    <w:tmpl w:val="DC2E56EC"/>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3944467"/>
    <w:multiLevelType w:val="hybridMultilevel"/>
    <w:tmpl w:val="46FEFEC8"/>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3EB61BF"/>
    <w:multiLevelType w:val="hybridMultilevel"/>
    <w:tmpl w:val="5CC8C22E"/>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4" w15:restartNumberingAfterBreak="0">
    <w:nsid w:val="43EE408B"/>
    <w:multiLevelType w:val="hybridMultilevel"/>
    <w:tmpl w:val="B3BA71E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40821DE"/>
    <w:multiLevelType w:val="hybridMultilevel"/>
    <w:tmpl w:val="39281E3C"/>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4D55DF1"/>
    <w:multiLevelType w:val="hybridMultilevel"/>
    <w:tmpl w:val="7A8E01E6"/>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7" w15:restartNumberingAfterBreak="0">
    <w:nsid w:val="457430C0"/>
    <w:multiLevelType w:val="hybridMultilevel"/>
    <w:tmpl w:val="64685BA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47D87DA7"/>
    <w:multiLevelType w:val="hybridMultilevel"/>
    <w:tmpl w:val="A6C68F92"/>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48650AA8"/>
    <w:multiLevelType w:val="hybridMultilevel"/>
    <w:tmpl w:val="B6186D8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4A654A57"/>
    <w:multiLevelType w:val="hybridMultilevel"/>
    <w:tmpl w:val="E30AA6EC"/>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B025EDF"/>
    <w:multiLevelType w:val="hybridMultilevel"/>
    <w:tmpl w:val="EC98431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4B2059EB"/>
    <w:multiLevelType w:val="hybridMultilevel"/>
    <w:tmpl w:val="94E0BA62"/>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4BCB5C94"/>
    <w:multiLevelType w:val="hybridMultilevel"/>
    <w:tmpl w:val="E084B5F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BFB199D"/>
    <w:multiLevelType w:val="hybridMultilevel"/>
    <w:tmpl w:val="D534B79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FF07C27"/>
    <w:multiLevelType w:val="hybridMultilevel"/>
    <w:tmpl w:val="4144459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05A593F"/>
    <w:multiLevelType w:val="hybridMultilevel"/>
    <w:tmpl w:val="84E847A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50773198"/>
    <w:multiLevelType w:val="hybridMultilevel"/>
    <w:tmpl w:val="A664CF90"/>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8" w15:restartNumberingAfterBreak="0">
    <w:nsid w:val="50BD3341"/>
    <w:multiLevelType w:val="hybridMultilevel"/>
    <w:tmpl w:val="759AEF0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3856ADD"/>
    <w:multiLevelType w:val="hybridMultilevel"/>
    <w:tmpl w:val="4880CE12"/>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53A5231F"/>
    <w:multiLevelType w:val="hybridMultilevel"/>
    <w:tmpl w:val="B9E07CE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56327AFB"/>
    <w:multiLevelType w:val="hybridMultilevel"/>
    <w:tmpl w:val="61F6793E"/>
    <w:lvl w:ilvl="0" w:tplc="C150C284">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02" w15:restartNumberingAfterBreak="0">
    <w:nsid w:val="56A2524E"/>
    <w:multiLevelType w:val="hybridMultilevel"/>
    <w:tmpl w:val="2118013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5966598B"/>
    <w:multiLevelType w:val="hybridMultilevel"/>
    <w:tmpl w:val="283035C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5B5D4729"/>
    <w:multiLevelType w:val="hybridMultilevel"/>
    <w:tmpl w:val="D760050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5C13123D"/>
    <w:multiLevelType w:val="hybridMultilevel"/>
    <w:tmpl w:val="DAAEE6A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CC124D7"/>
    <w:multiLevelType w:val="hybridMultilevel"/>
    <w:tmpl w:val="F5A676F4"/>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7" w15:restartNumberingAfterBreak="0">
    <w:nsid w:val="5D944E3D"/>
    <w:multiLevelType w:val="hybridMultilevel"/>
    <w:tmpl w:val="DB4A389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15B2570"/>
    <w:multiLevelType w:val="hybridMultilevel"/>
    <w:tmpl w:val="94A8977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61D62609"/>
    <w:multiLevelType w:val="hybridMultilevel"/>
    <w:tmpl w:val="35566A5C"/>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659F4234"/>
    <w:multiLevelType w:val="hybridMultilevel"/>
    <w:tmpl w:val="334080E8"/>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67795724"/>
    <w:multiLevelType w:val="hybridMultilevel"/>
    <w:tmpl w:val="82187AAC"/>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69FA70CF"/>
    <w:multiLevelType w:val="hybridMultilevel"/>
    <w:tmpl w:val="6B46E4A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9FC48C9"/>
    <w:multiLevelType w:val="hybridMultilevel"/>
    <w:tmpl w:val="5082F2A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6B130BEF"/>
    <w:multiLevelType w:val="hybridMultilevel"/>
    <w:tmpl w:val="1A14C51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6CCA61E7"/>
    <w:multiLevelType w:val="hybridMultilevel"/>
    <w:tmpl w:val="8A96FCA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6ED813AE"/>
    <w:multiLevelType w:val="hybridMultilevel"/>
    <w:tmpl w:val="5B6249E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6F6E27BF"/>
    <w:multiLevelType w:val="hybridMultilevel"/>
    <w:tmpl w:val="FE6C0742"/>
    <w:lvl w:ilvl="0" w:tplc="611A9B26">
      <w:start w:val="1"/>
      <w:numFmt w:val="lowerRoman"/>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8" w15:restartNumberingAfterBreak="0">
    <w:nsid w:val="704D0B00"/>
    <w:multiLevelType w:val="hybridMultilevel"/>
    <w:tmpl w:val="4B3A6C5C"/>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9" w15:restartNumberingAfterBreak="0">
    <w:nsid w:val="70694731"/>
    <w:multiLevelType w:val="hybridMultilevel"/>
    <w:tmpl w:val="1FC2D64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73BC493D"/>
    <w:multiLevelType w:val="hybridMultilevel"/>
    <w:tmpl w:val="50123A6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522740F"/>
    <w:multiLevelType w:val="hybridMultilevel"/>
    <w:tmpl w:val="508A571C"/>
    <w:lvl w:ilvl="0" w:tplc="611A9B26">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2" w15:restartNumberingAfterBreak="0">
    <w:nsid w:val="752A1EDE"/>
    <w:multiLevelType w:val="hybridMultilevel"/>
    <w:tmpl w:val="EA44F9F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62C529A"/>
    <w:multiLevelType w:val="hybridMultilevel"/>
    <w:tmpl w:val="C0D09C64"/>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6660B34"/>
    <w:multiLevelType w:val="hybridMultilevel"/>
    <w:tmpl w:val="FE48B9C0"/>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7857681C"/>
    <w:multiLevelType w:val="hybridMultilevel"/>
    <w:tmpl w:val="040A46F6"/>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7B8459AD"/>
    <w:multiLevelType w:val="hybridMultilevel"/>
    <w:tmpl w:val="A0405BBC"/>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7E014599"/>
    <w:multiLevelType w:val="hybridMultilevel"/>
    <w:tmpl w:val="696A9B2E"/>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F8741E2"/>
    <w:multiLevelType w:val="hybridMultilevel"/>
    <w:tmpl w:val="03B6C9FA"/>
    <w:lvl w:ilvl="0" w:tplc="FFFFFFFF">
      <w:start w:val="1"/>
      <w:numFmt w:val="lowerLetter"/>
      <w:lvlText w:val="(%1)"/>
      <w:lvlJc w:val="left"/>
      <w:pPr>
        <w:ind w:left="720" w:hanging="360"/>
      </w:pPr>
      <w:rPr>
        <w:rFonts w:hint="default"/>
      </w:rPr>
    </w:lvl>
    <w:lvl w:ilvl="1" w:tplc="C150C28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21233243">
    <w:abstractNumId w:val="43"/>
  </w:num>
  <w:num w:numId="2" w16cid:durableId="224606076">
    <w:abstractNumId w:val="19"/>
  </w:num>
  <w:num w:numId="3" w16cid:durableId="1301694883">
    <w:abstractNumId w:val="56"/>
  </w:num>
  <w:num w:numId="4" w16cid:durableId="1474521614">
    <w:abstractNumId w:val="101"/>
  </w:num>
  <w:num w:numId="5" w16cid:durableId="70275164">
    <w:abstractNumId w:val="29"/>
  </w:num>
  <w:num w:numId="6" w16cid:durableId="2054040135">
    <w:abstractNumId w:val="44"/>
  </w:num>
  <w:num w:numId="7" w16cid:durableId="26757723">
    <w:abstractNumId w:val="79"/>
  </w:num>
  <w:num w:numId="8" w16cid:durableId="1160465666">
    <w:abstractNumId w:val="125"/>
  </w:num>
  <w:num w:numId="9" w16cid:durableId="795442443">
    <w:abstractNumId w:val="35"/>
  </w:num>
  <w:num w:numId="10" w16cid:durableId="903680479">
    <w:abstractNumId w:val="70"/>
  </w:num>
  <w:num w:numId="11" w16cid:durableId="1754081639">
    <w:abstractNumId w:val="109"/>
  </w:num>
  <w:num w:numId="12" w16cid:durableId="138694546">
    <w:abstractNumId w:val="126"/>
  </w:num>
  <w:num w:numId="13" w16cid:durableId="1337806672">
    <w:abstractNumId w:val="91"/>
  </w:num>
  <w:num w:numId="14" w16cid:durableId="1223636275">
    <w:abstractNumId w:val="24"/>
  </w:num>
  <w:num w:numId="15" w16cid:durableId="1307861566">
    <w:abstractNumId w:val="46"/>
  </w:num>
  <w:num w:numId="16" w16cid:durableId="1834372682">
    <w:abstractNumId w:val="71"/>
  </w:num>
  <w:num w:numId="17" w16cid:durableId="48305823">
    <w:abstractNumId w:val="18"/>
  </w:num>
  <w:num w:numId="18" w16cid:durableId="66540579">
    <w:abstractNumId w:val="42"/>
  </w:num>
  <w:num w:numId="19" w16cid:durableId="242489246">
    <w:abstractNumId w:val="54"/>
  </w:num>
  <w:num w:numId="20" w16cid:durableId="1643929337">
    <w:abstractNumId w:val="108"/>
  </w:num>
  <w:num w:numId="21" w16cid:durableId="440927141">
    <w:abstractNumId w:val="63"/>
  </w:num>
  <w:num w:numId="22" w16cid:durableId="1205562690">
    <w:abstractNumId w:val="59"/>
  </w:num>
  <w:num w:numId="23" w16cid:durableId="1380547281">
    <w:abstractNumId w:val="28"/>
  </w:num>
  <w:num w:numId="24" w16cid:durableId="1719477387">
    <w:abstractNumId w:val="103"/>
  </w:num>
  <w:num w:numId="25" w16cid:durableId="1762218861">
    <w:abstractNumId w:val="14"/>
  </w:num>
  <w:num w:numId="26" w16cid:durableId="1077286855">
    <w:abstractNumId w:val="94"/>
  </w:num>
  <w:num w:numId="27" w16cid:durableId="852302028">
    <w:abstractNumId w:val="107"/>
  </w:num>
  <w:num w:numId="28" w16cid:durableId="1709795226">
    <w:abstractNumId w:val="78"/>
  </w:num>
  <w:num w:numId="29" w16cid:durableId="1784156290">
    <w:abstractNumId w:val="105"/>
  </w:num>
  <w:num w:numId="30" w16cid:durableId="894003305">
    <w:abstractNumId w:val="6"/>
  </w:num>
  <w:num w:numId="31" w16cid:durableId="889609596">
    <w:abstractNumId w:val="31"/>
  </w:num>
  <w:num w:numId="32" w16cid:durableId="43453845">
    <w:abstractNumId w:val="87"/>
  </w:num>
  <w:num w:numId="33" w16cid:durableId="662321169">
    <w:abstractNumId w:val="9"/>
  </w:num>
  <w:num w:numId="34" w16cid:durableId="928195776">
    <w:abstractNumId w:val="95"/>
  </w:num>
  <w:num w:numId="35" w16cid:durableId="940769582">
    <w:abstractNumId w:val="4"/>
  </w:num>
  <w:num w:numId="36" w16cid:durableId="430704140">
    <w:abstractNumId w:val="22"/>
  </w:num>
  <w:num w:numId="37" w16cid:durableId="2107997690">
    <w:abstractNumId w:val="113"/>
  </w:num>
  <w:num w:numId="38" w16cid:durableId="612131439">
    <w:abstractNumId w:val="11"/>
  </w:num>
  <w:num w:numId="39" w16cid:durableId="2082168527">
    <w:abstractNumId w:val="124"/>
  </w:num>
  <w:num w:numId="40" w16cid:durableId="933901193">
    <w:abstractNumId w:val="115"/>
  </w:num>
  <w:num w:numId="41" w16cid:durableId="1549025904">
    <w:abstractNumId w:val="21"/>
  </w:num>
  <w:num w:numId="42" w16cid:durableId="1707290939">
    <w:abstractNumId w:val="93"/>
  </w:num>
  <w:num w:numId="43" w16cid:durableId="1363633177">
    <w:abstractNumId w:val="25"/>
  </w:num>
  <w:num w:numId="44" w16cid:durableId="823665857">
    <w:abstractNumId w:val="127"/>
  </w:num>
  <w:num w:numId="45" w16cid:durableId="1766462749">
    <w:abstractNumId w:val="73"/>
  </w:num>
  <w:num w:numId="46" w16cid:durableId="1304040007">
    <w:abstractNumId w:val="84"/>
  </w:num>
  <w:num w:numId="47" w16cid:durableId="937324244">
    <w:abstractNumId w:val="128"/>
  </w:num>
  <w:num w:numId="48" w16cid:durableId="1298608303">
    <w:abstractNumId w:val="121"/>
  </w:num>
  <w:num w:numId="49" w16cid:durableId="1864900738">
    <w:abstractNumId w:val="89"/>
  </w:num>
  <w:num w:numId="50" w16cid:durableId="1153137886">
    <w:abstractNumId w:val="15"/>
  </w:num>
  <w:num w:numId="51" w16cid:durableId="835924401">
    <w:abstractNumId w:val="38"/>
  </w:num>
  <w:num w:numId="52" w16cid:durableId="1859466852">
    <w:abstractNumId w:val="39"/>
  </w:num>
  <w:num w:numId="53" w16cid:durableId="549196029">
    <w:abstractNumId w:val="90"/>
  </w:num>
  <w:num w:numId="54" w16cid:durableId="624118163">
    <w:abstractNumId w:val="36"/>
  </w:num>
  <w:num w:numId="55" w16cid:durableId="2097820111">
    <w:abstractNumId w:val="27"/>
  </w:num>
  <w:num w:numId="56" w16cid:durableId="833489566">
    <w:abstractNumId w:val="8"/>
  </w:num>
  <w:num w:numId="57" w16cid:durableId="1156535892">
    <w:abstractNumId w:val="40"/>
  </w:num>
  <w:num w:numId="58" w16cid:durableId="1345476201">
    <w:abstractNumId w:val="2"/>
  </w:num>
  <w:num w:numId="59" w16cid:durableId="1134717692">
    <w:abstractNumId w:val="7"/>
  </w:num>
  <w:num w:numId="60" w16cid:durableId="217909548">
    <w:abstractNumId w:val="110"/>
  </w:num>
  <w:num w:numId="61" w16cid:durableId="1613367583">
    <w:abstractNumId w:val="30"/>
  </w:num>
  <w:num w:numId="62" w16cid:durableId="2058355096">
    <w:abstractNumId w:val="45"/>
  </w:num>
  <w:num w:numId="63" w16cid:durableId="1650786554">
    <w:abstractNumId w:val="17"/>
  </w:num>
  <w:num w:numId="64" w16cid:durableId="2126802045">
    <w:abstractNumId w:val="86"/>
  </w:num>
  <w:num w:numId="65" w16cid:durableId="411198452">
    <w:abstractNumId w:val="66"/>
  </w:num>
  <w:num w:numId="66" w16cid:durableId="2012021916">
    <w:abstractNumId w:val="99"/>
  </w:num>
  <w:num w:numId="67" w16cid:durableId="1785424334">
    <w:abstractNumId w:val="97"/>
  </w:num>
  <w:num w:numId="68" w16cid:durableId="700060218">
    <w:abstractNumId w:val="106"/>
  </w:num>
  <w:num w:numId="69" w16cid:durableId="2020960727">
    <w:abstractNumId w:val="82"/>
  </w:num>
  <w:num w:numId="70" w16cid:durableId="739330888">
    <w:abstractNumId w:val="23"/>
  </w:num>
  <w:num w:numId="71" w16cid:durableId="286858259">
    <w:abstractNumId w:val="98"/>
  </w:num>
  <w:num w:numId="72" w16cid:durableId="1307783732">
    <w:abstractNumId w:val="75"/>
  </w:num>
  <w:num w:numId="73" w16cid:durableId="1535341977">
    <w:abstractNumId w:val="26"/>
  </w:num>
  <w:num w:numId="74" w16cid:durableId="649021544">
    <w:abstractNumId w:val="16"/>
  </w:num>
  <w:num w:numId="75" w16cid:durableId="1196040386">
    <w:abstractNumId w:val="117"/>
  </w:num>
  <w:num w:numId="76" w16cid:durableId="685442463">
    <w:abstractNumId w:val="83"/>
  </w:num>
  <w:num w:numId="77" w16cid:durableId="167647506">
    <w:abstractNumId w:val="12"/>
  </w:num>
  <w:num w:numId="78" w16cid:durableId="1028992950">
    <w:abstractNumId w:val="0"/>
  </w:num>
  <w:num w:numId="79" w16cid:durableId="967122273">
    <w:abstractNumId w:val="111"/>
  </w:num>
  <w:num w:numId="80" w16cid:durableId="1583486163">
    <w:abstractNumId w:val="57"/>
  </w:num>
  <w:num w:numId="81" w16cid:durableId="1272973067">
    <w:abstractNumId w:val="81"/>
  </w:num>
  <w:num w:numId="82" w16cid:durableId="1980959565">
    <w:abstractNumId w:val="5"/>
  </w:num>
  <w:num w:numId="83" w16cid:durableId="1016808645">
    <w:abstractNumId w:val="1"/>
  </w:num>
  <w:num w:numId="84" w16cid:durableId="1252013001">
    <w:abstractNumId w:val="88"/>
  </w:num>
  <w:num w:numId="85" w16cid:durableId="90005327">
    <w:abstractNumId w:val="53"/>
  </w:num>
  <w:num w:numId="86" w16cid:durableId="745735212">
    <w:abstractNumId w:val="58"/>
  </w:num>
  <w:num w:numId="87" w16cid:durableId="1116486237">
    <w:abstractNumId w:val="51"/>
  </w:num>
  <w:num w:numId="88" w16cid:durableId="418411980">
    <w:abstractNumId w:val="55"/>
  </w:num>
  <w:num w:numId="89" w16cid:durableId="831414170">
    <w:abstractNumId w:val="37"/>
  </w:num>
  <w:num w:numId="90" w16cid:durableId="689453582">
    <w:abstractNumId w:val="123"/>
  </w:num>
  <w:num w:numId="91" w16cid:durableId="166865286">
    <w:abstractNumId w:val="65"/>
  </w:num>
  <w:num w:numId="92" w16cid:durableId="1873347128">
    <w:abstractNumId w:val="13"/>
  </w:num>
  <w:num w:numId="93" w16cid:durableId="538397188">
    <w:abstractNumId w:val="20"/>
  </w:num>
  <w:num w:numId="94" w16cid:durableId="133179948">
    <w:abstractNumId w:val="114"/>
  </w:num>
  <w:num w:numId="95" w16cid:durableId="498352523">
    <w:abstractNumId w:val="96"/>
  </w:num>
  <w:num w:numId="96" w16cid:durableId="1103300510">
    <w:abstractNumId w:val="34"/>
  </w:num>
  <w:num w:numId="97" w16cid:durableId="2124644226">
    <w:abstractNumId w:val="3"/>
  </w:num>
  <w:num w:numId="98" w16cid:durableId="1327592547">
    <w:abstractNumId w:val="69"/>
  </w:num>
  <w:num w:numId="99" w16cid:durableId="156766933">
    <w:abstractNumId w:val="48"/>
  </w:num>
  <w:num w:numId="100" w16cid:durableId="1789348622">
    <w:abstractNumId w:val="49"/>
  </w:num>
  <w:num w:numId="101" w16cid:durableId="393740932">
    <w:abstractNumId w:val="50"/>
  </w:num>
  <w:num w:numId="102" w16cid:durableId="1158769520">
    <w:abstractNumId w:val="10"/>
  </w:num>
  <w:num w:numId="103" w16cid:durableId="1091047330">
    <w:abstractNumId w:val="32"/>
  </w:num>
  <w:num w:numId="104" w16cid:durableId="1306278126">
    <w:abstractNumId w:val="92"/>
  </w:num>
  <w:num w:numId="105" w16cid:durableId="2073310275">
    <w:abstractNumId w:val="112"/>
  </w:num>
  <w:num w:numId="106" w16cid:durableId="1986471800">
    <w:abstractNumId w:val="61"/>
  </w:num>
  <w:num w:numId="107" w16cid:durableId="842820080">
    <w:abstractNumId w:val="68"/>
  </w:num>
  <w:num w:numId="108" w16cid:durableId="1976987466">
    <w:abstractNumId w:val="74"/>
  </w:num>
  <w:num w:numId="109" w16cid:durableId="1790657921">
    <w:abstractNumId w:val="120"/>
  </w:num>
  <w:num w:numId="110" w16cid:durableId="1091394026">
    <w:abstractNumId w:val="77"/>
  </w:num>
  <w:num w:numId="111" w16cid:durableId="1547370688">
    <w:abstractNumId w:val="122"/>
  </w:num>
  <w:num w:numId="112" w16cid:durableId="390932223">
    <w:abstractNumId w:val="64"/>
  </w:num>
  <w:num w:numId="113" w16cid:durableId="529073893">
    <w:abstractNumId w:val="116"/>
  </w:num>
  <w:num w:numId="114" w16cid:durableId="1843861566">
    <w:abstractNumId w:val="62"/>
  </w:num>
  <w:num w:numId="115" w16cid:durableId="2103606030">
    <w:abstractNumId w:val="85"/>
  </w:num>
  <w:num w:numId="116" w16cid:durableId="160002387">
    <w:abstractNumId w:val="100"/>
  </w:num>
  <w:num w:numId="117" w16cid:durableId="256599105">
    <w:abstractNumId w:val="76"/>
  </w:num>
  <w:num w:numId="118" w16cid:durableId="2021196990">
    <w:abstractNumId w:val="119"/>
  </w:num>
  <w:num w:numId="119" w16cid:durableId="304939920">
    <w:abstractNumId w:val="72"/>
  </w:num>
  <w:num w:numId="120" w16cid:durableId="1120104835">
    <w:abstractNumId w:val="102"/>
  </w:num>
  <w:num w:numId="121" w16cid:durableId="981733819">
    <w:abstractNumId w:val="104"/>
  </w:num>
  <w:num w:numId="122" w16cid:durableId="1238706732">
    <w:abstractNumId w:val="41"/>
  </w:num>
  <w:num w:numId="123" w16cid:durableId="1639260554">
    <w:abstractNumId w:val="60"/>
  </w:num>
  <w:num w:numId="124" w16cid:durableId="1844586876">
    <w:abstractNumId w:val="47"/>
  </w:num>
  <w:num w:numId="125" w16cid:durableId="2054769934">
    <w:abstractNumId w:val="67"/>
  </w:num>
  <w:num w:numId="126" w16cid:durableId="2034766056">
    <w:abstractNumId w:val="33"/>
  </w:num>
  <w:num w:numId="127" w16cid:durableId="1370299580">
    <w:abstractNumId w:val="52"/>
  </w:num>
  <w:num w:numId="128" w16cid:durableId="1907759938">
    <w:abstractNumId w:val="118"/>
  </w:num>
  <w:num w:numId="129" w16cid:durableId="893587790">
    <w:abstractNumId w:val="80"/>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501"/>
    <w:rsid w:val="0000444B"/>
    <w:rsid w:val="00004791"/>
    <w:rsid w:val="00015D42"/>
    <w:rsid w:val="00017BD7"/>
    <w:rsid w:val="00017FF5"/>
    <w:rsid w:val="00021899"/>
    <w:rsid w:val="000247CD"/>
    <w:rsid w:val="00035BF8"/>
    <w:rsid w:val="00041946"/>
    <w:rsid w:val="00043571"/>
    <w:rsid w:val="00061DB2"/>
    <w:rsid w:val="00066B1E"/>
    <w:rsid w:val="00073C49"/>
    <w:rsid w:val="00090FA9"/>
    <w:rsid w:val="000A1A23"/>
    <w:rsid w:val="000B3511"/>
    <w:rsid w:val="000B5137"/>
    <w:rsid w:val="000B757E"/>
    <w:rsid w:val="000C2BBB"/>
    <w:rsid w:val="000C6E1C"/>
    <w:rsid w:val="000C7369"/>
    <w:rsid w:val="000D16B8"/>
    <w:rsid w:val="000D3F7C"/>
    <w:rsid w:val="000D50F9"/>
    <w:rsid w:val="000E03D1"/>
    <w:rsid w:val="000E3779"/>
    <w:rsid w:val="000E4188"/>
    <w:rsid w:val="000E5676"/>
    <w:rsid w:val="000F1AEC"/>
    <w:rsid w:val="00107423"/>
    <w:rsid w:val="00113971"/>
    <w:rsid w:val="00113987"/>
    <w:rsid w:val="001208E0"/>
    <w:rsid w:val="001222D6"/>
    <w:rsid w:val="0013304A"/>
    <w:rsid w:val="0013568F"/>
    <w:rsid w:val="001453D3"/>
    <w:rsid w:val="00154763"/>
    <w:rsid w:val="001571F2"/>
    <w:rsid w:val="00160938"/>
    <w:rsid w:val="00166BB5"/>
    <w:rsid w:val="00170C5D"/>
    <w:rsid w:val="00172900"/>
    <w:rsid w:val="0018697A"/>
    <w:rsid w:val="0019070E"/>
    <w:rsid w:val="001A0221"/>
    <w:rsid w:val="001B3AED"/>
    <w:rsid w:val="001B592B"/>
    <w:rsid w:val="001B64FF"/>
    <w:rsid w:val="001B7187"/>
    <w:rsid w:val="001C0528"/>
    <w:rsid w:val="001C0AA6"/>
    <w:rsid w:val="001C13FA"/>
    <w:rsid w:val="001C1FE8"/>
    <w:rsid w:val="001C443C"/>
    <w:rsid w:val="001C625A"/>
    <w:rsid w:val="001C6C98"/>
    <w:rsid w:val="001D2267"/>
    <w:rsid w:val="001E5248"/>
    <w:rsid w:val="001F7721"/>
    <w:rsid w:val="00200641"/>
    <w:rsid w:val="002006C1"/>
    <w:rsid w:val="002007B6"/>
    <w:rsid w:val="00203C9E"/>
    <w:rsid w:val="00205A86"/>
    <w:rsid w:val="0021173D"/>
    <w:rsid w:val="0021327A"/>
    <w:rsid w:val="00216F06"/>
    <w:rsid w:val="00217603"/>
    <w:rsid w:val="00222E21"/>
    <w:rsid w:val="0022322B"/>
    <w:rsid w:val="002232A8"/>
    <w:rsid w:val="00223DDB"/>
    <w:rsid w:val="00224C3E"/>
    <w:rsid w:val="00227A0D"/>
    <w:rsid w:val="0024615A"/>
    <w:rsid w:val="002528D8"/>
    <w:rsid w:val="00254AE9"/>
    <w:rsid w:val="00260316"/>
    <w:rsid w:val="00260742"/>
    <w:rsid w:val="00263A41"/>
    <w:rsid w:val="00272F44"/>
    <w:rsid w:val="00275C7E"/>
    <w:rsid w:val="002774CA"/>
    <w:rsid w:val="00281830"/>
    <w:rsid w:val="002827B6"/>
    <w:rsid w:val="00282BC6"/>
    <w:rsid w:val="00285836"/>
    <w:rsid w:val="0028747D"/>
    <w:rsid w:val="00291608"/>
    <w:rsid w:val="002A1E8E"/>
    <w:rsid w:val="002B06A8"/>
    <w:rsid w:val="002B078E"/>
    <w:rsid w:val="002B737B"/>
    <w:rsid w:val="002C1B82"/>
    <w:rsid w:val="002C4394"/>
    <w:rsid w:val="002C5705"/>
    <w:rsid w:val="002C58B2"/>
    <w:rsid w:val="002C7233"/>
    <w:rsid w:val="002C7CC9"/>
    <w:rsid w:val="002E5893"/>
    <w:rsid w:val="002F0B51"/>
    <w:rsid w:val="002F11D1"/>
    <w:rsid w:val="002F3D19"/>
    <w:rsid w:val="002F7D79"/>
    <w:rsid w:val="003037AB"/>
    <w:rsid w:val="00305F21"/>
    <w:rsid w:val="00307218"/>
    <w:rsid w:val="003245AA"/>
    <w:rsid w:val="00324878"/>
    <w:rsid w:val="00325AA2"/>
    <w:rsid w:val="00327512"/>
    <w:rsid w:val="0033061D"/>
    <w:rsid w:val="00330A89"/>
    <w:rsid w:val="00331D5E"/>
    <w:rsid w:val="00350E43"/>
    <w:rsid w:val="0036169B"/>
    <w:rsid w:val="00364DBC"/>
    <w:rsid w:val="00365CA3"/>
    <w:rsid w:val="00366EB9"/>
    <w:rsid w:val="0036766C"/>
    <w:rsid w:val="00372326"/>
    <w:rsid w:val="00373C37"/>
    <w:rsid w:val="00386377"/>
    <w:rsid w:val="00395742"/>
    <w:rsid w:val="003971F2"/>
    <w:rsid w:val="003A4114"/>
    <w:rsid w:val="003A4C75"/>
    <w:rsid w:val="003A5A37"/>
    <w:rsid w:val="003A64A0"/>
    <w:rsid w:val="003A6E65"/>
    <w:rsid w:val="003A7029"/>
    <w:rsid w:val="003B367A"/>
    <w:rsid w:val="003B497F"/>
    <w:rsid w:val="003C10A7"/>
    <w:rsid w:val="003C3EC3"/>
    <w:rsid w:val="003C487B"/>
    <w:rsid w:val="003D113F"/>
    <w:rsid w:val="003D40CD"/>
    <w:rsid w:val="003D7802"/>
    <w:rsid w:val="003E10FF"/>
    <w:rsid w:val="003E12AC"/>
    <w:rsid w:val="003E6310"/>
    <w:rsid w:val="003E7F4A"/>
    <w:rsid w:val="003F4D11"/>
    <w:rsid w:val="00400C63"/>
    <w:rsid w:val="00406DC8"/>
    <w:rsid w:val="00414CD4"/>
    <w:rsid w:val="00420404"/>
    <w:rsid w:val="004214B8"/>
    <w:rsid w:val="004226B1"/>
    <w:rsid w:val="0043284E"/>
    <w:rsid w:val="00433876"/>
    <w:rsid w:val="004371C6"/>
    <w:rsid w:val="004408E4"/>
    <w:rsid w:val="00445FEA"/>
    <w:rsid w:val="004465F2"/>
    <w:rsid w:val="004562FB"/>
    <w:rsid w:val="00456DD0"/>
    <w:rsid w:val="00472F42"/>
    <w:rsid w:val="0047470D"/>
    <w:rsid w:val="00476ADB"/>
    <w:rsid w:val="004918DE"/>
    <w:rsid w:val="0049439C"/>
    <w:rsid w:val="0049705D"/>
    <w:rsid w:val="004A0998"/>
    <w:rsid w:val="004A25C1"/>
    <w:rsid w:val="004B43C4"/>
    <w:rsid w:val="004B79FE"/>
    <w:rsid w:val="004C249B"/>
    <w:rsid w:val="004C3DFB"/>
    <w:rsid w:val="004C4638"/>
    <w:rsid w:val="004D095A"/>
    <w:rsid w:val="004D10F0"/>
    <w:rsid w:val="004D2522"/>
    <w:rsid w:val="004D55E2"/>
    <w:rsid w:val="004D652A"/>
    <w:rsid w:val="004E507E"/>
    <w:rsid w:val="004E5D89"/>
    <w:rsid w:val="004E7E3C"/>
    <w:rsid w:val="004F1772"/>
    <w:rsid w:val="004F3913"/>
    <w:rsid w:val="00514404"/>
    <w:rsid w:val="00514BDC"/>
    <w:rsid w:val="00516DD0"/>
    <w:rsid w:val="005256D6"/>
    <w:rsid w:val="00547071"/>
    <w:rsid w:val="00551C48"/>
    <w:rsid w:val="00552200"/>
    <w:rsid w:val="005569B1"/>
    <w:rsid w:val="00566380"/>
    <w:rsid w:val="0057572A"/>
    <w:rsid w:val="005A0077"/>
    <w:rsid w:val="005A0BD7"/>
    <w:rsid w:val="005A1B86"/>
    <w:rsid w:val="005A34BB"/>
    <w:rsid w:val="005B13CA"/>
    <w:rsid w:val="005B2C5D"/>
    <w:rsid w:val="005C5D4E"/>
    <w:rsid w:val="005D395C"/>
    <w:rsid w:val="005D6A44"/>
    <w:rsid w:val="005D7DA5"/>
    <w:rsid w:val="005E07AA"/>
    <w:rsid w:val="005E2844"/>
    <w:rsid w:val="005E676D"/>
    <w:rsid w:val="005F2F9F"/>
    <w:rsid w:val="00602B59"/>
    <w:rsid w:val="00602DB5"/>
    <w:rsid w:val="00604561"/>
    <w:rsid w:val="00604E57"/>
    <w:rsid w:val="00606F34"/>
    <w:rsid w:val="00607A38"/>
    <w:rsid w:val="006154BA"/>
    <w:rsid w:val="00615DD7"/>
    <w:rsid w:val="006269B5"/>
    <w:rsid w:val="00627036"/>
    <w:rsid w:val="00647F20"/>
    <w:rsid w:val="00650A2C"/>
    <w:rsid w:val="00654DC0"/>
    <w:rsid w:val="00657BA6"/>
    <w:rsid w:val="0066212E"/>
    <w:rsid w:val="00666D03"/>
    <w:rsid w:val="00667526"/>
    <w:rsid w:val="006741BC"/>
    <w:rsid w:val="006744A5"/>
    <w:rsid w:val="00674B5F"/>
    <w:rsid w:val="00681A8D"/>
    <w:rsid w:val="00690923"/>
    <w:rsid w:val="00690FCD"/>
    <w:rsid w:val="00691956"/>
    <w:rsid w:val="00692564"/>
    <w:rsid w:val="00692CF6"/>
    <w:rsid w:val="006930B6"/>
    <w:rsid w:val="006949EC"/>
    <w:rsid w:val="00694B48"/>
    <w:rsid w:val="006A2D38"/>
    <w:rsid w:val="006A3807"/>
    <w:rsid w:val="006A7BE6"/>
    <w:rsid w:val="006B1C72"/>
    <w:rsid w:val="006B45AF"/>
    <w:rsid w:val="006C2B51"/>
    <w:rsid w:val="006C706D"/>
    <w:rsid w:val="006D16EC"/>
    <w:rsid w:val="006D30E3"/>
    <w:rsid w:val="006E1EE3"/>
    <w:rsid w:val="006E2A7B"/>
    <w:rsid w:val="006F45C5"/>
    <w:rsid w:val="006F6BF4"/>
    <w:rsid w:val="00703DC5"/>
    <w:rsid w:val="00705EAE"/>
    <w:rsid w:val="007318AD"/>
    <w:rsid w:val="0073260D"/>
    <w:rsid w:val="00733306"/>
    <w:rsid w:val="00733382"/>
    <w:rsid w:val="00740194"/>
    <w:rsid w:val="00743350"/>
    <w:rsid w:val="0074778C"/>
    <w:rsid w:val="007541E4"/>
    <w:rsid w:val="007609E9"/>
    <w:rsid w:val="007629AF"/>
    <w:rsid w:val="00765F01"/>
    <w:rsid w:val="00766E01"/>
    <w:rsid w:val="0077056E"/>
    <w:rsid w:val="007731D4"/>
    <w:rsid w:val="00773A20"/>
    <w:rsid w:val="00776349"/>
    <w:rsid w:val="00776F7D"/>
    <w:rsid w:val="007A5AC1"/>
    <w:rsid w:val="007A65F0"/>
    <w:rsid w:val="007B0416"/>
    <w:rsid w:val="007B2886"/>
    <w:rsid w:val="007B3009"/>
    <w:rsid w:val="007B5BAE"/>
    <w:rsid w:val="007C075F"/>
    <w:rsid w:val="007C5BB2"/>
    <w:rsid w:val="007D0439"/>
    <w:rsid w:val="007D6EB1"/>
    <w:rsid w:val="007D7C4A"/>
    <w:rsid w:val="007E00D9"/>
    <w:rsid w:val="007E377F"/>
    <w:rsid w:val="007F1105"/>
    <w:rsid w:val="007F3AAB"/>
    <w:rsid w:val="00800384"/>
    <w:rsid w:val="00802F34"/>
    <w:rsid w:val="00807407"/>
    <w:rsid w:val="0081560F"/>
    <w:rsid w:val="00824FAF"/>
    <w:rsid w:val="0082547F"/>
    <w:rsid w:val="00832AB2"/>
    <w:rsid w:val="00834A80"/>
    <w:rsid w:val="00836501"/>
    <w:rsid w:val="0084075A"/>
    <w:rsid w:val="00840D73"/>
    <w:rsid w:val="00843DA4"/>
    <w:rsid w:val="00844890"/>
    <w:rsid w:val="008522B5"/>
    <w:rsid w:val="00853CBD"/>
    <w:rsid w:val="00857A2D"/>
    <w:rsid w:val="00863988"/>
    <w:rsid w:val="0086559C"/>
    <w:rsid w:val="00865AC0"/>
    <w:rsid w:val="00871B03"/>
    <w:rsid w:val="008762A6"/>
    <w:rsid w:val="008774FC"/>
    <w:rsid w:val="0088163A"/>
    <w:rsid w:val="008A06AC"/>
    <w:rsid w:val="008A1F25"/>
    <w:rsid w:val="008B5741"/>
    <w:rsid w:val="008C60B3"/>
    <w:rsid w:val="008C6BA4"/>
    <w:rsid w:val="008D6375"/>
    <w:rsid w:val="008D6C4B"/>
    <w:rsid w:val="008F6D9B"/>
    <w:rsid w:val="00911FCC"/>
    <w:rsid w:val="009130C9"/>
    <w:rsid w:val="00920730"/>
    <w:rsid w:val="00922D8C"/>
    <w:rsid w:val="00926B67"/>
    <w:rsid w:val="00927E73"/>
    <w:rsid w:val="009302B8"/>
    <w:rsid w:val="0093180C"/>
    <w:rsid w:val="00933D9C"/>
    <w:rsid w:val="009357E4"/>
    <w:rsid w:val="0094208C"/>
    <w:rsid w:val="0094722E"/>
    <w:rsid w:val="0094745F"/>
    <w:rsid w:val="009503F9"/>
    <w:rsid w:val="00957C63"/>
    <w:rsid w:val="00962004"/>
    <w:rsid w:val="009633BD"/>
    <w:rsid w:val="00963E2E"/>
    <w:rsid w:val="00964F70"/>
    <w:rsid w:val="00971280"/>
    <w:rsid w:val="009946C7"/>
    <w:rsid w:val="00995E0C"/>
    <w:rsid w:val="009A521D"/>
    <w:rsid w:val="009A7F05"/>
    <w:rsid w:val="009B3CD5"/>
    <w:rsid w:val="009C055A"/>
    <w:rsid w:val="009C621F"/>
    <w:rsid w:val="009D1A96"/>
    <w:rsid w:val="009D22A1"/>
    <w:rsid w:val="009D50A5"/>
    <w:rsid w:val="009D59A4"/>
    <w:rsid w:val="009D66EE"/>
    <w:rsid w:val="009D7C87"/>
    <w:rsid w:val="009E1339"/>
    <w:rsid w:val="009E519A"/>
    <w:rsid w:val="009F4249"/>
    <w:rsid w:val="009F6352"/>
    <w:rsid w:val="009F73ED"/>
    <w:rsid w:val="009F76D2"/>
    <w:rsid w:val="00A02BD3"/>
    <w:rsid w:val="00A032AA"/>
    <w:rsid w:val="00A0744C"/>
    <w:rsid w:val="00A112EE"/>
    <w:rsid w:val="00A17768"/>
    <w:rsid w:val="00A20D90"/>
    <w:rsid w:val="00A2156A"/>
    <w:rsid w:val="00A32D72"/>
    <w:rsid w:val="00A37D59"/>
    <w:rsid w:val="00A4152D"/>
    <w:rsid w:val="00A42363"/>
    <w:rsid w:val="00A52CD3"/>
    <w:rsid w:val="00A55DF2"/>
    <w:rsid w:val="00A647A7"/>
    <w:rsid w:val="00A70910"/>
    <w:rsid w:val="00A70B5D"/>
    <w:rsid w:val="00A73530"/>
    <w:rsid w:val="00A74F78"/>
    <w:rsid w:val="00A75046"/>
    <w:rsid w:val="00A838F6"/>
    <w:rsid w:val="00A871A2"/>
    <w:rsid w:val="00A957F7"/>
    <w:rsid w:val="00A96139"/>
    <w:rsid w:val="00A96EE0"/>
    <w:rsid w:val="00AA05BB"/>
    <w:rsid w:val="00AA2CAE"/>
    <w:rsid w:val="00AA50E9"/>
    <w:rsid w:val="00AB0BE3"/>
    <w:rsid w:val="00AB4830"/>
    <w:rsid w:val="00AB4E97"/>
    <w:rsid w:val="00AC68B1"/>
    <w:rsid w:val="00AD0292"/>
    <w:rsid w:val="00AD30FC"/>
    <w:rsid w:val="00AD4F6F"/>
    <w:rsid w:val="00AE3B9E"/>
    <w:rsid w:val="00AF04A1"/>
    <w:rsid w:val="00AF34B4"/>
    <w:rsid w:val="00B112CC"/>
    <w:rsid w:val="00B2081C"/>
    <w:rsid w:val="00B21E69"/>
    <w:rsid w:val="00B22ABE"/>
    <w:rsid w:val="00B25559"/>
    <w:rsid w:val="00B25A1E"/>
    <w:rsid w:val="00B26BCA"/>
    <w:rsid w:val="00B31633"/>
    <w:rsid w:val="00B3584A"/>
    <w:rsid w:val="00B43F06"/>
    <w:rsid w:val="00B46566"/>
    <w:rsid w:val="00B466B8"/>
    <w:rsid w:val="00B62F9F"/>
    <w:rsid w:val="00B67FFC"/>
    <w:rsid w:val="00B71165"/>
    <w:rsid w:val="00B7311F"/>
    <w:rsid w:val="00B73ADA"/>
    <w:rsid w:val="00B755A5"/>
    <w:rsid w:val="00B75E65"/>
    <w:rsid w:val="00B76D3B"/>
    <w:rsid w:val="00B802F8"/>
    <w:rsid w:val="00B82DAB"/>
    <w:rsid w:val="00B84D68"/>
    <w:rsid w:val="00BA2E78"/>
    <w:rsid w:val="00BB7230"/>
    <w:rsid w:val="00BC29B0"/>
    <w:rsid w:val="00BC3299"/>
    <w:rsid w:val="00BC7EE7"/>
    <w:rsid w:val="00BD23C6"/>
    <w:rsid w:val="00BE1D93"/>
    <w:rsid w:val="00BF0E6C"/>
    <w:rsid w:val="00BF5A40"/>
    <w:rsid w:val="00C11AE1"/>
    <w:rsid w:val="00C13C80"/>
    <w:rsid w:val="00C256BC"/>
    <w:rsid w:val="00C342F3"/>
    <w:rsid w:val="00C35165"/>
    <w:rsid w:val="00C46095"/>
    <w:rsid w:val="00C47AB4"/>
    <w:rsid w:val="00C5328D"/>
    <w:rsid w:val="00C578E7"/>
    <w:rsid w:val="00C6282C"/>
    <w:rsid w:val="00C64CBE"/>
    <w:rsid w:val="00C671BA"/>
    <w:rsid w:val="00C72317"/>
    <w:rsid w:val="00C73C61"/>
    <w:rsid w:val="00C90136"/>
    <w:rsid w:val="00C97A3F"/>
    <w:rsid w:val="00CA11CA"/>
    <w:rsid w:val="00CA3821"/>
    <w:rsid w:val="00CB13EC"/>
    <w:rsid w:val="00CB7C27"/>
    <w:rsid w:val="00CC2A42"/>
    <w:rsid w:val="00CC432B"/>
    <w:rsid w:val="00CD1C2B"/>
    <w:rsid w:val="00CD282C"/>
    <w:rsid w:val="00CD3360"/>
    <w:rsid w:val="00CD6773"/>
    <w:rsid w:val="00CD67B5"/>
    <w:rsid w:val="00CE0648"/>
    <w:rsid w:val="00CE074F"/>
    <w:rsid w:val="00CE24C4"/>
    <w:rsid w:val="00CE472A"/>
    <w:rsid w:val="00CF1146"/>
    <w:rsid w:val="00CF1458"/>
    <w:rsid w:val="00D044AA"/>
    <w:rsid w:val="00D058F7"/>
    <w:rsid w:val="00D06B7A"/>
    <w:rsid w:val="00D07F42"/>
    <w:rsid w:val="00D113EA"/>
    <w:rsid w:val="00D11BEC"/>
    <w:rsid w:val="00D123C3"/>
    <w:rsid w:val="00D13B53"/>
    <w:rsid w:val="00D1518A"/>
    <w:rsid w:val="00D177CB"/>
    <w:rsid w:val="00D22770"/>
    <w:rsid w:val="00D4269B"/>
    <w:rsid w:val="00D449B6"/>
    <w:rsid w:val="00D52049"/>
    <w:rsid w:val="00D564B5"/>
    <w:rsid w:val="00D62602"/>
    <w:rsid w:val="00D64225"/>
    <w:rsid w:val="00D77FDE"/>
    <w:rsid w:val="00D81C82"/>
    <w:rsid w:val="00D81CAD"/>
    <w:rsid w:val="00D82138"/>
    <w:rsid w:val="00D82FA6"/>
    <w:rsid w:val="00D86A37"/>
    <w:rsid w:val="00D87A40"/>
    <w:rsid w:val="00D921D4"/>
    <w:rsid w:val="00D925F0"/>
    <w:rsid w:val="00D92DC0"/>
    <w:rsid w:val="00D95713"/>
    <w:rsid w:val="00DA1E98"/>
    <w:rsid w:val="00DA209E"/>
    <w:rsid w:val="00DA6AB2"/>
    <w:rsid w:val="00DB1DAC"/>
    <w:rsid w:val="00DB33A6"/>
    <w:rsid w:val="00DB6067"/>
    <w:rsid w:val="00DD1D18"/>
    <w:rsid w:val="00DD5190"/>
    <w:rsid w:val="00DE40EC"/>
    <w:rsid w:val="00DE76AA"/>
    <w:rsid w:val="00DF7D94"/>
    <w:rsid w:val="00E01380"/>
    <w:rsid w:val="00E0162E"/>
    <w:rsid w:val="00E03866"/>
    <w:rsid w:val="00E046B1"/>
    <w:rsid w:val="00E21620"/>
    <w:rsid w:val="00E21A26"/>
    <w:rsid w:val="00E24827"/>
    <w:rsid w:val="00E31755"/>
    <w:rsid w:val="00E31FFB"/>
    <w:rsid w:val="00E32A01"/>
    <w:rsid w:val="00E4359F"/>
    <w:rsid w:val="00E4625F"/>
    <w:rsid w:val="00E47802"/>
    <w:rsid w:val="00E52268"/>
    <w:rsid w:val="00E57B00"/>
    <w:rsid w:val="00E624EB"/>
    <w:rsid w:val="00E638AB"/>
    <w:rsid w:val="00E75F08"/>
    <w:rsid w:val="00E84E0A"/>
    <w:rsid w:val="00E867EF"/>
    <w:rsid w:val="00E92F7A"/>
    <w:rsid w:val="00EA139A"/>
    <w:rsid w:val="00EA4246"/>
    <w:rsid w:val="00EB2AF2"/>
    <w:rsid w:val="00EC08E4"/>
    <w:rsid w:val="00EC19FD"/>
    <w:rsid w:val="00ED633B"/>
    <w:rsid w:val="00EE51FD"/>
    <w:rsid w:val="00EE5D63"/>
    <w:rsid w:val="00F06D7D"/>
    <w:rsid w:val="00F13D0D"/>
    <w:rsid w:val="00F16A4F"/>
    <w:rsid w:val="00F24CE9"/>
    <w:rsid w:val="00F330E2"/>
    <w:rsid w:val="00F342A0"/>
    <w:rsid w:val="00F46F42"/>
    <w:rsid w:val="00F506BF"/>
    <w:rsid w:val="00F5446D"/>
    <w:rsid w:val="00F5776A"/>
    <w:rsid w:val="00F624BA"/>
    <w:rsid w:val="00F6608D"/>
    <w:rsid w:val="00F72CFE"/>
    <w:rsid w:val="00F75A94"/>
    <w:rsid w:val="00F76EA2"/>
    <w:rsid w:val="00F77B80"/>
    <w:rsid w:val="00F82161"/>
    <w:rsid w:val="00F83D65"/>
    <w:rsid w:val="00FA23D5"/>
    <w:rsid w:val="00FB17B3"/>
    <w:rsid w:val="00FB5535"/>
    <w:rsid w:val="00FB5539"/>
    <w:rsid w:val="00FD14D6"/>
    <w:rsid w:val="00FD17F7"/>
    <w:rsid w:val="00FE40AD"/>
    <w:rsid w:val="00FF44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7843A2"/>
  <w14:defaultImageDpi w14:val="330"/>
  <w15:docId w15:val="{ABA77CB6-A993-4300-8E22-7C38598D2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46D"/>
    <w:pPr>
      <w:spacing w:after="120"/>
    </w:pPr>
    <w:rPr>
      <w:rFonts w:ascii="Calibri" w:hAnsi="Calibri"/>
      <w:sz w:val="24"/>
      <w:lang w:val="pt-BR" w:eastAsia="pt-BR"/>
    </w:rPr>
  </w:style>
  <w:style w:type="paragraph" w:styleId="Ttulo1">
    <w:name w:val="heading 1"/>
    <w:basedOn w:val="Normal"/>
    <w:next w:val="Normal"/>
    <w:qFormat/>
    <w:pPr>
      <w:keepNext/>
      <w:jc w:val="center"/>
      <w:outlineLvl w:val="0"/>
    </w:pPr>
    <w:rPr>
      <w:i/>
    </w:rPr>
  </w:style>
  <w:style w:type="paragraph" w:styleId="Ttulo2">
    <w:name w:val="heading 2"/>
    <w:basedOn w:val="Normal"/>
    <w:next w:val="Normal"/>
    <w:qFormat/>
    <w:pPr>
      <w:keepNext/>
      <w:outlineLvl w:val="1"/>
    </w:pPr>
    <w:rPr>
      <w:b/>
      <w:i/>
      <w:sz w:val="28"/>
    </w:rPr>
  </w:style>
  <w:style w:type="paragraph" w:styleId="Ttulo3">
    <w:name w:val="heading 3"/>
    <w:basedOn w:val="Normal"/>
    <w:next w:val="Normal"/>
    <w:qFormat/>
    <w:pPr>
      <w:keepNext/>
      <w:jc w:val="center"/>
      <w:outlineLvl w:val="2"/>
    </w:pPr>
    <w:rPr>
      <w:b/>
      <w:i/>
      <w:sz w:val="26"/>
    </w:rPr>
  </w:style>
  <w:style w:type="paragraph" w:styleId="Ttulo4">
    <w:name w:val="heading 4"/>
    <w:basedOn w:val="Normal"/>
    <w:next w:val="Normal"/>
    <w:qFormat/>
    <w:pPr>
      <w:keepNext/>
      <w:outlineLvl w:val="3"/>
    </w:pPr>
    <w:rPr>
      <w:b/>
      <w:i/>
      <w:sz w:val="28"/>
      <w:u w:val="single"/>
    </w:rPr>
  </w:style>
  <w:style w:type="paragraph" w:styleId="Ttulo5">
    <w:name w:val="heading 5"/>
    <w:basedOn w:val="Normal"/>
    <w:next w:val="Normal"/>
    <w:qFormat/>
    <w:pPr>
      <w:keepNext/>
      <w:outlineLvl w:val="4"/>
    </w:pPr>
    <w:rPr>
      <w:i/>
      <w:sz w:val="16"/>
      <w:u w:val="single"/>
    </w:rPr>
  </w:style>
  <w:style w:type="paragraph" w:styleId="Ttulo6">
    <w:name w:val="heading 6"/>
    <w:basedOn w:val="Normal"/>
    <w:next w:val="Normal"/>
    <w:qFormat/>
    <w:pPr>
      <w:keepNext/>
      <w:outlineLvl w:val="5"/>
    </w:pPr>
    <w:rPr>
      <w:i/>
      <w:sz w:val="28"/>
      <w:u w:val="single"/>
    </w:rPr>
  </w:style>
  <w:style w:type="paragraph" w:styleId="Ttulo7">
    <w:name w:val="heading 7"/>
    <w:basedOn w:val="Normal"/>
    <w:next w:val="Normal"/>
    <w:qFormat/>
    <w:pPr>
      <w:keepNext/>
      <w:jc w:val="center"/>
      <w:outlineLvl w:val="6"/>
    </w:pPr>
    <w:rPr>
      <w:rFonts w:ascii="Arial" w:hAnsi="Arial"/>
    </w:rPr>
  </w:style>
  <w:style w:type="paragraph" w:styleId="Ttulo8">
    <w:name w:val="heading 8"/>
    <w:basedOn w:val="Normal"/>
    <w:next w:val="Normal"/>
    <w:qFormat/>
    <w:pPr>
      <w:keepNext/>
      <w:jc w:val="both"/>
      <w:outlineLvl w:val="7"/>
    </w:pPr>
    <w:rPr>
      <w:rFonts w:ascii="Arial" w:hAnsi="Arial"/>
      <w:b/>
      <w:sz w:val="28"/>
    </w:rPr>
  </w:style>
  <w:style w:type="paragraph" w:styleId="Ttulo9">
    <w:name w:val="heading 9"/>
    <w:basedOn w:val="Normal"/>
    <w:next w:val="Normal"/>
    <w:qFormat/>
    <w:pPr>
      <w:keepNext/>
      <w:jc w:val="right"/>
      <w:outlineLvl w:val="8"/>
    </w:pPr>
    <w:rPr>
      <w:rFonts w:ascii="Arial" w:hAnsi="Arial"/>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semiHidden/>
    <w:pPr>
      <w:ind w:firstLine="1418"/>
      <w:jc w:val="both"/>
    </w:pPr>
    <w:rPr>
      <w:i/>
      <w:sz w:val="28"/>
    </w:rPr>
  </w:style>
  <w:style w:type="paragraph" w:styleId="Cabealho">
    <w:name w:val="header"/>
    <w:basedOn w:val="Normal"/>
    <w:link w:val="CabealhoChar"/>
    <w:uiPriority w:val="99"/>
    <w:pPr>
      <w:tabs>
        <w:tab w:val="center" w:pos="4419"/>
        <w:tab w:val="right" w:pos="8838"/>
      </w:tabs>
    </w:pPr>
  </w:style>
  <w:style w:type="paragraph" w:styleId="Rodap">
    <w:name w:val="footer"/>
    <w:basedOn w:val="Normal"/>
    <w:link w:val="RodapChar"/>
    <w:pPr>
      <w:tabs>
        <w:tab w:val="center" w:pos="4419"/>
        <w:tab w:val="right" w:pos="8838"/>
      </w:tabs>
    </w:pPr>
  </w:style>
  <w:style w:type="paragraph" w:styleId="Recuodecorpodetexto2">
    <w:name w:val="Body Text Indent 2"/>
    <w:basedOn w:val="Normal"/>
    <w:link w:val="Recuodecorpodetexto2Char"/>
    <w:semiHidden/>
    <w:pPr>
      <w:ind w:firstLine="1701"/>
      <w:jc w:val="both"/>
    </w:pPr>
    <w:rPr>
      <w:sz w:val="28"/>
    </w:rPr>
  </w:style>
  <w:style w:type="paragraph" w:styleId="Recuodecorpodetexto3">
    <w:name w:val="Body Text Indent 3"/>
    <w:basedOn w:val="Normal"/>
    <w:semiHidden/>
    <w:pPr>
      <w:ind w:firstLine="1418"/>
      <w:jc w:val="both"/>
    </w:pPr>
    <w:rPr>
      <w:sz w:val="28"/>
    </w:rPr>
  </w:style>
  <w:style w:type="paragraph" w:styleId="Corpodetexto">
    <w:name w:val="Body Text"/>
    <w:basedOn w:val="Normal"/>
    <w:link w:val="CorpodetextoChar"/>
    <w:semiHidden/>
    <w:pPr>
      <w:tabs>
        <w:tab w:val="left" w:pos="1418"/>
      </w:tabs>
      <w:jc w:val="both"/>
    </w:pPr>
    <w:rPr>
      <w:rFonts w:ascii="Arial" w:hAnsi="Arial"/>
      <w:sz w:val="28"/>
    </w:rPr>
  </w:style>
  <w:style w:type="paragraph" w:styleId="Corpodetexto2">
    <w:name w:val="Body Text 2"/>
    <w:basedOn w:val="Normal"/>
    <w:semiHidden/>
    <w:pPr>
      <w:tabs>
        <w:tab w:val="left" w:pos="1418"/>
      </w:tabs>
      <w:ind w:right="-1"/>
      <w:jc w:val="both"/>
    </w:pPr>
    <w:rPr>
      <w:rFonts w:ascii="Arial" w:hAnsi="Arial"/>
      <w:sz w:val="26"/>
    </w:rPr>
  </w:style>
  <w:style w:type="character" w:styleId="Nmerodepgina">
    <w:name w:val="page number"/>
    <w:basedOn w:val="Fontepargpadro"/>
    <w:semiHidden/>
  </w:style>
  <w:style w:type="paragraph" w:styleId="Corpodetexto3">
    <w:name w:val="Body Text 3"/>
    <w:basedOn w:val="Normal"/>
    <w:semiHidden/>
    <w:pPr>
      <w:tabs>
        <w:tab w:val="left" w:pos="1701"/>
      </w:tabs>
      <w:jc w:val="both"/>
    </w:pPr>
    <w:rPr>
      <w:rFonts w:ascii="Arial" w:hAnsi="Arial" w:cs="Arial"/>
    </w:rPr>
  </w:style>
  <w:style w:type="paragraph" w:styleId="NormalWeb">
    <w:name w:val="Normal (Web)"/>
    <w:basedOn w:val="Normal"/>
    <w:uiPriority w:val="99"/>
    <w:semiHidden/>
    <w:unhideWhenUsed/>
    <w:rsid w:val="000D16B8"/>
    <w:pPr>
      <w:spacing w:before="100" w:beforeAutospacing="1" w:after="100" w:afterAutospacing="1"/>
    </w:pPr>
    <w:rPr>
      <w:rFonts w:eastAsia="Calibri"/>
      <w:szCs w:val="24"/>
    </w:rPr>
  </w:style>
  <w:style w:type="table" w:styleId="Tabelacomgrade">
    <w:name w:val="Table Grid"/>
    <w:basedOn w:val="Tabelanormal"/>
    <w:uiPriority w:val="59"/>
    <w:rsid w:val="00AE3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rsid w:val="00386377"/>
  </w:style>
  <w:style w:type="character" w:customStyle="1" w:styleId="RodapChar">
    <w:name w:val="Rodapé Char"/>
    <w:basedOn w:val="Fontepargpadro"/>
    <w:link w:val="Rodap"/>
    <w:rsid w:val="00865AC0"/>
  </w:style>
  <w:style w:type="character" w:customStyle="1" w:styleId="apple-converted-space">
    <w:name w:val="apple-converted-space"/>
    <w:basedOn w:val="Fontepargpadro"/>
    <w:rsid w:val="00F82161"/>
  </w:style>
  <w:style w:type="character" w:customStyle="1" w:styleId="highlight">
    <w:name w:val="highlight"/>
    <w:basedOn w:val="Fontepargpadro"/>
    <w:rsid w:val="00F82161"/>
  </w:style>
  <w:style w:type="paragraph" w:styleId="Textodebalo">
    <w:name w:val="Balloon Text"/>
    <w:basedOn w:val="Normal"/>
    <w:link w:val="TextodebaloChar"/>
    <w:uiPriority w:val="99"/>
    <w:semiHidden/>
    <w:unhideWhenUsed/>
    <w:rsid w:val="005A34BB"/>
    <w:rPr>
      <w:rFonts w:ascii="Tahoma" w:hAnsi="Tahoma" w:cs="Tahoma"/>
      <w:sz w:val="16"/>
      <w:szCs w:val="16"/>
    </w:rPr>
  </w:style>
  <w:style w:type="character" w:customStyle="1" w:styleId="TextodebaloChar">
    <w:name w:val="Texto de balão Char"/>
    <w:basedOn w:val="Fontepargpadro"/>
    <w:link w:val="Textodebalo"/>
    <w:uiPriority w:val="99"/>
    <w:semiHidden/>
    <w:rsid w:val="005A34BB"/>
    <w:rPr>
      <w:rFonts w:ascii="Tahoma" w:hAnsi="Tahoma" w:cs="Tahoma"/>
      <w:sz w:val="16"/>
      <w:szCs w:val="16"/>
    </w:rPr>
  </w:style>
  <w:style w:type="character" w:styleId="Refdecomentrio">
    <w:name w:val="annotation reference"/>
    <w:basedOn w:val="Fontepargpadro"/>
    <w:uiPriority w:val="99"/>
    <w:semiHidden/>
    <w:unhideWhenUsed/>
    <w:rsid w:val="005A34BB"/>
    <w:rPr>
      <w:sz w:val="16"/>
      <w:szCs w:val="16"/>
    </w:rPr>
  </w:style>
  <w:style w:type="paragraph" w:styleId="Textodecomentrio">
    <w:name w:val="annotation text"/>
    <w:basedOn w:val="Normal"/>
    <w:link w:val="TextodecomentrioChar"/>
    <w:uiPriority w:val="99"/>
    <w:semiHidden/>
    <w:unhideWhenUsed/>
    <w:rsid w:val="005A34BB"/>
  </w:style>
  <w:style w:type="character" w:customStyle="1" w:styleId="TextodecomentrioChar">
    <w:name w:val="Texto de comentário Char"/>
    <w:basedOn w:val="Fontepargpadro"/>
    <w:link w:val="Textodecomentrio"/>
    <w:uiPriority w:val="99"/>
    <w:semiHidden/>
    <w:rsid w:val="005A34BB"/>
  </w:style>
  <w:style w:type="paragraph" w:styleId="Assuntodocomentrio">
    <w:name w:val="annotation subject"/>
    <w:basedOn w:val="Textodecomentrio"/>
    <w:next w:val="Textodecomentrio"/>
    <w:link w:val="AssuntodocomentrioChar"/>
    <w:uiPriority w:val="99"/>
    <w:semiHidden/>
    <w:unhideWhenUsed/>
    <w:rsid w:val="005A34BB"/>
    <w:rPr>
      <w:b/>
      <w:bCs/>
    </w:rPr>
  </w:style>
  <w:style w:type="character" w:customStyle="1" w:styleId="AssuntodocomentrioChar">
    <w:name w:val="Assunto do comentário Char"/>
    <w:basedOn w:val="TextodecomentrioChar"/>
    <w:link w:val="Assuntodocomentrio"/>
    <w:uiPriority w:val="99"/>
    <w:semiHidden/>
    <w:rsid w:val="005A34BB"/>
    <w:rPr>
      <w:b/>
      <w:bCs/>
    </w:rPr>
  </w:style>
  <w:style w:type="character" w:customStyle="1" w:styleId="Recuodecorpodetexto2Char">
    <w:name w:val="Recuo de corpo de texto 2 Char"/>
    <w:basedOn w:val="Fontepargpadro"/>
    <w:link w:val="Recuodecorpodetexto2"/>
    <w:semiHidden/>
    <w:rsid w:val="00964F70"/>
    <w:rPr>
      <w:sz w:val="28"/>
    </w:rPr>
  </w:style>
  <w:style w:type="character" w:styleId="Forte">
    <w:name w:val="Strong"/>
    <w:basedOn w:val="Fontepargpadro"/>
    <w:uiPriority w:val="22"/>
    <w:qFormat/>
    <w:rsid w:val="007A65F0"/>
    <w:rPr>
      <w:b/>
      <w:bCs/>
    </w:rPr>
  </w:style>
  <w:style w:type="character" w:styleId="Hyperlink">
    <w:name w:val="Hyperlink"/>
    <w:basedOn w:val="Fontepargpadro"/>
    <w:uiPriority w:val="99"/>
    <w:unhideWhenUsed/>
    <w:rsid w:val="007A65F0"/>
    <w:rPr>
      <w:color w:val="0000FF"/>
      <w:u w:val="single"/>
    </w:rPr>
  </w:style>
  <w:style w:type="paragraph" w:customStyle="1" w:styleId="Default">
    <w:name w:val="Default"/>
    <w:rsid w:val="001A0221"/>
    <w:pPr>
      <w:autoSpaceDE w:val="0"/>
      <w:autoSpaceDN w:val="0"/>
      <w:adjustRightInd w:val="0"/>
    </w:pPr>
    <w:rPr>
      <w:rFonts w:ascii="Arial" w:hAnsi="Arial" w:cs="Arial"/>
      <w:color w:val="000000"/>
      <w:sz w:val="24"/>
      <w:szCs w:val="24"/>
      <w:lang w:val="pt-BR"/>
    </w:rPr>
  </w:style>
  <w:style w:type="character" w:styleId="MenoPendente">
    <w:name w:val="Unresolved Mention"/>
    <w:basedOn w:val="Fontepargpadro"/>
    <w:uiPriority w:val="99"/>
    <w:semiHidden/>
    <w:unhideWhenUsed/>
    <w:rsid w:val="003A6E65"/>
    <w:rPr>
      <w:color w:val="605E5C"/>
      <w:shd w:val="clear" w:color="auto" w:fill="E1DFDD"/>
    </w:rPr>
  </w:style>
  <w:style w:type="character" w:customStyle="1" w:styleId="CorpodetextoChar">
    <w:name w:val="Corpo de texto Char"/>
    <w:basedOn w:val="Fontepargpadro"/>
    <w:link w:val="Corpodetexto"/>
    <w:semiHidden/>
    <w:rsid w:val="000E03D1"/>
    <w:rPr>
      <w:rFonts w:ascii="Arial" w:hAnsi="Arial"/>
      <w:sz w:val="28"/>
      <w:lang w:val="pt-BR" w:eastAsia="pt-BR"/>
    </w:rPr>
  </w:style>
  <w:style w:type="paragraph" w:styleId="Textodenotaderodap">
    <w:name w:val="footnote text"/>
    <w:basedOn w:val="Normal"/>
    <w:link w:val="TextodenotaderodapChar"/>
    <w:uiPriority w:val="99"/>
    <w:semiHidden/>
    <w:unhideWhenUsed/>
    <w:rsid w:val="000E03D1"/>
    <w:pPr>
      <w:spacing w:after="0"/>
    </w:pPr>
    <w:rPr>
      <w:rFonts w:ascii="Times New Roman" w:hAnsi="Times New Roman"/>
      <w:sz w:val="20"/>
    </w:rPr>
  </w:style>
  <w:style w:type="character" w:customStyle="1" w:styleId="TextodenotaderodapChar">
    <w:name w:val="Texto de nota de rodapé Char"/>
    <w:basedOn w:val="Fontepargpadro"/>
    <w:link w:val="Textodenotaderodap"/>
    <w:uiPriority w:val="99"/>
    <w:semiHidden/>
    <w:rsid w:val="000E03D1"/>
    <w:rPr>
      <w:lang w:val="pt-BR" w:eastAsia="pt-BR"/>
    </w:rPr>
  </w:style>
  <w:style w:type="character" w:styleId="Refdenotaderodap">
    <w:name w:val="footnote reference"/>
    <w:basedOn w:val="Fontepargpadro"/>
    <w:uiPriority w:val="99"/>
    <w:semiHidden/>
    <w:unhideWhenUsed/>
    <w:rsid w:val="000E03D1"/>
    <w:rPr>
      <w:vertAlign w:val="superscript"/>
    </w:rPr>
  </w:style>
  <w:style w:type="character" w:styleId="Nmerodelinha">
    <w:name w:val="line number"/>
    <w:basedOn w:val="Fontepargpadro"/>
    <w:uiPriority w:val="99"/>
    <w:semiHidden/>
    <w:unhideWhenUsed/>
    <w:rsid w:val="00857A2D"/>
  </w:style>
  <w:style w:type="paragraph" w:customStyle="1" w:styleId="IASBNormalnpara">
    <w:name w:val="IASB Normal npara"/>
    <w:basedOn w:val="Normal"/>
    <w:rsid w:val="00F5446D"/>
    <w:pPr>
      <w:spacing w:before="100" w:after="0"/>
      <w:ind w:left="782" w:hanging="782"/>
      <w:jc w:val="both"/>
    </w:pPr>
    <w:rPr>
      <w:rFonts w:ascii="Times New Roman" w:hAnsi="Times New Roman"/>
      <w:sz w:val="19"/>
    </w:rPr>
  </w:style>
  <w:style w:type="paragraph" w:customStyle="1" w:styleId="IASBSectionTitle1NonInd">
    <w:name w:val="IASB Section Title 1 NonInd"/>
    <w:basedOn w:val="Normal"/>
    <w:rsid w:val="00F5446D"/>
    <w:pPr>
      <w:keepNext/>
      <w:keepLines/>
      <w:pBdr>
        <w:bottom w:val="single" w:sz="4" w:space="0" w:color="auto"/>
      </w:pBdr>
      <w:spacing w:before="400" w:after="200"/>
    </w:pPr>
    <w:rPr>
      <w:rFonts w:ascii="Arial" w:hAnsi="Arial" w:cs="Arial"/>
      <w:b/>
      <w:sz w:val="26"/>
    </w:rPr>
  </w:style>
  <w:style w:type="paragraph" w:customStyle="1" w:styleId="IASBTableBoldArial">
    <w:name w:val="IASB Table Bold Arial"/>
    <w:basedOn w:val="Normal"/>
    <w:qFormat/>
    <w:rsid w:val="00F5446D"/>
    <w:pPr>
      <w:spacing w:before="120" w:after="0"/>
    </w:pPr>
    <w:rPr>
      <w:rFonts w:ascii="Arial" w:hAnsi="Arial"/>
      <w:b/>
      <w:sz w:val="18"/>
    </w:rPr>
  </w:style>
  <w:style w:type="paragraph" w:styleId="PargrafodaLista">
    <w:name w:val="List Paragraph"/>
    <w:basedOn w:val="Normal"/>
    <w:uiPriority w:val="72"/>
    <w:rsid w:val="00224C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285096">
      <w:bodyDiv w:val="1"/>
      <w:marLeft w:val="0"/>
      <w:marRight w:val="0"/>
      <w:marTop w:val="0"/>
      <w:marBottom w:val="0"/>
      <w:divBdr>
        <w:top w:val="none" w:sz="0" w:space="0" w:color="auto"/>
        <w:left w:val="none" w:sz="0" w:space="0" w:color="auto"/>
        <w:bottom w:val="none" w:sz="0" w:space="0" w:color="auto"/>
        <w:right w:val="none" w:sz="0" w:space="0" w:color="auto"/>
      </w:divBdr>
    </w:div>
    <w:div w:id="1736388247">
      <w:bodyDiv w:val="1"/>
      <w:marLeft w:val="0"/>
      <w:marRight w:val="0"/>
      <w:marTop w:val="0"/>
      <w:marBottom w:val="0"/>
      <w:divBdr>
        <w:top w:val="none" w:sz="0" w:space="0" w:color="auto"/>
        <w:left w:val="none" w:sz="0" w:space="0" w:color="auto"/>
        <w:bottom w:val="none" w:sz="0" w:space="0" w:color="auto"/>
        <w:right w:val="none" w:sz="0" w:space="0" w:color="auto"/>
      </w:divBdr>
    </w:div>
    <w:div w:id="1965310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20219-54AC-4934-A6FC-7C1203ED7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108</Pages>
  <Words>42596</Words>
  <Characters>230019</Characters>
  <Application>Microsoft Office Word</Application>
  <DocSecurity>0</DocSecurity>
  <Lines>1916</Lines>
  <Paragraphs>544</Paragraphs>
  <ScaleCrop>false</ScaleCrop>
  <HeadingPairs>
    <vt:vector size="2" baseType="variant">
      <vt:variant>
        <vt:lpstr>Título</vt:lpstr>
      </vt:variant>
      <vt:variant>
        <vt:i4>1</vt:i4>
      </vt:variant>
    </vt:vector>
  </HeadingPairs>
  <TitlesOfParts>
    <vt:vector size="1" baseType="lpstr">
      <vt:lpstr>PROC</vt:lpstr>
    </vt:vector>
  </TitlesOfParts>
  <Company>CFC</Company>
  <LinksUpToDate>false</LinksUpToDate>
  <CharactersWithSpaces>272071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dc:title>
  <dc:subject/>
  <dc:creator>Thiago Luis Gomes</dc:creator>
  <cp:keywords/>
  <cp:lastModifiedBy>Cintia Pimentel Pereira</cp:lastModifiedBy>
  <cp:revision>9</cp:revision>
  <cp:lastPrinted>2026-08-17T19:04:00Z</cp:lastPrinted>
  <dcterms:created xsi:type="dcterms:W3CDTF">2026-09-30T16:54:00Z</dcterms:created>
  <dcterms:modified xsi:type="dcterms:W3CDTF">2026-10-02T13:43:00Z</dcterms:modified>
</cp:coreProperties>
</file>