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0093" w14:textId="77777777" w:rsidR="0061359B" w:rsidRPr="007775ED" w:rsidRDefault="0061359B" w:rsidP="007775ED">
      <w:pPr>
        <w:jc w:val="center"/>
        <w:rPr>
          <w:b/>
          <w:sz w:val="28"/>
          <w:szCs w:val="28"/>
        </w:rPr>
      </w:pPr>
      <w:r w:rsidRPr="007775ED">
        <w:rPr>
          <w:b/>
          <w:sz w:val="28"/>
          <w:szCs w:val="28"/>
        </w:rPr>
        <w:t>COMITÊ DE PRONUNCIAMENTOS CONTÁBEIS</w:t>
      </w:r>
    </w:p>
    <w:p w14:paraId="53EEF9AB" w14:textId="695F8368" w:rsidR="0061359B" w:rsidRPr="007775ED" w:rsidRDefault="0061359B" w:rsidP="007775ED">
      <w:pPr>
        <w:spacing w:after="240"/>
        <w:jc w:val="center"/>
        <w:rPr>
          <w:b/>
          <w:sz w:val="28"/>
          <w:szCs w:val="28"/>
        </w:rPr>
      </w:pPr>
      <w:r w:rsidRPr="007775ED">
        <w:rPr>
          <w:b/>
          <w:sz w:val="28"/>
          <w:szCs w:val="28"/>
        </w:rPr>
        <w:t xml:space="preserve">PRONUNCIAMENTO TÉCNICO CPC </w:t>
      </w:r>
      <w:r w:rsidR="007F488F" w:rsidRPr="007775ED">
        <w:rPr>
          <w:b/>
          <w:sz w:val="28"/>
          <w:szCs w:val="28"/>
        </w:rPr>
        <w:t>5</w:t>
      </w:r>
      <w:r w:rsidR="00E840BF" w:rsidRPr="007775ED">
        <w:rPr>
          <w:b/>
          <w:sz w:val="28"/>
          <w:szCs w:val="28"/>
        </w:rPr>
        <w:t>2</w:t>
      </w:r>
      <w:r w:rsidR="007F488F" w:rsidRPr="007775ED">
        <w:rPr>
          <w:b/>
          <w:sz w:val="28"/>
          <w:szCs w:val="28"/>
        </w:rPr>
        <w:t xml:space="preserve"> </w:t>
      </w:r>
    </w:p>
    <w:p w14:paraId="4176CA62" w14:textId="3D5B7E40" w:rsidR="009D6A26" w:rsidRPr="007775ED" w:rsidRDefault="00814E74" w:rsidP="007775ED">
      <w:pPr>
        <w:spacing w:after="240"/>
        <w:jc w:val="center"/>
        <w:rPr>
          <w:b/>
          <w:sz w:val="28"/>
          <w:szCs w:val="28"/>
        </w:rPr>
      </w:pPr>
      <w:bookmarkStart w:id="0" w:name="_Hlk190352406"/>
      <w:r w:rsidRPr="007775ED">
        <w:rPr>
          <w:b/>
          <w:sz w:val="28"/>
          <w:szCs w:val="28"/>
        </w:rPr>
        <w:t xml:space="preserve">DIVULGAÇÕES PARA </w:t>
      </w:r>
      <w:r w:rsidR="00C20535" w:rsidRPr="007775ED">
        <w:rPr>
          <w:b/>
          <w:sz w:val="28"/>
          <w:szCs w:val="28"/>
        </w:rPr>
        <w:t xml:space="preserve">CONTROLADAS </w:t>
      </w:r>
      <w:r w:rsidR="00E840BF" w:rsidRPr="007775ED">
        <w:rPr>
          <w:b/>
          <w:sz w:val="28"/>
          <w:szCs w:val="28"/>
        </w:rPr>
        <w:t xml:space="preserve">SEM OBRIGAÇÕES </w:t>
      </w:r>
      <w:r w:rsidR="00977C3A" w:rsidRPr="007775ED">
        <w:rPr>
          <w:b/>
          <w:sz w:val="28"/>
          <w:szCs w:val="28"/>
        </w:rPr>
        <w:t xml:space="preserve">DE PRESTAÇÃO </w:t>
      </w:r>
      <w:r w:rsidR="00471896" w:rsidRPr="007775ED">
        <w:rPr>
          <w:b/>
          <w:sz w:val="28"/>
          <w:szCs w:val="28"/>
        </w:rPr>
        <w:t xml:space="preserve">PÚBLICA </w:t>
      </w:r>
      <w:r w:rsidR="00977C3A" w:rsidRPr="007775ED">
        <w:rPr>
          <w:b/>
          <w:sz w:val="28"/>
          <w:szCs w:val="28"/>
        </w:rPr>
        <w:t>DE CONTAS</w:t>
      </w:r>
      <w:bookmarkEnd w:id="0"/>
    </w:p>
    <w:p w14:paraId="499DE4C8" w14:textId="2A06B9B1" w:rsidR="0061359B" w:rsidRPr="007775ED" w:rsidRDefault="0061359B" w:rsidP="007775ED">
      <w:pPr>
        <w:spacing w:after="240"/>
        <w:jc w:val="center"/>
        <w:rPr>
          <w:b/>
          <w:bCs/>
          <w:sz w:val="28"/>
          <w:szCs w:val="28"/>
        </w:rPr>
      </w:pPr>
      <w:r w:rsidRPr="007775ED">
        <w:rPr>
          <w:b/>
          <w:bCs/>
          <w:sz w:val="28"/>
          <w:szCs w:val="28"/>
        </w:rPr>
        <w:t>Correlação às Normas Internacionais de Contabilidade – IFRS 1</w:t>
      </w:r>
      <w:r w:rsidR="00E840BF" w:rsidRPr="007775ED">
        <w:rPr>
          <w:b/>
          <w:bCs/>
          <w:sz w:val="28"/>
          <w:szCs w:val="28"/>
        </w:rPr>
        <w:t>9</w:t>
      </w:r>
    </w:p>
    <w:tbl>
      <w:tblPr>
        <w:tblW w:w="0" w:type="auto"/>
        <w:tblLook w:val="04A0" w:firstRow="1" w:lastRow="0" w:firstColumn="1" w:lastColumn="0" w:noHBand="0" w:noVBand="1"/>
      </w:tblPr>
      <w:tblGrid>
        <w:gridCol w:w="4931"/>
        <w:gridCol w:w="4096"/>
      </w:tblGrid>
      <w:tr w:rsidR="003D2E47" w:rsidRPr="004824F3" w14:paraId="2C161801" w14:textId="77777777" w:rsidTr="00325FE5">
        <w:tc>
          <w:tcPr>
            <w:tcW w:w="5353" w:type="dxa"/>
          </w:tcPr>
          <w:p w14:paraId="123451D8" w14:textId="77777777" w:rsidR="003D2E47" w:rsidRPr="007775ED" w:rsidRDefault="003D2E47" w:rsidP="007775ED">
            <w:pPr>
              <w:autoSpaceDE w:val="0"/>
              <w:autoSpaceDN w:val="0"/>
              <w:adjustRightInd w:val="0"/>
              <w:jc w:val="both"/>
              <w:rPr>
                <w:rFonts w:ascii="Arial" w:hAnsi="Arial" w:cs="Arial"/>
                <w:b/>
                <w:bCs/>
                <w:i/>
                <w:iCs/>
                <w:color w:val="000000"/>
                <w:sz w:val="14"/>
                <w:szCs w:val="14"/>
              </w:rPr>
            </w:pPr>
            <w:bookmarkStart w:id="1" w:name="_Hlk170391062"/>
            <w:r w:rsidRPr="007775ED">
              <w:rPr>
                <w:rFonts w:ascii="Arial" w:hAnsi="Arial" w:cs="Arial"/>
                <w:b/>
                <w:bCs/>
                <w:i/>
                <w:iCs/>
                <w:color w:val="000000"/>
                <w:sz w:val="14"/>
                <w:szCs w:val="14"/>
              </w:rPr>
              <w:t>* Termos de uso</w:t>
            </w:r>
          </w:p>
          <w:p w14:paraId="7C3474AD" w14:textId="77777777" w:rsidR="003D2E47" w:rsidRPr="007775ED" w:rsidRDefault="003D2E47" w:rsidP="007775ED">
            <w:pPr>
              <w:autoSpaceDE w:val="0"/>
              <w:autoSpaceDN w:val="0"/>
              <w:adjustRightInd w:val="0"/>
              <w:jc w:val="both"/>
              <w:rPr>
                <w:rFonts w:ascii="Arial" w:hAnsi="Arial" w:cs="Arial"/>
                <w:color w:val="000000"/>
                <w:sz w:val="14"/>
                <w:szCs w:val="14"/>
              </w:rPr>
            </w:pPr>
            <w:r w:rsidRPr="007775ED">
              <w:rPr>
                <w:rFonts w:ascii="Arial" w:hAnsi="Arial" w:cs="Arial"/>
                <w:i/>
                <w:iCs/>
                <w:color w:val="000000"/>
                <w:sz w:val="14"/>
                <w:szCs w:val="14"/>
              </w:rPr>
              <w:t xml:space="preserve">Os pronunciamentos, interpretações e orientações do CPC, inclusive o CPC-PME, contém material que está sujeito a direitos autorais da IFRS® Foundation (Fundação IFRS). Todos esses direitos são reservados. </w:t>
            </w:r>
          </w:p>
          <w:p w14:paraId="036D0D4F" w14:textId="77777777" w:rsidR="003D2E47" w:rsidRPr="007775ED" w:rsidRDefault="003D2E47" w:rsidP="007775ED">
            <w:pPr>
              <w:autoSpaceDE w:val="0"/>
              <w:autoSpaceDN w:val="0"/>
              <w:adjustRightInd w:val="0"/>
              <w:jc w:val="both"/>
              <w:rPr>
                <w:rFonts w:ascii="Arial" w:hAnsi="Arial" w:cs="Arial"/>
                <w:color w:val="000000"/>
                <w:sz w:val="14"/>
                <w:szCs w:val="14"/>
              </w:rPr>
            </w:pPr>
            <w:r w:rsidRPr="007775ED">
              <w:rPr>
                <w:rFonts w:ascii="Arial" w:hAnsi="Arial" w:cs="Arial"/>
                <w:i/>
                <w:iCs/>
                <w:color w:val="000000"/>
                <w:sz w:val="14"/>
                <w:szCs w:val="14"/>
              </w:rPr>
              <w:t>Este material é reproduzido e distribuído pela Fundação de Apoio aos Comitês de Pronunciamentos Contábeis e de Sustentabilidade (FACPCS) somente para a República Federativa do Brasil com a autorização da Fundação IFRS. Os direitos de outras partes com relação à utilização deste material estão definidos nos Termos de Uso (</w:t>
            </w:r>
            <w:hyperlink r:id="rId8" w:history="1">
              <w:r w:rsidRPr="007775ED">
                <w:rPr>
                  <w:rFonts w:ascii="Arial" w:hAnsi="Arial" w:cs="Arial"/>
                  <w:i/>
                  <w:iCs/>
                  <w:color w:val="467886"/>
                  <w:sz w:val="14"/>
                  <w:szCs w:val="14"/>
                  <w:u w:val="single"/>
                </w:rPr>
                <w:t>link</w:t>
              </w:r>
            </w:hyperlink>
            <w:r w:rsidRPr="007775ED">
              <w:rPr>
                <w:rFonts w:ascii="Arial" w:hAnsi="Arial" w:cs="Arial"/>
                <w:i/>
                <w:iCs/>
                <w:color w:val="000000"/>
                <w:sz w:val="14"/>
                <w:szCs w:val="14"/>
              </w:rPr>
              <w:t xml:space="preserve">) e qualquer utilização não prevista nos Termos de Uso deverá ser previamente autorizada por escrito pela FACPCS e Fundação IFRS. </w:t>
            </w:r>
          </w:p>
          <w:p w14:paraId="09A437F0" w14:textId="1983F657" w:rsidR="003D2E47" w:rsidRPr="007775ED" w:rsidRDefault="003D2E47" w:rsidP="007775ED">
            <w:pPr>
              <w:autoSpaceDE w:val="0"/>
              <w:autoSpaceDN w:val="0"/>
              <w:adjustRightInd w:val="0"/>
              <w:jc w:val="both"/>
              <w:rPr>
                <w:rFonts w:ascii="Arial" w:hAnsi="Arial" w:cs="Arial"/>
                <w:color w:val="000000"/>
                <w:sz w:val="14"/>
                <w:szCs w:val="14"/>
              </w:rPr>
            </w:pPr>
            <w:r w:rsidRPr="007775ED">
              <w:rPr>
                <w:rFonts w:ascii="Arial" w:hAnsi="Arial" w:cs="Arial"/>
                <w:i/>
                <w:iCs/>
                <w:color w:val="000000"/>
                <w:sz w:val="14"/>
                <w:szCs w:val="14"/>
              </w:rPr>
              <w:t xml:space="preserve">Os pronunciamentos, interpretações e orientações do CPC, inclusive o CPC-PME, são emitidos pelo Comitê de Pronunciamentos Contábeis e de Sustentabilidade, organismo técnico apoiado pela FACPCS, para sua aplicação na República Federativa do Brasil e não foram preparados ou endossados pelo </w:t>
            </w:r>
            <w:proofErr w:type="spellStart"/>
            <w:r w:rsidRPr="007775ED">
              <w:rPr>
                <w:rFonts w:ascii="Arial" w:hAnsi="Arial" w:cs="Arial"/>
                <w:i/>
                <w:iCs/>
                <w:color w:val="000000"/>
                <w:sz w:val="14"/>
                <w:szCs w:val="14"/>
              </w:rPr>
              <w:t>International</w:t>
            </w:r>
            <w:proofErr w:type="spellEnd"/>
            <w:r w:rsidRPr="007775ED">
              <w:rPr>
                <w:rFonts w:ascii="Arial" w:hAnsi="Arial" w:cs="Arial"/>
                <w:i/>
                <w:iCs/>
                <w:color w:val="000000"/>
                <w:sz w:val="14"/>
                <w:szCs w:val="14"/>
              </w:rPr>
              <w:t xml:space="preserve"> </w:t>
            </w:r>
            <w:proofErr w:type="spellStart"/>
            <w:r w:rsidRPr="007775ED">
              <w:rPr>
                <w:rFonts w:ascii="Arial" w:hAnsi="Arial" w:cs="Arial"/>
                <w:i/>
                <w:iCs/>
                <w:color w:val="000000"/>
                <w:sz w:val="14"/>
                <w:szCs w:val="14"/>
              </w:rPr>
              <w:t>Accounting</w:t>
            </w:r>
            <w:proofErr w:type="spellEnd"/>
            <w:r w:rsidRPr="007775ED">
              <w:rPr>
                <w:rFonts w:ascii="Arial" w:hAnsi="Arial" w:cs="Arial"/>
                <w:i/>
                <w:iCs/>
                <w:color w:val="000000"/>
                <w:sz w:val="14"/>
                <w:szCs w:val="14"/>
              </w:rPr>
              <w:t xml:space="preserve"> Standards Board (IASB). </w:t>
            </w:r>
          </w:p>
          <w:p w14:paraId="7C02BA6A" w14:textId="77777777" w:rsidR="003D2E47" w:rsidRPr="007775ED" w:rsidRDefault="003D2E47" w:rsidP="007775ED">
            <w:pPr>
              <w:autoSpaceDE w:val="0"/>
              <w:autoSpaceDN w:val="0"/>
              <w:adjustRightInd w:val="0"/>
              <w:jc w:val="both"/>
              <w:rPr>
                <w:rFonts w:ascii="Arial" w:hAnsi="Arial" w:cs="Arial"/>
                <w:b/>
                <w:bCs/>
                <w:i/>
                <w:iCs/>
                <w:color w:val="000000"/>
                <w:sz w:val="14"/>
                <w:szCs w:val="14"/>
              </w:rPr>
            </w:pPr>
            <w:r w:rsidRPr="007775ED">
              <w:rPr>
                <w:rFonts w:ascii="Arial" w:hAnsi="Arial" w:cs="Arial"/>
                <w:i/>
                <w:iCs/>
                <w:color w:val="000000"/>
                <w:sz w:val="14"/>
                <w:szCs w:val="14"/>
              </w:rPr>
              <w:t>Os pronunciamentos, interpretações e orientações do CPC, inclusive o CPC-PME, não devem ser distribuídos para fora da República Federativa do Brasil.</w:t>
            </w:r>
          </w:p>
        </w:tc>
        <w:tc>
          <w:tcPr>
            <w:tcW w:w="4426" w:type="dxa"/>
          </w:tcPr>
          <w:p w14:paraId="0FB6789C" w14:textId="77777777" w:rsidR="003D2E47" w:rsidRPr="007775ED" w:rsidRDefault="003D2E47" w:rsidP="007775ED">
            <w:pPr>
              <w:autoSpaceDE w:val="0"/>
              <w:autoSpaceDN w:val="0"/>
              <w:adjustRightInd w:val="0"/>
              <w:jc w:val="both"/>
              <w:rPr>
                <w:rFonts w:ascii="Arial" w:hAnsi="Arial" w:cs="Arial"/>
                <w:color w:val="000000"/>
                <w:sz w:val="14"/>
                <w:szCs w:val="14"/>
                <w:lang w:val="en-GB"/>
              </w:rPr>
            </w:pPr>
            <w:r w:rsidRPr="007775ED">
              <w:rPr>
                <w:rFonts w:ascii="Arial" w:hAnsi="Arial" w:cs="Arial"/>
                <w:b/>
                <w:bCs/>
                <w:i/>
                <w:iCs/>
                <w:color w:val="000000"/>
                <w:sz w:val="14"/>
                <w:szCs w:val="14"/>
                <w:lang w:val="en-GB"/>
              </w:rPr>
              <w:t xml:space="preserve">* Notice </w:t>
            </w:r>
          </w:p>
          <w:p w14:paraId="663DB523" w14:textId="77777777" w:rsidR="003D2E47" w:rsidRPr="007775ED" w:rsidRDefault="003D2E47" w:rsidP="007775ED">
            <w:pPr>
              <w:autoSpaceDE w:val="0"/>
              <w:autoSpaceDN w:val="0"/>
              <w:adjustRightInd w:val="0"/>
              <w:jc w:val="both"/>
              <w:rPr>
                <w:rFonts w:ascii="Arial" w:hAnsi="Arial" w:cs="Arial"/>
                <w:color w:val="000000"/>
                <w:sz w:val="14"/>
                <w:szCs w:val="14"/>
                <w:lang w:val="en-GB"/>
              </w:rPr>
            </w:pPr>
            <w:r w:rsidRPr="007775ED">
              <w:rPr>
                <w:rFonts w:ascii="Arial" w:hAnsi="Arial" w:cs="Arial"/>
                <w:i/>
                <w:iCs/>
                <w:color w:val="000000"/>
                <w:sz w:val="14"/>
                <w:szCs w:val="14"/>
                <w:lang w:val="en-GB"/>
              </w:rPr>
              <w:t xml:space="preserve">CPC/CPC PME contain copyright material of the IFRS® Foundation (Foundation) in respect of which all rights are reserved. </w:t>
            </w:r>
          </w:p>
          <w:p w14:paraId="685AEFF5" w14:textId="77777777" w:rsidR="003D2E47" w:rsidRPr="007775ED" w:rsidRDefault="003D2E47" w:rsidP="007775ED">
            <w:pPr>
              <w:autoSpaceDE w:val="0"/>
              <w:autoSpaceDN w:val="0"/>
              <w:adjustRightInd w:val="0"/>
              <w:jc w:val="both"/>
              <w:rPr>
                <w:rFonts w:ascii="Arial" w:hAnsi="Arial" w:cs="Arial"/>
                <w:color w:val="000000"/>
                <w:sz w:val="14"/>
                <w:szCs w:val="14"/>
                <w:lang w:val="en-GB"/>
              </w:rPr>
            </w:pPr>
            <w:r w:rsidRPr="007775ED">
              <w:rPr>
                <w:rFonts w:ascii="Arial" w:hAnsi="Arial" w:cs="Arial"/>
                <w:i/>
                <w:iCs/>
                <w:color w:val="000000"/>
                <w:sz w:val="14"/>
                <w:szCs w:val="14"/>
                <w:lang w:val="en-GB"/>
              </w:rPr>
              <w:t xml:space="preserve">Reproduced and distributed by the Accounting and Sustainability Pronouncements Committee Support Foundation with the permission of the Foundation within the Federal Republic of Brazil only. No rights granted to third parties other than as permitted by the Terms of Use </w:t>
            </w:r>
            <w:r w:rsidRPr="007775ED">
              <w:rPr>
                <w:rFonts w:ascii="Arial" w:hAnsi="Arial" w:cs="Arial"/>
                <w:i/>
                <w:iCs/>
                <w:sz w:val="14"/>
                <w:szCs w:val="14"/>
                <w:lang w:val="en-GB"/>
              </w:rPr>
              <w:t>[</w:t>
            </w:r>
            <w:hyperlink r:id="rId9" w:history="1">
              <w:r w:rsidRPr="007775ED">
                <w:rPr>
                  <w:rFonts w:ascii="Arial" w:hAnsi="Arial" w:cs="Arial"/>
                  <w:i/>
                  <w:iCs/>
                  <w:color w:val="467886"/>
                  <w:sz w:val="14"/>
                  <w:szCs w:val="14"/>
                  <w:u w:val="single"/>
                  <w:lang w:val="en-GB"/>
                </w:rPr>
                <w:t>link</w:t>
              </w:r>
            </w:hyperlink>
            <w:r w:rsidRPr="007775ED">
              <w:rPr>
                <w:rFonts w:ascii="Arial" w:hAnsi="Arial" w:cs="Arial"/>
                <w:i/>
                <w:iCs/>
                <w:sz w:val="14"/>
                <w:szCs w:val="14"/>
                <w:lang w:val="en-GB"/>
              </w:rPr>
              <w:t>]</w:t>
            </w:r>
            <w:r w:rsidRPr="007775ED">
              <w:rPr>
                <w:rFonts w:ascii="Arial" w:hAnsi="Arial" w:cs="Arial"/>
                <w:i/>
                <w:iCs/>
                <w:color w:val="FF0000"/>
                <w:sz w:val="14"/>
                <w:szCs w:val="14"/>
                <w:lang w:val="en-GB"/>
              </w:rPr>
              <w:t xml:space="preserve"> </w:t>
            </w:r>
            <w:r w:rsidRPr="007775ED">
              <w:rPr>
                <w:rFonts w:ascii="Arial" w:hAnsi="Arial" w:cs="Arial"/>
                <w:i/>
                <w:iCs/>
                <w:color w:val="000000"/>
                <w:sz w:val="14"/>
                <w:szCs w:val="14"/>
                <w:lang w:val="en-GB"/>
              </w:rPr>
              <w:t xml:space="preserve">without the prior written permission of Accounting and Sustainability Pronouncements Committee Support Foundation and the Foundation. </w:t>
            </w:r>
          </w:p>
          <w:p w14:paraId="03B46798" w14:textId="745D1A9C" w:rsidR="003D2E47" w:rsidRPr="007775ED" w:rsidRDefault="003D2E47" w:rsidP="007775ED">
            <w:pPr>
              <w:autoSpaceDE w:val="0"/>
              <w:autoSpaceDN w:val="0"/>
              <w:adjustRightInd w:val="0"/>
              <w:jc w:val="both"/>
              <w:rPr>
                <w:rFonts w:ascii="Arial" w:hAnsi="Arial" w:cs="Arial"/>
                <w:color w:val="000000"/>
                <w:sz w:val="14"/>
                <w:szCs w:val="14"/>
                <w:lang w:val="en-GB"/>
              </w:rPr>
            </w:pPr>
            <w:r w:rsidRPr="007775ED">
              <w:rPr>
                <w:rFonts w:ascii="Arial" w:hAnsi="Arial" w:cs="Arial"/>
                <w:i/>
                <w:iCs/>
                <w:color w:val="000000"/>
                <w:sz w:val="14"/>
                <w:szCs w:val="14"/>
                <w:lang w:val="en-GB"/>
              </w:rPr>
              <w:t>CPC/CPC PME are issued by Accounting and Sustainability Pronouncements Committee Support Foundation in respect of their application in Federal Republic of Bra</w:t>
            </w:r>
            <w:r w:rsidR="00471F6F" w:rsidRPr="007775ED">
              <w:rPr>
                <w:rFonts w:ascii="Arial" w:hAnsi="Arial" w:cs="Arial"/>
                <w:i/>
                <w:iCs/>
                <w:color w:val="000000"/>
                <w:sz w:val="14"/>
                <w:szCs w:val="14"/>
                <w:lang w:val="en-GB"/>
              </w:rPr>
              <w:t>z</w:t>
            </w:r>
            <w:r w:rsidRPr="007775ED">
              <w:rPr>
                <w:rFonts w:ascii="Arial" w:hAnsi="Arial" w:cs="Arial"/>
                <w:i/>
                <w:iCs/>
                <w:color w:val="000000"/>
                <w:sz w:val="14"/>
                <w:szCs w:val="14"/>
                <w:lang w:val="en-GB"/>
              </w:rPr>
              <w:t xml:space="preserve">il and have not been prepared or endorsed by the International Accounting Standards Board. </w:t>
            </w:r>
          </w:p>
          <w:p w14:paraId="3AF6E0AD" w14:textId="77777777" w:rsidR="003D2E47" w:rsidRPr="007775ED" w:rsidRDefault="003D2E47" w:rsidP="007775ED">
            <w:pPr>
              <w:autoSpaceDE w:val="0"/>
              <w:autoSpaceDN w:val="0"/>
              <w:adjustRightInd w:val="0"/>
              <w:jc w:val="both"/>
              <w:rPr>
                <w:rFonts w:ascii="Arial" w:hAnsi="Arial" w:cs="Arial"/>
                <w:b/>
                <w:bCs/>
                <w:i/>
                <w:iCs/>
                <w:color w:val="000000"/>
                <w:sz w:val="14"/>
                <w:szCs w:val="14"/>
                <w:lang w:val="en-GB"/>
              </w:rPr>
            </w:pPr>
            <w:r w:rsidRPr="007775ED">
              <w:rPr>
                <w:rFonts w:ascii="Arial" w:hAnsi="Arial" w:cs="Arial"/>
                <w:i/>
                <w:iCs/>
                <w:color w:val="000000"/>
                <w:sz w:val="14"/>
                <w:szCs w:val="14"/>
                <w:lang w:val="en-GB"/>
              </w:rPr>
              <w:t>CPC/CPC PME are not to be distributed outside of Federal Republic of Brazil.</w:t>
            </w:r>
          </w:p>
        </w:tc>
      </w:tr>
      <w:bookmarkEnd w:id="1"/>
    </w:tbl>
    <w:p w14:paraId="495E9DCE" w14:textId="77777777" w:rsidR="0061359B" w:rsidRPr="007775ED" w:rsidRDefault="0061359B" w:rsidP="007775ED">
      <w:pPr>
        <w:pStyle w:val="IASBNormalnpara"/>
        <w:spacing w:before="0"/>
        <w:ind w:left="0" w:firstLine="0"/>
        <w:rPr>
          <w:sz w:val="24"/>
          <w:szCs w:val="24"/>
          <w:lang w:val="en-GB"/>
        </w:rPr>
      </w:pPr>
    </w:p>
    <w:tbl>
      <w:tblPr>
        <w:tblW w:w="94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1505"/>
      </w:tblGrid>
      <w:tr w:rsidR="007632A4" w:rsidRPr="007775ED" w14:paraId="0B5E57A3" w14:textId="77777777" w:rsidTr="00E840BF">
        <w:trPr>
          <w:trHeight w:val="280"/>
        </w:trPr>
        <w:tc>
          <w:tcPr>
            <w:tcW w:w="7938" w:type="dxa"/>
            <w:vAlign w:val="center"/>
          </w:tcPr>
          <w:p w14:paraId="66782C1F" w14:textId="77777777" w:rsidR="007632A4" w:rsidRPr="007775ED" w:rsidRDefault="007632A4" w:rsidP="007775ED">
            <w:pPr>
              <w:pStyle w:val="IASBTableBoldArial"/>
              <w:spacing w:before="0"/>
              <w:rPr>
                <w:rFonts w:ascii="Times New Roman" w:hAnsi="Times New Roman"/>
                <w:sz w:val="24"/>
                <w:szCs w:val="24"/>
              </w:rPr>
            </w:pPr>
            <w:r w:rsidRPr="007775ED">
              <w:rPr>
                <w:rFonts w:ascii="Times New Roman" w:hAnsi="Times New Roman"/>
                <w:b w:val="0"/>
                <w:bCs/>
                <w:sz w:val="24"/>
                <w:szCs w:val="24"/>
              </w:rPr>
              <w:t>Sumário</w:t>
            </w:r>
          </w:p>
        </w:tc>
        <w:tc>
          <w:tcPr>
            <w:tcW w:w="1505" w:type="dxa"/>
            <w:vAlign w:val="center"/>
          </w:tcPr>
          <w:p w14:paraId="2B41837F" w14:textId="77777777" w:rsidR="007632A4" w:rsidRPr="007775ED" w:rsidRDefault="007632A4" w:rsidP="007775ED">
            <w:pPr>
              <w:pStyle w:val="IASBTableBoldArial"/>
              <w:spacing w:before="0"/>
              <w:jc w:val="center"/>
              <w:rPr>
                <w:rFonts w:ascii="Times New Roman" w:hAnsi="Times New Roman"/>
                <w:b w:val="0"/>
                <w:bCs/>
                <w:sz w:val="24"/>
                <w:szCs w:val="24"/>
              </w:rPr>
            </w:pPr>
            <w:r w:rsidRPr="007775ED">
              <w:rPr>
                <w:rFonts w:ascii="Times New Roman" w:hAnsi="Times New Roman"/>
                <w:b w:val="0"/>
                <w:bCs/>
                <w:sz w:val="24"/>
                <w:szCs w:val="24"/>
              </w:rPr>
              <w:t>Item</w:t>
            </w:r>
          </w:p>
        </w:tc>
      </w:tr>
      <w:tr w:rsidR="00E840BF" w:rsidRPr="007775ED" w14:paraId="0FEF7E41" w14:textId="77777777" w:rsidTr="00E840BF">
        <w:trPr>
          <w:trHeight w:val="280"/>
        </w:trPr>
        <w:tc>
          <w:tcPr>
            <w:tcW w:w="7938" w:type="dxa"/>
            <w:vAlign w:val="center"/>
          </w:tcPr>
          <w:p w14:paraId="3D54BA0B" w14:textId="543E8D45"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OBJETIVO</w:t>
            </w:r>
          </w:p>
        </w:tc>
        <w:tc>
          <w:tcPr>
            <w:tcW w:w="1505" w:type="dxa"/>
            <w:vAlign w:val="center"/>
          </w:tcPr>
          <w:p w14:paraId="767209D1" w14:textId="7EBE7691"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w:t>
            </w:r>
          </w:p>
        </w:tc>
      </w:tr>
      <w:tr w:rsidR="00E840BF" w:rsidRPr="007775ED" w14:paraId="176E5DF8" w14:textId="77777777" w:rsidTr="00E840BF">
        <w:trPr>
          <w:trHeight w:val="280"/>
        </w:trPr>
        <w:tc>
          <w:tcPr>
            <w:tcW w:w="7938" w:type="dxa"/>
            <w:vAlign w:val="center"/>
          </w:tcPr>
          <w:p w14:paraId="71CB49AB" w14:textId="6BD78518"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Atingindo o objetivo</w:t>
            </w:r>
          </w:p>
        </w:tc>
        <w:tc>
          <w:tcPr>
            <w:tcW w:w="1505" w:type="dxa"/>
            <w:vAlign w:val="center"/>
          </w:tcPr>
          <w:p w14:paraId="1ED61EF5" w14:textId="4619E3A1"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w:t>
            </w:r>
          </w:p>
        </w:tc>
      </w:tr>
      <w:tr w:rsidR="00E840BF" w:rsidRPr="007775ED" w14:paraId="653E4A80" w14:textId="77777777" w:rsidTr="00E840BF">
        <w:trPr>
          <w:trHeight w:val="280"/>
        </w:trPr>
        <w:tc>
          <w:tcPr>
            <w:tcW w:w="7938" w:type="dxa"/>
            <w:vAlign w:val="center"/>
          </w:tcPr>
          <w:p w14:paraId="0017B915" w14:textId="6A3E5F58"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ALCANCE</w:t>
            </w:r>
          </w:p>
        </w:tc>
        <w:tc>
          <w:tcPr>
            <w:tcW w:w="1505" w:type="dxa"/>
            <w:vAlign w:val="center"/>
          </w:tcPr>
          <w:p w14:paraId="292400C5" w14:textId="75DC9439"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7</w:t>
            </w:r>
          </w:p>
        </w:tc>
      </w:tr>
      <w:tr w:rsidR="00E840BF" w:rsidRPr="007775ED" w14:paraId="5B8A3829" w14:textId="77777777" w:rsidTr="00E840BF">
        <w:trPr>
          <w:trHeight w:val="280"/>
        </w:trPr>
        <w:tc>
          <w:tcPr>
            <w:tcW w:w="7938" w:type="dxa"/>
            <w:vAlign w:val="center"/>
          </w:tcPr>
          <w:p w14:paraId="21BCFC2D" w14:textId="26B362E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ESCOLHA OU REVOGAÇÃO DA APLICAÇÃO D</w:t>
            </w:r>
            <w:r w:rsidR="00953DE8" w:rsidRPr="007775ED">
              <w:rPr>
                <w:rFonts w:ascii="Times New Roman" w:hAnsi="Times New Roman"/>
                <w:sz w:val="24"/>
                <w:szCs w:val="24"/>
              </w:rPr>
              <w:t>ESTE PRONUNCIAMENTO TÉCNICO</w:t>
            </w:r>
          </w:p>
        </w:tc>
        <w:tc>
          <w:tcPr>
            <w:tcW w:w="1505" w:type="dxa"/>
            <w:vAlign w:val="center"/>
          </w:tcPr>
          <w:p w14:paraId="6A22FE7F" w14:textId="729FE1A6"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13</w:t>
            </w:r>
          </w:p>
        </w:tc>
      </w:tr>
      <w:tr w:rsidR="00E840BF" w:rsidRPr="007775ED" w14:paraId="028CFF49" w14:textId="77777777" w:rsidTr="00E840BF">
        <w:trPr>
          <w:trHeight w:val="280"/>
        </w:trPr>
        <w:tc>
          <w:tcPr>
            <w:tcW w:w="7938" w:type="dxa"/>
            <w:vAlign w:val="center"/>
          </w:tcPr>
          <w:p w14:paraId="6099578E" w14:textId="3D18AD04"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INTERAÇÃO COM O CPC 37 – ADOÇÃO INICIAL DAS NORMAS INTERNACIONAIS DE CONTABILIDADE</w:t>
            </w:r>
          </w:p>
        </w:tc>
        <w:tc>
          <w:tcPr>
            <w:tcW w:w="1505" w:type="dxa"/>
            <w:vAlign w:val="center"/>
          </w:tcPr>
          <w:p w14:paraId="75C0DA8B" w14:textId="7DE4401D"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17</w:t>
            </w:r>
          </w:p>
        </w:tc>
      </w:tr>
      <w:tr w:rsidR="00E840BF" w:rsidRPr="007775ED" w14:paraId="3330481A" w14:textId="77777777" w:rsidTr="00E840BF">
        <w:trPr>
          <w:trHeight w:val="237"/>
        </w:trPr>
        <w:tc>
          <w:tcPr>
            <w:tcW w:w="7938" w:type="dxa"/>
            <w:vAlign w:val="center"/>
          </w:tcPr>
          <w:p w14:paraId="762A3F80" w14:textId="387C84A8"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REQUISITOS DE DIVULGAÇÃO</w:t>
            </w:r>
          </w:p>
        </w:tc>
        <w:tc>
          <w:tcPr>
            <w:tcW w:w="1505" w:type="dxa"/>
            <w:vAlign w:val="center"/>
          </w:tcPr>
          <w:p w14:paraId="4DD3033E" w14:textId="1BF9FF12"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20</w:t>
            </w:r>
          </w:p>
        </w:tc>
      </w:tr>
      <w:tr w:rsidR="00E840BF" w:rsidRPr="007775ED" w14:paraId="7ED34EE2" w14:textId="77777777" w:rsidTr="00E840BF">
        <w:trPr>
          <w:trHeight w:val="280"/>
        </w:trPr>
        <w:tc>
          <w:tcPr>
            <w:tcW w:w="7938" w:type="dxa"/>
            <w:vAlign w:val="center"/>
          </w:tcPr>
          <w:p w14:paraId="5E4ADA78" w14:textId="22FDFB9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Cumprimento d</w:t>
            </w:r>
            <w:r w:rsidR="005706F5" w:rsidRPr="007775ED">
              <w:rPr>
                <w:rFonts w:ascii="Times New Roman" w:hAnsi="Times New Roman"/>
                <w:sz w:val="24"/>
                <w:szCs w:val="24"/>
              </w:rPr>
              <w:t>os Pronunciamentos Técnicos do CPC</w:t>
            </w:r>
          </w:p>
        </w:tc>
        <w:tc>
          <w:tcPr>
            <w:tcW w:w="1505" w:type="dxa"/>
            <w:vAlign w:val="center"/>
          </w:tcPr>
          <w:p w14:paraId="78AC234E" w14:textId="021952D8"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20</w:t>
            </w:r>
          </w:p>
        </w:tc>
      </w:tr>
      <w:tr w:rsidR="00E840BF" w:rsidRPr="007775ED" w14:paraId="4321DD79" w14:textId="77777777" w:rsidTr="00E840BF">
        <w:trPr>
          <w:trHeight w:val="280"/>
        </w:trPr>
        <w:tc>
          <w:tcPr>
            <w:tcW w:w="7938" w:type="dxa"/>
            <w:vAlign w:val="center"/>
          </w:tcPr>
          <w:p w14:paraId="41A84FBA" w14:textId="76B245B2"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37 – Adoção Inicial das Normas Internacionais de Contabilidade</w:t>
            </w:r>
          </w:p>
        </w:tc>
        <w:tc>
          <w:tcPr>
            <w:tcW w:w="1505" w:type="dxa"/>
            <w:vAlign w:val="center"/>
          </w:tcPr>
          <w:p w14:paraId="71076104" w14:textId="31E8F46C"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21</w:t>
            </w:r>
          </w:p>
        </w:tc>
      </w:tr>
      <w:tr w:rsidR="00E840BF" w:rsidRPr="007775ED" w14:paraId="6AAF031D" w14:textId="77777777" w:rsidTr="00E840BF">
        <w:trPr>
          <w:trHeight w:val="280"/>
        </w:trPr>
        <w:tc>
          <w:tcPr>
            <w:tcW w:w="7938" w:type="dxa"/>
            <w:vAlign w:val="center"/>
          </w:tcPr>
          <w:p w14:paraId="053A5117" w14:textId="3028B64D"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10 – Pagamento Baseado em Ações</w:t>
            </w:r>
          </w:p>
        </w:tc>
        <w:tc>
          <w:tcPr>
            <w:tcW w:w="1505" w:type="dxa"/>
            <w:vAlign w:val="center"/>
          </w:tcPr>
          <w:p w14:paraId="29458293" w14:textId="7CE938F7"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31</w:t>
            </w:r>
          </w:p>
        </w:tc>
      </w:tr>
      <w:tr w:rsidR="00E840BF" w:rsidRPr="007775ED" w14:paraId="6EFE5285" w14:textId="77777777" w:rsidTr="00E840BF">
        <w:trPr>
          <w:trHeight w:val="280"/>
        </w:trPr>
        <w:tc>
          <w:tcPr>
            <w:tcW w:w="7938" w:type="dxa"/>
            <w:vAlign w:val="center"/>
          </w:tcPr>
          <w:p w14:paraId="571754D6" w14:textId="24E66C89"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15 – Combinações de Negócios</w:t>
            </w:r>
          </w:p>
        </w:tc>
        <w:tc>
          <w:tcPr>
            <w:tcW w:w="1505" w:type="dxa"/>
            <w:vAlign w:val="center"/>
          </w:tcPr>
          <w:p w14:paraId="351E85C3" w14:textId="734B25AC"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35</w:t>
            </w:r>
          </w:p>
        </w:tc>
      </w:tr>
      <w:tr w:rsidR="00E840BF" w:rsidRPr="007775ED" w14:paraId="1C2E3F70" w14:textId="77777777" w:rsidTr="00E840BF">
        <w:trPr>
          <w:trHeight w:val="280"/>
        </w:trPr>
        <w:tc>
          <w:tcPr>
            <w:tcW w:w="7938" w:type="dxa"/>
            <w:vAlign w:val="center"/>
          </w:tcPr>
          <w:p w14:paraId="2DB09980" w14:textId="24F11C5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31 – Ativo Não Circulante Mantido para Venda e Operação Descontinuada</w:t>
            </w:r>
          </w:p>
        </w:tc>
        <w:tc>
          <w:tcPr>
            <w:tcW w:w="1505" w:type="dxa"/>
            <w:vAlign w:val="center"/>
          </w:tcPr>
          <w:p w14:paraId="6AFD8D9A" w14:textId="50D8FBF6"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38</w:t>
            </w:r>
          </w:p>
        </w:tc>
      </w:tr>
      <w:tr w:rsidR="00E840BF" w:rsidRPr="007775ED" w14:paraId="6BF014B0" w14:textId="77777777" w:rsidTr="00E840BF">
        <w:trPr>
          <w:trHeight w:val="280"/>
        </w:trPr>
        <w:tc>
          <w:tcPr>
            <w:tcW w:w="7938" w:type="dxa"/>
            <w:vAlign w:val="center"/>
          </w:tcPr>
          <w:p w14:paraId="4DF1A032" w14:textId="36DE7EF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40 – Instrumentos Financeiros: Evidenciação</w:t>
            </w:r>
          </w:p>
        </w:tc>
        <w:tc>
          <w:tcPr>
            <w:tcW w:w="1505" w:type="dxa"/>
            <w:vAlign w:val="center"/>
          </w:tcPr>
          <w:p w14:paraId="499B754E" w14:textId="12A60CD5"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42</w:t>
            </w:r>
          </w:p>
        </w:tc>
      </w:tr>
      <w:tr w:rsidR="00E840BF" w:rsidRPr="007775ED" w14:paraId="6F8E452C" w14:textId="77777777" w:rsidTr="00E840BF">
        <w:trPr>
          <w:trHeight w:val="280"/>
        </w:trPr>
        <w:tc>
          <w:tcPr>
            <w:tcW w:w="7938" w:type="dxa"/>
            <w:vAlign w:val="center"/>
          </w:tcPr>
          <w:p w14:paraId="74569E98" w14:textId="074705DF"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45 – Divulgação de Participações em Outras Entidades</w:t>
            </w:r>
          </w:p>
        </w:tc>
        <w:tc>
          <w:tcPr>
            <w:tcW w:w="1505" w:type="dxa"/>
            <w:vAlign w:val="center"/>
          </w:tcPr>
          <w:p w14:paraId="3A0F1465" w14:textId="4AB90238"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74</w:t>
            </w:r>
          </w:p>
        </w:tc>
      </w:tr>
      <w:tr w:rsidR="00E840BF" w:rsidRPr="007775ED" w14:paraId="02F22AD5" w14:textId="77777777" w:rsidTr="00E840BF">
        <w:trPr>
          <w:trHeight w:val="280"/>
        </w:trPr>
        <w:tc>
          <w:tcPr>
            <w:tcW w:w="7938" w:type="dxa"/>
            <w:vAlign w:val="center"/>
          </w:tcPr>
          <w:p w14:paraId="4000AB0F" w14:textId="3696FFC0"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46 – Mensuração do Valor Justo</w:t>
            </w:r>
          </w:p>
        </w:tc>
        <w:tc>
          <w:tcPr>
            <w:tcW w:w="1505" w:type="dxa"/>
            <w:vAlign w:val="center"/>
          </w:tcPr>
          <w:p w14:paraId="74AF44E0" w14:textId="59DE47AF"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95</w:t>
            </w:r>
          </w:p>
        </w:tc>
      </w:tr>
      <w:tr w:rsidR="00E840BF" w:rsidRPr="007775ED" w14:paraId="4548D09F" w14:textId="77777777" w:rsidTr="00E840BF">
        <w:trPr>
          <w:trHeight w:val="280"/>
        </w:trPr>
        <w:tc>
          <w:tcPr>
            <w:tcW w:w="7938" w:type="dxa"/>
            <w:vAlign w:val="center"/>
          </w:tcPr>
          <w:p w14:paraId="2A5C6A80" w14:textId="1244CE5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47 – Receita de Contrato com Cliente</w:t>
            </w:r>
          </w:p>
        </w:tc>
        <w:tc>
          <w:tcPr>
            <w:tcW w:w="1505" w:type="dxa"/>
            <w:vAlign w:val="center"/>
          </w:tcPr>
          <w:p w14:paraId="366E6C98" w14:textId="74ACA210"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103</w:t>
            </w:r>
          </w:p>
        </w:tc>
      </w:tr>
      <w:tr w:rsidR="00E840BF" w:rsidRPr="007775ED" w14:paraId="612E433B" w14:textId="77777777" w:rsidTr="00E840BF">
        <w:trPr>
          <w:trHeight w:val="280"/>
        </w:trPr>
        <w:tc>
          <w:tcPr>
            <w:tcW w:w="7938" w:type="dxa"/>
            <w:vAlign w:val="center"/>
          </w:tcPr>
          <w:p w14:paraId="15782F98" w14:textId="6152657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06 – Arrendamentos</w:t>
            </w:r>
          </w:p>
        </w:tc>
        <w:tc>
          <w:tcPr>
            <w:tcW w:w="1505" w:type="dxa"/>
            <w:vAlign w:val="center"/>
          </w:tcPr>
          <w:p w14:paraId="3EC686CD" w14:textId="269843A5"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115</w:t>
            </w:r>
          </w:p>
        </w:tc>
      </w:tr>
      <w:tr w:rsidR="00E840BF" w:rsidRPr="007775ED" w14:paraId="20E33513" w14:textId="77777777" w:rsidTr="00E840BF">
        <w:trPr>
          <w:trHeight w:val="280"/>
        </w:trPr>
        <w:tc>
          <w:tcPr>
            <w:tcW w:w="7938" w:type="dxa"/>
            <w:vAlign w:val="center"/>
          </w:tcPr>
          <w:p w14:paraId="46D629B1" w14:textId="1E8040A2" w:rsidR="00E840BF" w:rsidRPr="007775ED" w:rsidRDefault="006E6079" w:rsidP="007775ED">
            <w:pPr>
              <w:pStyle w:val="IASBTableBoldArial"/>
              <w:spacing w:before="0"/>
              <w:rPr>
                <w:rFonts w:ascii="Times New Roman" w:hAnsi="Times New Roman"/>
                <w:sz w:val="24"/>
                <w:szCs w:val="24"/>
              </w:rPr>
            </w:pPr>
            <w:r w:rsidRPr="007775ED">
              <w:rPr>
                <w:rFonts w:ascii="Times New Roman" w:hAnsi="Times New Roman"/>
                <w:sz w:val="24"/>
                <w:szCs w:val="24"/>
              </w:rPr>
              <w:t>CPC 51</w:t>
            </w:r>
            <w:r w:rsidR="00E840BF" w:rsidRPr="007775ED">
              <w:rPr>
                <w:rFonts w:ascii="Times New Roman" w:hAnsi="Times New Roman"/>
                <w:sz w:val="24"/>
                <w:szCs w:val="24"/>
              </w:rPr>
              <w:t xml:space="preserve"> – Apresentação e Divulgação </w:t>
            </w:r>
            <w:r w:rsidR="001D7473" w:rsidRPr="007775ED">
              <w:rPr>
                <w:rFonts w:ascii="Times New Roman" w:hAnsi="Times New Roman"/>
                <w:sz w:val="24"/>
                <w:szCs w:val="24"/>
              </w:rPr>
              <w:t>n</w:t>
            </w:r>
            <w:r w:rsidR="00E840BF" w:rsidRPr="007775ED">
              <w:rPr>
                <w:rFonts w:ascii="Times New Roman" w:hAnsi="Times New Roman"/>
                <w:sz w:val="24"/>
                <w:szCs w:val="24"/>
              </w:rPr>
              <w:t>as Demonstrações Contábeis</w:t>
            </w:r>
          </w:p>
        </w:tc>
        <w:tc>
          <w:tcPr>
            <w:tcW w:w="1505" w:type="dxa"/>
            <w:vAlign w:val="center"/>
          </w:tcPr>
          <w:p w14:paraId="210A3D6D" w14:textId="3FBAEB6C"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128</w:t>
            </w:r>
          </w:p>
        </w:tc>
      </w:tr>
      <w:tr w:rsidR="00E840BF" w:rsidRPr="007775ED" w14:paraId="27519615" w14:textId="77777777" w:rsidTr="00E840BF">
        <w:trPr>
          <w:trHeight w:val="280"/>
        </w:trPr>
        <w:tc>
          <w:tcPr>
            <w:tcW w:w="7938" w:type="dxa"/>
            <w:vAlign w:val="center"/>
          </w:tcPr>
          <w:p w14:paraId="4777CF67" w14:textId="10B9903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16 – Estoques</w:t>
            </w:r>
          </w:p>
        </w:tc>
        <w:tc>
          <w:tcPr>
            <w:tcW w:w="1505" w:type="dxa"/>
            <w:vAlign w:val="center"/>
          </w:tcPr>
          <w:p w14:paraId="5A5C706B" w14:textId="238F42EE"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164</w:t>
            </w:r>
          </w:p>
        </w:tc>
      </w:tr>
      <w:tr w:rsidR="00E840BF" w:rsidRPr="007775ED" w14:paraId="5DCF626D" w14:textId="77777777" w:rsidTr="00E840BF">
        <w:trPr>
          <w:trHeight w:val="280"/>
        </w:trPr>
        <w:tc>
          <w:tcPr>
            <w:tcW w:w="7938" w:type="dxa"/>
            <w:vAlign w:val="center"/>
          </w:tcPr>
          <w:p w14:paraId="7FF77BF7" w14:textId="310C86D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03 – Demonstração dos Fluxos de Caixa</w:t>
            </w:r>
          </w:p>
        </w:tc>
        <w:tc>
          <w:tcPr>
            <w:tcW w:w="1505" w:type="dxa"/>
            <w:vAlign w:val="center"/>
          </w:tcPr>
          <w:p w14:paraId="545BB8DA" w14:textId="16B71003"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165</w:t>
            </w:r>
          </w:p>
        </w:tc>
      </w:tr>
      <w:tr w:rsidR="00E840BF" w:rsidRPr="007775ED" w14:paraId="33CAA373" w14:textId="77777777" w:rsidTr="00E840BF">
        <w:trPr>
          <w:trHeight w:val="280"/>
        </w:trPr>
        <w:tc>
          <w:tcPr>
            <w:tcW w:w="7938" w:type="dxa"/>
            <w:vAlign w:val="center"/>
          </w:tcPr>
          <w:p w14:paraId="77FFEAA0" w14:textId="51BB78A1" w:rsidR="00E840BF" w:rsidRPr="007775ED" w:rsidRDefault="00820A39" w:rsidP="007775ED">
            <w:pPr>
              <w:pStyle w:val="IASBTableBoldArial"/>
              <w:spacing w:before="0"/>
              <w:rPr>
                <w:rFonts w:ascii="Times New Roman" w:hAnsi="Times New Roman"/>
                <w:sz w:val="24"/>
                <w:szCs w:val="24"/>
              </w:rPr>
            </w:pPr>
            <w:r w:rsidRPr="007775ED">
              <w:rPr>
                <w:rFonts w:ascii="Times New Roman" w:hAnsi="Times New Roman"/>
                <w:sz w:val="24"/>
                <w:szCs w:val="24"/>
              </w:rPr>
              <w:t>CPC 23 - Base de Preparação das Demonstrações Contábeis</w:t>
            </w:r>
          </w:p>
        </w:tc>
        <w:tc>
          <w:tcPr>
            <w:tcW w:w="1505" w:type="dxa"/>
            <w:vAlign w:val="center"/>
          </w:tcPr>
          <w:p w14:paraId="2FD90612" w14:textId="4E91D06D"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173</w:t>
            </w:r>
          </w:p>
        </w:tc>
      </w:tr>
      <w:tr w:rsidR="00E840BF" w:rsidRPr="007775ED" w14:paraId="7379C985" w14:textId="77777777" w:rsidTr="00E840BF">
        <w:trPr>
          <w:trHeight w:val="280"/>
        </w:trPr>
        <w:tc>
          <w:tcPr>
            <w:tcW w:w="7938" w:type="dxa"/>
            <w:vAlign w:val="center"/>
          </w:tcPr>
          <w:p w14:paraId="7FED547B" w14:textId="4AF5C0DC"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24 – Evento Subsequente</w:t>
            </w:r>
          </w:p>
        </w:tc>
        <w:tc>
          <w:tcPr>
            <w:tcW w:w="1505" w:type="dxa"/>
            <w:vAlign w:val="center"/>
          </w:tcPr>
          <w:p w14:paraId="4ECEED7E" w14:textId="50F49AE7"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188</w:t>
            </w:r>
          </w:p>
        </w:tc>
      </w:tr>
      <w:tr w:rsidR="00E840BF" w:rsidRPr="007775ED" w14:paraId="11579506" w14:textId="77777777" w:rsidTr="00E840BF">
        <w:trPr>
          <w:trHeight w:val="280"/>
        </w:trPr>
        <w:tc>
          <w:tcPr>
            <w:tcW w:w="7938" w:type="dxa"/>
            <w:vAlign w:val="center"/>
          </w:tcPr>
          <w:p w14:paraId="66C06BB9" w14:textId="52E767BC"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32 – Tributos sobre o Lucro</w:t>
            </w:r>
          </w:p>
        </w:tc>
        <w:tc>
          <w:tcPr>
            <w:tcW w:w="1505" w:type="dxa"/>
            <w:vAlign w:val="center"/>
          </w:tcPr>
          <w:p w14:paraId="7EF17D0F" w14:textId="12836CA5"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192</w:t>
            </w:r>
          </w:p>
        </w:tc>
      </w:tr>
      <w:tr w:rsidR="00E840BF" w:rsidRPr="007775ED" w14:paraId="0C7753A2" w14:textId="77777777" w:rsidTr="00E840BF">
        <w:trPr>
          <w:trHeight w:val="280"/>
        </w:trPr>
        <w:tc>
          <w:tcPr>
            <w:tcW w:w="7938" w:type="dxa"/>
            <w:vAlign w:val="center"/>
          </w:tcPr>
          <w:p w14:paraId="67FCC24C" w14:textId="56EBA525"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27 – Ativo Imobilizado</w:t>
            </w:r>
          </w:p>
        </w:tc>
        <w:tc>
          <w:tcPr>
            <w:tcW w:w="1505" w:type="dxa"/>
            <w:vAlign w:val="center"/>
          </w:tcPr>
          <w:p w14:paraId="66B6C383" w14:textId="292B66EB"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200</w:t>
            </w:r>
          </w:p>
        </w:tc>
      </w:tr>
      <w:tr w:rsidR="00E840BF" w:rsidRPr="007775ED" w14:paraId="1A56CAFF" w14:textId="77777777" w:rsidTr="00E840BF">
        <w:trPr>
          <w:trHeight w:val="280"/>
        </w:trPr>
        <w:tc>
          <w:tcPr>
            <w:tcW w:w="7938" w:type="dxa"/>
            <w:vAlign w:val="center"/>
          </w:tcPr>
          <w:p w14:paraId="58D01590" w14:textId="39DF4B14"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33 – Benefícios a Empregados</w:t>
            </w:r>
          </w:p>
        </w:tc>
        <w:tc>
          <w:tcPr>
            <w:tcW w:w="1505" w:type="dxa"/>
            <w:vAlign w:val="center"/>
          </w:tcPr>
          <w:p w14:paraId="41D8197E" w14:textId="10564723"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203</w:t>
            </w:r>
          </w:p>
        </w:tc>
      </w:tr>
      <w:tr w:rsidR="00E840BF" w:rsidRPr="007775ED" w14:paraId="02E57777" w14:textId="77777777" w:rsidTr="00E840BF">
        <w:trPr>
          <w:trHeight w:val="280"/>
        </w:trPr>
        <w:tc>
          <w:tcPr>
            <w:tcW w:w="7938" w:type="dxa"/>
            <w:vAlign w:val="center"/>
          </w:tcPr>
          <w:p w14:paraId="0EB65269" w14:textId="46500CB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lastRenderedPageBreak/>
              <w:t>CPC 07 – Subvenção e Assistência Governamentais</w:t>
            </w:r>
          </w:p>
        </w:tc>
        <w:tc>
          <w:tcPr>
            <w:tcW w:w="1505" w:type="dxa"/>
            <w:vAlign w:val="center"/>
          </w:tcPr>
          <w:p w14:paraId="03843B59" w14:textId="18E786E6"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216</w:t>
            </w:r>
          </w:p>
        </w:tc>
      </w:tr>
      <w:tr w:rsidR="00E840BF" w:rsidRPr="007775ED" w14:paraId="3649C2FF" w14:textId="77777777" w:rsidTr="00E840BF">
        <w:trPr>
          <w:trHeight w:val="280"/>
        </w:trPr>
        <w:tc>
          <w:tcPr>
            <w:tcW w:w="7938" w:type="dxa"/>
            <w:vAlign w:val="center"/>
          </w:tcPr>
          <w:p w14:paraId="3824B133" w14:textId="052EF715"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02 – Efeitos das Mudanças nas Taxas de Câmbio e Conversão de Demonstrações Contábeis</w:t>
            </w:r>
          </w:p>
        </w:tc>
        <w:tc>
          <w:tcPr>
            <w:tcW w:w="1505" w:type="dxa"/>
            <w:vAlign w:val="center"/>
          </w:tcPr>
          <w:p w14:paraId="72AEC85E" w14:textId="75C985B7"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218</w:t>
            </w:r>
          </w:p>
        </w:tc>
      </w:tr>
      <w:tr w:rsidR="00E840BF" w:rsidRPr="007775ED" w14:paraId="594419D2" w14:textId="77777777" w:rsidTr="00E840BF">
        <w:trPr>
          <w:trHeight w:val="280"/>
        </w:trPr>
        <w:tc>
          <w:tcPr>
            <w:tcW w:w="7938" w:type="dxa"/>
            <w:vAlign w:val="center"/>
          </w:tcPr>
          <w:p w14:paraId="46CA8C6C" w14:textId="0804A924"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20 – Custos de Empréstimos</w:t>
            </w:r>
          </w:p>
        </w:tc>
        <w:tc>
          <w:tcPr>
            <w:tcW w:w="1505" w:type="dxa"/>
            <w:vAlign w:val="center"/>
          </w:tcPr>
          <w:p w14:paraId="6379F8A1" w14:textId="75C75A36"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225</w:t>
            </w:r>
          </w:p>
        </w:tc>
      </w:tr>
      <w:tr w:rsidR="00E840BF" w:rsidRPr="007775ED" w14:paraId="17DE8B85" w14:textId="77777777" w:rsidTr="00E840BF">
        <w:trPr>
          <w:trHeight w:val="280"/>
        </w:trPr>
        <w:tc>
          <w:tcPr>
            <w:tcW w:w="7938" w:type="dxa"/>
            <w:vAlign w:val="center"/>
          </w:tcPr>
          <w:p w14:paraId="249F6542" w14:textId="35D989B1"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05 – Divulgação sobre Partes Relacionadas</w:t>
            </w:r>
          </w:p>
        </w:tc>
        <w:tc>
          <w:tcPr>
            <w:tcW w:w="1505" w:type="dxa"/>
            <w:vAlign w:val="center"/>
          </w:tcPr>
          <w:p w14:paraId="11FC51E5" w14:textId="614862D3"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226</w:t>
            </w:r>
          </w:p>
        </w:tc>
      </w:tr>
      <w:tr w:rsidR="00E840BF" w:rsidRPr="007775ED" w14:paraId="3C1C21E5" w14:textId="77777777" w:rsidTr="00E840BF">
        <w:trPr>
          <w:trHeight w:val="280"/>
        </w:trPr>
        <w:tc>
          <w:tcPr>
            <w:tcW w:w="7938" w:type="dxa"/>
            <w:vAlign w:val="center"/>
          </w:tcPr>
          <w:p w14:paraId="4F9B322D" w14:textId="489DA771"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35 – Demonstrações Separadas</w:t>
            </w:r>
          </w:p>
        </w:tc>
        <w:tc>
          <w:tcPr>
            <w:tcW w:w="1505" w:type="dxa"/>
            <w:vAlign w:val="center"/>
          </w:tcPr>
          <w:p w14:paraId="0FE0BF6B" w14:textId="0520B39F"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238</w:t>
            </w:r>
          </w:p>
        </w:tc>
      </w:tr>
      <w:tr w:rsidR="00E840BF" w:rsidRPr="007775ED" w14:paraId="6DB5073B" w14:textId="77777777" w:rsidTr="00E840BF">
        <w:trPr>
          <w:trHeight w:val="280"/>
        </w:trPr>
        <w:tc>
          <w:tcPr>
            <w:tcW w:w="7938" w:type="dxa"/>
            <w:vAlign w:val="center"/>
          </w:tcPr>
          <w:p w14:paraId="1E4D269C" w14:textId="5297877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42 – Contabilidade em Economia Hiperinflacionária</w:t>
            </w:r>
          </w:p>
        </w:tc>
        <w:tc>
          <w:tcPr>
            <w:tcW w:w="1505" w:type="dxa"/>
            <w:vAlign w:val="center"/>
          </w:tcPr>
          <w:p w14:paraId="10CEEF0A" w14:textId="1A35D779"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241</w:t>
            </w:r>
          </w:p>
        </w:tc>
      </w:tr>
      <w:tr w:rsidR="00E840BF" w:rsidRPr="007775ED" w14:paraId="720BCD0E" w14:textId="77777777" w:rsidTr="00E840BF">
        <w:trPr>
          <w:trHeight w:val="280"/>
        </w:trPr>
        <w:tc>
          <w:tcPr>
            <w:tcW w:w="7938" w:type="dxa"/>
            <w:vAlign w:val="center"/>
          </w:tcPr>
          <w:p w14:paraId="54E34FE7" w14:textId="1E98099C"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39 – Instrumentos Financeiros: Apresentação</w:t>
            </w:r>
          </w:p>
        </w:tc>
        <w:tc>
          <w:tcPr>
            <w:tcW w:w="1505" w:type="dxa"/>
            <w:vAlign w:val="center"/>
          </w:tcPr>
          <w:p w14:paraId="2F7D394B" w14:textId="49B5788B"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242</w:t>
            </w:r>
          </w:p>
        </w:tc>
      </w:tr>
      <w:tr w:rsidR="00E840BF" w:rsidRPr="007775ED" w14:paraId="30DE5A8A" w14:textId="77777777" w:rsidTr="00E840BF">
        <w:trPr>
          <w:trHeight w:val="280"/>
        </w:trPr>
        <w:tc>
          <w:tcPr>
            <w:tcW w:w="7938" w:type="dxa"/>
            <w:vAlign w:val="center"/>
          </w:tcPr>
          <w:p w14:paraId="49C697FC" w14:textId="75842D4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21 – Demonstração Intermediária</w:t>
            </w:r>
          </w:p>
        </w:tc>
        <w:tc>
          <w:tcPr>
            <w:tcW w:w="1505" w:type="dxa"/>
            <w:vAlign w:val="center"/>
          </w:tcPr>
          <w:p w14:paraId="62C168CD" w14:textId="56A1E9E6"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243</w:t>
            </w:r>
          </w:p>
        </w:tc>
      </w:tr>
      <w:tr w:rsidR="00E840BF" w:rsidRPr="007775ED" w14:paraId="3AE86FC6" w14:textId="77777777" w:rsidTr="00E840BF">
        <w:trPr>
          <w:trHeight w:val="280"/>
        </w:trPr>
        <w:tc>
          <w:tcPr>
            <w:tcW w:w="7938" w:type="dxa"/>
            <w:vAlign w:val="center"/>
          </w:tcPr>
          <w:p w14:paraId="5D442058" w14:textId="6ACAF9A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01 – Redução ao Valor Recuperável de Ativos</w:t>
            </w:r>
          </w:p>
        </w:tc>
        <w:tc>
          <w:tcPr>
            <w:tcW w:w="1505" w:type="dxa"/>
            <w:vAlign w:val="center"/>
          </w:tcPr>
          <w:p w14:paraId="1999C35C" w14:textId="6540E054"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250</w:t>
            </w:r>
          </w:p>
        </w:tc>
      </w:tr>
      <w:tr w:rsidR="00E840BF" w:rsidRPr="007775ED" w14:paraId="37B91A86" w14:textId="77777777" w:rsidTr="00E840BF">
        <w:trPr>
          <w:trHeight w:val="280"/>
        </w:trPr>
        <w:tc>
          <w:tcPr>
            <w:tcW w:w="7938" w:type="dxa"/>
            <w:vAlign w:val="center"/>
          </w:tcPr>
          <w:p w14:paraId="0214C01F" w14:textId="04EAE6FD"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25 – Provisões, Passivos Contingentes e Ativos Contingentes</w:t>
            </w:r>
          </w:p>
        </w:tc>
        <w:tc>
          <w:tcPr>
            <w:tcW w:w="1505" w:type="dxa"/>
            <w:vAlign w:val="center"/>
          </w:tcPr>
          <w:p w14:paraId="711B19C9" w14:textId="42AC1DAD"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257</w:t>
            </w:r>
          </w:p>
        </w:tc>
      </w:tr>
      <w:tr w:rsidR="00E840BF" w:rsidRPr="007775ED" w14:paraId="160AB97E" w14:textId="77777777" w:rsidTr="00E840BF">
        <w:trPr>
          <w:trHeight w:val="280"/>
        </w:trPr>
        <w:tc>
          <w:tcPr>
            <w:tcW w:w="7938" w:type="dxa"/>
            <w:vAlign w:val="center"/>
          </w:tcPr>
          <w:p w14:paraId="533B63D1" w14:textId="07D8604D"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04 – Ativo Intangível</w:t>
            </w:r>
          </w:p>
        </w:tc>
        <w:tc>
          <w:tcPr>
            <w:tcW w:w="1505" w:type="dxa"/>
            <w:vAlign w:val="center"/>
          </w:tcPr>
          <w:p w14:paraId="28711A4D" w14:textId="4492029D"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263</w:t>
            </w:r>
          </w:p>
        </w:tc>
      </w:tr>
      <w:tr w:rsidR="00E840BF" w:rsidRPr="007775ED" w14:paraId="572F7C04" w14:textId="77777777" w:rsidTr="00E840BF">
        <w:trPr>
          <w:trHeight w:val="280"/>
        </w:trPr>
        <w:tc>
          <w:tcPr>
            <w:tcW w:w="7938" w:type="dxa"/>
            <w:vAlign w:val="center"/>
          </w:tcPr>
          <w:p w14:paraId="347ACF1F" w14:textId="307B176E"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28 – Propriedade para Investimento</w:t>
            </w:r>
          </w:p>
        </w:tc>
        <w:tc>
          <w:tcPr>
            <w:tcW w:w="1505" w:type="dxa"/>
            <w:vAlign w:val="center"/>
          </w:tcPr>
          <w:p w14:paraId="6668A283" w14:textId="7D3E9AFE"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267</w:t>
            </w:r>
          </w:p>
        </w:tc>
      </w:tr>
      <w:tr w:rsidR="00E840BF" w:rsidRPr="007775ED" w14:paraId="39072F2D" w14:textId="77777777" w:rsidTr="00E840BF">
        <w:trPr>
          <w:trHeight w:val="280"/>
        </w:trPr>
        <w:tc>
          <w:tcPr>
            <w:tcW w:w="7938" w:type="dxa"/>
            <w:vAlign w:val="center"/>
          </w:tcPr>
          <w:p w14:paraId="53B58C07" w14:textId="65CCFFC7"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CPC 29 – Ativo Biológico e Produto Agrícola</w:t>
            </w:r>
          </w:p>
        </w:tc>
        <w:tc>
          <w:tcPr>
            <w:tcW w:w="1505" w:type="dxa"/>
            <w:vAlign w:val="center"/>
          </w:tcPr>
          <w:p w14:paraId="76C9DBEE" w14:textId="047D58BA"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272</w:t>
            </w:r>
          </w:p>
        </w:tc>
      </w:tr>
      <w:tr w:rsidR="00E840BF" w:rsidRPr="007775ED" w14:paraId="1AD75AF6" w14:textId="77777777" w:rsidTr="00E840BF">
        <w:trPr>
          <w:trHeight w:val="280"/>
        </w:trPr>
        <w:tc>
          <w:tcPr>
            <w:tcW w:w="7938" w:type="dxa"/>
            <w:vAlign w:val="center"/>
          </w:tcPr>
          <w:p w14:paraId="5EB74174" w14:textId="57C18C78"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Outras divulgações</w:t>
            </w:r>
          </w:p>
        </w:tc>
        <w:tc>
          <w:tcPr>
            <w:tcW w:w="1505" w:type="dxa"/>
            <w:vAlign w:val="center"/>
          </w:tcPr>
          <w:p w14:paraId="3756DFE0" w14:textId="3736BA93" w:rsidR="00E840BF" w:rsidRPr="007775ED" w:rsidRDefault="00E840BF" w:rsidP="007775ED">
            <w:pPr>
              <w:pStyle w:val="IASBTableBoldArial"/>
              <w:spacing w:before="0"/>
              <w:jc w:val="center"/>
              <w:rPr>
                <w:rFonts w:ascii="Times New Roman" w:hAnsi="Times New Roman"/>
                <w:sz w:val="24"/>
                <w:szCs w:val="24"/>
              </w:rPr>
            </w:pPr>
            <w:r w:rsidRPr="007775ED">
              <w:rPr>
                <w:rFonts w:ascii="Times New Roman" w:hAnsi="Times New Roman"/>
                <w:sz w:val="24"/>
                <w:szCs w:val="24"/>
              </w:rPr>
              <w:t>276</w:t>
            </w:r>
          </w:p>
        </w:tc>
      </w:tr>
      <w:tr w:rsidR="00E840BF" w:rsidRPr="007775ED" w14:paraId="4635D690" w14:textId="77777777" w:rsidTr="00E840BF">
        <w:trPr>
          <w:trHeight w:val="280"/>
        </w:trPr>
        <w:tc>
          <w:tcPr>
            <w:tcW w:w="7938" w:type="dxa"/>
            <w:vAlign w:val="center"/>
          </w:tcPr>
          <w:p w14:paraId="52C946E3" w14:textId="49A07138" w:rsidR="00E840BF" w:rsidRPr="007775ED" w:rsidRDefault="00E840BF" w:rsidP="007775ED">
            <w:pPr>
              <w:pStyle w:val="IASBTableBoldArial"/>
              <w:spacing w:before="0"/>
              <w:rPr>
                <w:rFonts w:ascii="Times New Roman" w:hAnsi="Times New Roman"/>
                <w:sz w:val="24"/>
                <w:szCs w:val="24"/>
              </w:rPr>
            </w:pPr>
            <w:r w:rsidRPr="007775ED">
              <w:rPr>
                <w:rFonts w:ascii="Times New Roman" w:hAnsi="Times New Roman"/>
                <w:sz w:val="24"/>
                <w:szCs w:val="24"/>
              </w:rPr>
              <w:t>APÊNDICE A – DATA DE VIGÊNCIA E TRANSIÇÃO</w:t>
            </w:r>
          </w:p>
        </w:tc>
        <w:tc>
          <w:tcPr>
            <w:tcW w:w="1505" w:type="dxa"/>
            <w:vAlign w:val="center"/>
          </w:tcPr>
          <w:p w14:paraId="0EB16329" w14:textId="77777777" w:rsidR="00E840BF" w:rsidRPr="007775ED" w:rsidRDefault="00E840BF" w:rsidP="007775ED">
            <w:pPr>
              <w:pStyle w:val="IASBTableBoldArial"/>
              <w:spacing w:before="0"/>
              <w:jc w:val="center"/>
              <w:rPr>
                <w:rFonts w:ascii="Times New Roman" w:hAnsi="Times New Roman"/>
                <w:sz w:val="24"/>
                <w:szCs w:val="24"/>
              </w:rPr>
            </w:pPr>
          </w:p>
        </w:tc>
      </w:tr>
    </w:tbl>
    <w:p w14:paraId="61A3931F" w14:textId="77777777" w:rsidR="00EE5DD2" w:rsidRPr="007775ED" w:rsidRDefault="00EE5DD2" w:rsidP="007775ED">
      <w:pPr>
        <w:pStyle w:val="IASBSectionTitle1NonInd"/>
        <w:pBdr>
          <w:bottom w:val="none" w:sz="0" w:space="0" w:color="auto"/>
        </w:pBdr>
        <w:spacing w:before="0" w:after="0"/>
        <w:jc w:val="both"/>
        <w:rPr>
          <w:rFonts w:ascii="Times New Roman" w:hAnsi="Times New Roman" w:cs="Times New Roman"/>
          <w:sz w:val="24"/>
          <w:szCs w:val="24"/>
        </w:rPr>
      </w:pPr>
      <w:bookmarkStart w:id="2" w:name="F55665969"/>
    </w:p>
    <w:p w14:paraId="5B4FF8D5" w14:textId="77777777" w:rsidR="00EE5DD2" w:rsidRPr="007775ED" w:rsidRDefault="00EE5DD2" w:rsidP="007775ED">
      <w:pPr>
        <w:pStyle w:val="IASBSectionTitle1NonInd"/>
        <w:pBdr>
          <w:bottom w:val="none" w:sz="0" w:space="0" w:color="auto"/>
        </w:pBdr>
        <w:spacing w:before="0" w:after="0"/>
        <w:jc w:val="both"/>
        <w:rPr>
          <w:rFonts w:ascii="Times New Roman" w:hAnsi="Times New Roman" w:cs="Times New Roman"/>
          <w:sz w:val="24"/>
          <w:szCs w:val="24"/>
        </w:rPr>
      </w:pPr>
    </w:p>
    <w:p w14:paraId="2609E4CA" w14:textId="77777777" w:rsidR="00DB501A" w:rsidRPr="007775ED" w:rsidRDefault="00DB501A"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Objetivo</w:t>
      </w:r>
      <w:bookmarkEnd w:id="2"/>
    </w:p>
    <w:p w14:paraId="2D9E3017" w14:textId="0A9846A2"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Pronunciamento Técnico CPC 5</w:t>
      </w:r>
      <w:r w:rsidR="001D7473" w:rsidRPr="007775ED">
        <w:rPr>
          <w:rFonts w:ascii="Times New Roman" w:hAnsi="Times New Roman" w:cs="Times New Roman"/>
          <w:b w:val="0"/>
          <w:bCs/>
          <w:sz w:val="24"/>
          <w:szCs w:val="24"/>
        </w:rPr>
        <w:t>2</w:t>
      </w:r>
      <w:r w:rsidRPr="007775ED">
        <w:rPr>
          <w:rFonts w:ascii="Times New Roman" w:hAnsi="Times New Roman" w:cs="Times New Roman"/>
          <w:b w:val="0"/>
          <w:bCs/>
          <w:sz w:val="24"/>
          <w:szCs w:val="24"/>
        </w:rPr>
        <w:t xml:space="preserve"> </w:t>
      </w:r>
      <w:r w:rsidR="00814E74" w:rsidRPr="007775ED">
        <w:rPr>
          <w:rFonts w:ascii="Times New Roman" w:hAnsi="Times New Roman" w:cs="Times New Roman"/>
          <w:b w:val="0"/>
          <w:bCs/>
          <w:sz w:val="24"/>
          <w:szCs w:val="24"/>
        </w:rPr>
        <w:t>–</w:t>
      </w:r>
      <w:r w:rsidRPr="007775ED">
        <w:rPr>
          <w:rFonts w:ascii="Times New Roman" w:hAnsi="Times New Roman" w:cs="Times New Roman"/>
          <w:b w:val="0"/>
          <w:bCs/>
          <w:sz w:val="24"/>
          <w:szCs w:val="24"/>
        </w:rPr>
        <w:t xml:space="preserve"> </w:t>
      </w:r>
      <w:r w:rsidR="00814E74" w:rsidRPr="007775ED">
        <w:rPr>
          <w:rFonts w:ascii="Times New Roman" w:hAnsi="Times New Roman" w:cs="Times New Roman"/>
          <w:b w:val="0"/>
          <w:bCs/>
          <w:sz w:val="24"/>
          <w:szCs w:val="24"/>
        </w:rPr>
        <w:t xml:space="preserve">Divulgações para </w:t>
      </w:r>
      <w:r w:rsidR="00C20535" w:rsidRPr="007775ED">
        <w:rPr>
          <w:rFonts w:ascii="Times New Roman" w:hAnsi="Times New Roman" w:cs="Times New Roman"/>
          <w:b w:val="0"/>
          <w:bCs/>
          <w:sz w:val="24"/>
          <w:szCs w:val="24"/>
        </w:rPr>
        <w:t xml:space="preserve">Controladas </w:t>
      </w:r>
      <w:r w:rsidRPr="007775ED">
        <w:rPr>
          <w:rFonts w:ascii="Times New Roman" w:hAnsi="Times New Roman" w:cs="Times New Roman"/>
          <w:b w:val="0"/>
          <w:bCs/>
          <w:sz w:val="24"/>
          <w:szCs w:val="24"/>
        </w:rPr>
        <w:t xml:space="preserve">Sem Obrigações </w:t>
      </w:r>
      <w:r w:rsidR="00FF194F" w:rsidRPr="007775ED">
        <w:rPr>
          <w:rFonts w:ascii="Times New Roman" w:hAnsi="Times New Roman" w:cs="Times New Roman"/>
          <w:b w:val="0"/>
          <w:bCs/>
          <w:sz w:val="24"/>
          <w:szCs w:val="24"/>
        </w:rPr>
        <w:t xml:space="preserve">de Prestação </w:t>
      </w:r>
      <w:r w:rsidR="00814E74" w:rsidRPr="007775ED">
        <w:rPr>
          <w:rFonts w:ascii="Times New Roman" w:hAnsi="Times New Roman" w:cs="Times New Roman"/>
          <w:b w:val="0"/>
          <w:bCs/>
          <w:sz w:val="24"/>
          <w:szCs w:val="24"/>
        </w:rPr>
        <w:t xml:space="preserve">Pública </w:t>
      </w:r>
      <w:r w:rsidR="00FF194F" w:rsidRPr="007775ED">
        <w:rPr>
          <w:rFonts w:ascii="Times New Roman" w:hAnsi="Times New Roman" w:cs="Times New Roman"/>
          <w:b w:val="0"/>
          <w:bCs/>
          <w:sz w:val="24"/>
          <w:szCs w:val="24"/>
        </w:rPr>
        <w:t>de Contas</w:t>
      </w:r>
      <w:r w:rsidRPr="007775ED">
        <w:rPr>
          <w:rFonts w:ascii="Times New Roman" w:hAnsi="Times New Roman" w:cs="Times New Roman"/>
          <w:b w:val="0"/>
          <w:bCs/>
          <w:sz w:val="24"/>
          <w:szCs w:val="24"/>
        </w:rPr>
        <w:t xml:space="preserve"> especifica os requisitos de divulgação que a entidade tem permissão para aplicar em substituição aos requisitos de divulgação em outros Pronunciamentos Contábeis do CPC.</w:t>
      </w:r>
    </w:p>
    <w:p w14:paraId="2843CCAB" w14:textId="1E3F64DE"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Atingindo o objetivo</w:t>
      </w:r>
    </w:p>
    <w:p w14:paraId="13DD151E" w14:textId="0EDA7C6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que opte por aplicar este Pronunciamento Técnico deve aplicar os requisitos dos </w:t>
      </w:r>
      <w:r w:rsidR="000C5E4A" w:rsidRPr="007775ED">
        <w:rPr>
          <w:rFonts w:ascii="Times New Roman" w:hAnsi="Times New Roman" w:cs="Times New Roman"/>
          <w:b w:val="0"/>
          <w:bCs/>
          <w:sz w:val="24"/>
          <w:szCs w:val="24"/>
        </w:rPr>
        <w:t xml:space="preserve">outros </w:t>
      </w:r>
      <w:r w:rsidRPr="007775ED">
        <w:rPr>
          <w:rFonts w:ascii="Times New Roman" w:hAnsi="Times New Roman" w:cs="Times New Roman"/>
          <w:b w:val="0"/>
          <w:bCs/>
          <w:sz w:val="24"/>
          <w:szCs w:val="24"/>
        </w:rPr>
        <w:t>Pronunciamentos Contábeis do CPC, exceto os requisitos de divulgação. Em vez disso, a entidade aplica os requisitos deste Pronunciamento Técnico.</w:t>
      </w:r>
    </w:p>
    <w:p w14:paraId="248D6F51" w14:textId="6EE39907"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Portanto, salvo se de outro modo especificado (ver item 4), a entidade que aplicar este Pronunciamento Técnico não precisa aplicar os requisitos de divulgação de outros Pronunciamentos Técnicos do CPC nem aplicar quaisquer declarações ou referências a esses requisitos de divulgação. Por exemplo, o item 35 d</w:t>
      </w:r>
      <w:r w:rsidR="00A52DD6" w:rsidRPr="007775ED">
        <w:rPr>
          <w:rFonts w:ascii="Times New Roman" w:hAnsi="Times New Roman" w:cs="Times New Roman"/>
          <w:b w:val="0"/>
          <w:bCs/>
          <w:sz w:val="24"/>
          <w:szCs w:val="24"/>
        </w:rPr>
        <w:t xml:space="preserve">o Pronunciamento Técnico </w:t>
      </w:r>
      <w:r w:rsidRPr="007775ED">
        <w:rPr>
          <w:rFonts w:ascii="Times New Roman" w:hAnsi="Times New Roman" w:cs="Times New Roman"/>
          <w:b w:val="0"/>
          <w:bCs/>
          <w:sz w:val="24"/>
          <w:szCs w:val="24"/>
        </w:rPr>
        <w:t xml:space="preserve">CPC 32 – Tributos sobre o Lucro contém requisitos sobre os critérios para o reconhecimento de ativos fiscais diferidos advindos do registro de prejuízos fiscais e créditos fiscais não utilizados. O item termina com a afirmação: “nessas circunstâncias, o item 82 exige divulgação do valor do ativo fiscal diferido e a natureza da evidência que comprova o seu reconhecimento”. A entidade que aplica este Pronunciamento Técnico não aplicaria o item 82 do CPC 32 e não precisa aplicar a afirmação contida no </w:t>
      </w:r>
      <w:r w:rsidR="00154A38" w:rsidRPr="007775ED">
        <w:rPr>
          <w:rFonts w:ascii="Times New Roman" w:hAnsi="Times New Roman" w:cs="Times New Roman"/>
          <w:b w:val="0"/>
          <w:bCs/>
          <w:sz w:val="24"/>
          <w:szCs w:val="24"/>
        </w:rPr>
        <w:t xml:space="preserve">fim </w:t>
      </w:r>
      <w:r w:rsidRPr="007775ED">
        <w:rPr>
          <w:rFonts w:ascii="Times New Roman" w:hAnsi="Times New Roman" w:cs="Times New Roman"/>
          <w:b w:val="0"/>
          <w:bCs/>
          <w:sz w:val="24"/>
          <w:szCs w:val="24"/>
        </w:rPr>
        <w:t>do item 35 do CPC 32 referente ao item 82.</w:t>
      </w:r>
    </w:p>
    <w:p w14:paraId="60F4440D" w14:textId="77777777" w:rsidR="00953DE8" w:rsidRPr="007775ED" w:rsidRDefault="00953DE8" w:rsidP="007775ED">
      <w:pPr>
        <w:pStyle w:val="PargrafodaLista"/>
        <w:spacing w:after="240"/>
        <w:rPr>
          <w:rFonts w:ascii="Times New Roman" w:hAnsi="Times New Roman"/>
          <w:b/>
          <w:bCs/>
          <w:sz w:val="24"/>
          <w:szCs w:val="24"/>
        </w:rPr>
      </w:pPr>
    </w:p>
    <w:p w14:paraId="4D835B6F" w14:textId="77777777" w:rsidR="00437FA2"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Não obstante os itens 2 e 3:</w:t>
      </w:r>
    </w:p>
    <w:p w14:paraId="71B03995" w14:textId="77777777" w:rsidR="00437FA2"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requisitos de divulgação de outros Pronunciamentos Técnicos do CPC que ainda sejam aplicáveis </w:t>
      </w:r>
      <w:r w:rsidR="006424F5" w:rsidRPr="007775ED">
        <w:rPr>
          <w:rFonts w:ascii="Times New Roman" w:hAnsi="Times New Roman" w:cs="Times New Roman"/>
          <w:b w:val="0"/>
          <w:bCs/>
          <w:sz w:val="24"/>
          <w:szCs w:val="24"/>
        </w:rPr>
        <w:t xml:space="preserve">à </w:t>
      </w:r>
      <w:r w:rsidRPr="007775ED">
        <w:rPr>
          <w:rFonts w:ascii="Times New Roman" w:hAnsi="Times New Roman" w:cs="Times New Roman"/>
          <w:b w:val="0"/>
          <w:bCs/>
          <w:sz w:val="24"/>
          <w:szCs w:val="24"/>
        </w:rPr>
        <w:t>entidade que aplica este Pronunciamento Técnico estão especificados neste Pronunciamento Técnico.</w:t>
      </w:r>
    </w:p>
    <w:p w14:paraId="2B28273C" w14:textId="265543BA" w:rsidR="00437FA2"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w:t>
      </w:r>
      <w:r w:rsidR="006424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que aplica este Pronunciamento Técnico adotar o</w:t>
      </w:r>
      <w:r w:rsidR="001D7473"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w:t>
      </w:r>
      <w:r w:rsidR="004F413D" w:rsidRPr="007775ED">
        <w:rPr>
          <w:rFonts w:ascii="Times New Roman" w:hAnsi="Times New Roman" w:cs="Times New Roman"/>
          <w:b w:val="0"/>
          <w:bCs/>
          <w:sz w:val="24"/>
          <w:szCs w:val="24"/>
        </w:rPr>
        <w:t>Pronunciamento</w:t>
      </w:r>
      <w:r w:rsidR="001D7473" w:rsidRPr="007775ED">
        <w:rPr>
          <w:rFonts w:ascii="Times New Roman" w:hAnsi="Times New Roman" w:cs="Times New Roman"/>
          <w:b w:val="0"/>
          <w:bCs/>
          <w:sz w:val="24"/>
          <w:szCs w:val="24"/>
        </w:rPr>
        <w:t>s</w:t>
      </w:r>
      <w:r w:rsidR="004F413D" w:rsidRPr="007775ED">
        <w:rPr>
          <w:rFonts w:ascii="Times New Roman" w:hAnsi="Times New Roman" w:cs="Times New Roman"/>
          <w:b w:val="0"/>
          <w:bCs/>
          <w:sz w:val="24"/>
          <w:szCs w:val="24"/>
        </w:rPr>
        <w:t xml:space="preserve"> Técnico</w:t>
      </w:r>
      <w:r w:rsidR="001D7473" w:rsidRPr="007775ED">
        <w:rPr>
          <w:rFonts w:ascii="Times New Roman" w:hAnsi="Times New Roman" w:cs="Times New Roman"/>
          <w:b w:val="0"/>
          <w:bCs/>
          <w:sz w:val="24"/>
          <w:szCs w:val="24"/>
        </w:rPr>
        <w:t>s</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 xml:space="preserve">CPC 22 – Informações por Segmento, CPC 50 – Contratos de Seguro ou CPC 41 – Resultado por Ação, ela deve aplicar todos os requisitos de divulgação </w:t>
      </w:r>
      <w:r w:rsidR="008505A3" w:rsidRPr="007775ED">
        <w:rPr>
          <w:rFonts w:ascii="Times New Roman" w:hAnsi="Times New Roman" w:cs="Times New Roman"/>
          <w:b w:val="0"/>
          <w:bCs/>
          <w:sz w:val="24"/>
          <w:szCs w:val="24"/>
        </w:rPr>
        <w:t>desses Pronunciamentos Técnicos.</w:t>
      </w:r>
    </w:p>
    <w:p w14:paraId="198C5579" w14:textId="4D5E0665" w:rsidR="008505A3" w:rsidRPr="007775ED" w:rsidRDefault="008505A3"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w:t>
      </w:r>
      <w:r w:rsidR="00953DE8" w:rsidRPr="007775ED">
        <w:rPr>
          <w:rFonts w:ascii="Times New Roman" w:hAnsi="Times New Roman" w:cs="Times New Roman"/>
          <w:b w:val="0"/>
          <w:bCs/>
          <w:sz w:val="24"/>
          <w:szCs w:val="24"/>
        </w:rPr>
        <w:t>m</w:t>
      </w:r>
      <w:r w:rsidRPr="007775ED">
        <w:rPr>
          <w:rFonts w:ascii="Times New Roman" w:hAnsi="Times New Roman" w:cs="Times New Roman"/>
          <w:b w:val="0"/>
          <w:bCs/>
          <w:sz w:val="24"/>
          <w:szCs w:val="24"/>
        </w:rPr>
        <w:t xml:space="preserve"> Pronunciamento Técnico novo </w:t>
      </w:r>
      <w:r w:rsidR="00953DE8" w:rsidRPr="007775ED">
        <w:rPr>
          <w:rFonts w:ascii="Times New Roman" w:hAnsi="Times New Roman" w:cs="Times New Roman"/>
          <w:b w:val="0"/>
          <w:bCs/>
          <w:sz w:val="24"/>
          <w:szCs w:val="24"/>
        </w:rPr>
        <w:t>ou alterad</w:t>
      </w: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 pode incluir requisitos de divulgação sobre a transição d</w:t>
      </w:r>
      <w:r w:rsidR="006424F5"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para ess</w:t>
      </w:r>
      <w:r w:rsidRPr="007775ED">
        <w:rPr>
          <w:rFonts w:ascii="Times New Roman" w:hAnsi="Times New Roman" w:cs="Times New Roman"/>
          <w:b w:val="0"/>
          <w:bCs/>
          <w:sz w:val="24"/>
          <w:szCs w:val="24"/>
        </w:rPr>
        <w:t>e Pronunciamento Técnico</w:t>
      </w:r>
      <w:r w:rsidR="00953DE8" w:rsidRPr="007775ED">
        <w:rPr>
          <w:rFonts w:ascii="Times New Roman" w:hAnsi="Times New Roman" w:cs="Times New Roman"/>
          <w:b w:val="0"/>
          <w:bCs/>
          <w:sz w:val="24"/>
          <w:szCs w:val="24"/>
        </w:rPr>
        <w:t xml:space="preserve">. Qualquer isenção disponível para </w:t>
      </w: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que aplica este Pronunciamento Técnico em relação aos requisitos de divulgação sobre a transição da entidade para ess</w:t>
      </w:r>
      <w:r w:rsidRPr="007775ED">
        <w:rPr>
          <w:rFonts w:ascii="Times New Roman" w:hAnsi="Times New Roman" w:cs="Times New Roman"/>
          <w:b w:val="0"/>
          <w:bCs/>
          <w:sz w:val="24"/>
          <w:szCs w:val="24"/>
        </w:rPr>
        <w:t xml:space="preserve">e Pronunciamento Técnico novo </w:t>
      </w:r>
      <w:r w:rsidR="00953DE8" w:rsidRPr="007775ED">
        <w:rPr>
          <w:rFonts w:ascii="Times New Roman" w:hAnsi="Times New Roman" w:cs="Times New Roman"/>
          <w:b w:val="0"/>
          <w:bCs/>
          <w:sz w:val="24"/>
          <w:szCs w:val="24"/>
        </w:rPr>
        <w:t>ou alterad</w:t>
      </w: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 será especificada n</w:t>
      </w:r>
      <w:r w:rsidRPr="007775ED">
        <w:rPr>
          <w:rFonts w:ascii="Times New Roman" w:hAnsi="Times New Roman" w:cs="Times New Roman"/>
          <w:b w:val="0"/>
          <w:bCs/>
          <w:sz w:val="24"/>
          <w:szCs w:val="24"/>
        </w:rPr>
        <w:t xml:space="preserve">o Pronunciamento Técnico novo ou </w:t>
      </w:r>
      <w:r w:rsidR="00953DE8" w:rsidRPr="007775ED">
        <w:rPr>
          <w:rFonts w:ascii="Times New Roman" w:hAnsi="Times New Roman" w:cs="Times New Roman"/>
          <w:b w:val="0"/>
          <w:bCs/>
          <w:sz w:val="24"/>
          <w:szCs w:val="24"/>
        </w:rPr>
        <w:t>alterad</w:t>
      </w: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w:t>
      </w:r>
    </w:p>
    <w:p w14:paraId="7242C05F" w14:textId="77777777" w:rsidR="008505A3"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 acordo com o item 19 d</w:t>
      </w:r>
      <w:r w:rsidR="008505A3" w:rsidRPr="007775ED">
        <w:rPr>
          <w:rFonts w:ascii="Times New Roman" w:hAnsi="Times New Roman" w:cs="Times New Roman"/>
          <w:b w:val="0"/>
          <w:bCs/>
          <w:sz w:val="24"/>
          <w:szCs w:val="24"/>
        </w:rPr>
        <w:t>o</w:t>
      </w:r>
      <w:r w:rsidRPr="007775ED">
        <w:rPr>
          <w:rFonts w:ascii="Times New Roman" w:hAnsi="Times New Roman" w:cs="Times New Roman"/>
          <w:b w:val="0"/>
          <w:bCs/>
          <w:sz w:val="24"/>
          <w:szCs w:val="24"/>
        </w:rPr>
        <w:t xml:space="preserve"> </w:t>
      </w:r>
      <w:r w:rsidR="008505A3" w:rsidRPr="007775ED">
        <w:rPr>
          <w:rFonts w:ascii="Times New Roman" w:hAnsi="Times New Roman" w:cs="Times New Roman"/>
          <w:b w:val="0"/>
          <w:bCs/>
          <w:sz w:val="24"/>
          <w:szCs w:val="24"/>
        </w:rPr>
        <w:t xml:space="preserve">Pronunciamento Técnico CPC 51 </w:t>
      </w:r>
      <w:r w:rsidRPr="007775ED">
        <w:rPr>
          <w:rFonts w:ascii="Times New Roman" w:hAnsi="Times New Roman" w:cs="Times New Roman"/>
          <w:b w:val="0"/>
          <w:bCs/>
          <w:sz w:val="24"/>
          <w:szCs w:val="24"/>
        </w:rPr>
        <w:t xml:space="preserve">– Apresentação e Divulgação </w:t>
      </w:r>
      <w:r w:rsidR="008505A3" w:rsidRPr="007775ED">
        <w:rPr>
          <w:rFonts w:ascii="Times New Roman" w:hAnsi="Times New Roman" w:cs="Times New Roman"/>
          <w:b w:val="0"/>
          <w:bCs/>
          <w:sz w:val="24"/>
          <w:szCs w:val="24"/>
        </w:rPr>
        <w:t>n</w:t>
      </w:r>
      <w:r w:rsidRPr="007775ED">
        <w:rPr>
          <w:rFonts w:ascii="Times New Roman" w:hAnsi="Times New Roman" w:cs="Times New Roman"/>
          <w:b w:val="0"/>
          <w:bCs/>
          <w:sz w:val="24"/>
          <w:szCs w:val="24"/>
        </w:rPr>
        <w:t>as Demonstrações Contábeis, a entidade que aplica este Pronunciamento Técnico não precisa fornecer uma divulgação específica exigida por este Pronunciamento Técnico se a informação resultante dessa divulgação não for material.</w:t>
      </w:r>
    </w:p>
    <w:p w14:paraId="1D8E3450" w14:textId="3FCD0C1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considerar se deve fornecer divulgações adicionais quando o cumprimento dos requisitos específicos deste Pronunciamento Técnico for insuficiente para permitir aos usuários das demonstrações contábeis compreender o efeito das transações e de outros eventos e condições na posição financeira e no desempenho financeiro da entidade.</w:t>
      </w:r>
    </w:p>
    <w:p w14:paraId="7379A0C0" w14:textId="584B597F"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Alcance</w:t>
      </w:r>
    </w:p>
    <w:p w14:paraId="1C18CEBA" w14:textId="2C7291AD" w:rsidR="00953DE8" w:rsidRPr="007775ED" w:rsidRDefault="006424F5"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pode optar por aplicar este Pronunciamento Técnico em suas demonstrações contábeis consolidadas, separadas ou individuais se, e somente se, no </w:t>
      </w:r>
      <w:r w:rsidR="0031057A" w:rsidRPr="007775ED">
        <w:rPr>
          <w:rFonts w:ascii="Times New Roman" w:hAnsi="Times New Roman" w:cs="Times New Roman"/>
          <w:b w:val="0"/>
          <w:bCs/>
          <w:sz w:val="24"/>
          <w:szCs w:val="24"/>
        </w:rPr>
        <w:t xml:space="preserve">fim </w:t>
      </w:r>
      <w:r w:rsidR="00953DE8" w:rsidRPr="007775ED">
        <w:rPr>
          <w:rFonts w:ascii="Times New Roman" w:hAnsi="Times New Roman" w:cs="Times New Roman"/>
          <w:b w:val="0"/>
          <w:bCs/>
          <w:sz w:val="24"/>
          <w:szCs w:val="24"/>
        </w:rPr>
        <w:t xml:space="preserve">do </w:t>
      </w:r>
      <w:r w:rsidR="005706F5" w:rsidRPr="007775ED">
        <w:rPr>
          <w:rFonts w:ascii="Times New Roman" w:hAnsi="Times New Roman" w:cs="Times New Roman"/>
          <w:b w:val="0"/>
          <w:bCs/>
          <w:sz w:val="24"/>
          <w:szCs w:val="24"/>
        </w:rPr>
        <w:t>período de reporte</w:t>
      </w:r>
      <w:r w:rsidR="00953DE8" w:rsidRPr="007775ED">
        <w:rPr>
          <w:rFonts w:ascii="Times New Roman" w:hAnsi="Times New Roman" w:cs="Times New Roman"/>
          <w:b w:val="0"/>
          <w:bCs/>
          <w:sz w:val="24"/>
          <w:szCs w:val="24"/>
        </w:rPr>
        <w:t>:</w:t>
      </w:r>
    </w:p>
    <w:p w14:paraId="707013CB" w14:textId="424B59E9" w:rsidR="005706F5" w:rsidRPr="007775ED" w:rsidRDefault="00953DE8" w:rsidP="007775ED">
      <w:pPr>
        <w:pStyle w:val="IASBSectionTitle1NonInd"/>
        <w:numPr>
          <w:ilvl w:val="0"/>
          <w:numId w:val="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for uma </w:t>
      </w:r>
      <w:r w:rsidR="00C20535" w:rsidRPr="007775ED">
        <w:rPr>
          <w:rFonts w:ascii="Times New Roman" w:hAnsi="Times New Roman" w:cs="Times New Roman"/>
          <w:b w:val="0"/>
          <w:bCs/>
          <w:sz w:val="24"/>
          <w:szCs w:val="24"/>
        </w:rPr>
        <w:t>controlada</w:t>
      </w:r>
      <w:r w:rsidRPr="007775ED">
        <w:rPr>
          <w:rFonts w:ascii="Times New Roman" w:hAnsi="Times New Roman" w:cs="Times New Roman"/>
          <w:b w:val="0"/>
          <w:bCs/>
          <w:sz w:val="24"/>
          <w:szCs w:val="24"/>
        </w:rPr>
        <w:t xml:space="preserve">; </w:t>
      </w:r>
    </w:p>
    <w:p w14:paraId="53A056DA" w14:textId="01582A74" w:rsidR="005706F5" w:rsidRPr="007775ED" w:rsidRDefault="00953DE8" w:rsidP="007775ED">
      <w:pPr>
        <w:pStyle w:val="IASBSectionTitle1NonInd"/>
        <w:numPr>
          <w:ilvl w:val="0"/>
          <w:numId w:val="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não tiver obrigaç</w:t>
      </w:r>
      <w:r w:rsidR="00814E74" w:rsidRPr="007775ED">
        <w:rPr>
          <w:rFonts w:ascii="Times New Roman" w:hAnsi="Times New Roman" w:cs="Times New Roman"/>
          <w:b w:val="0"/>
          <w:bCs/>
          <w:sz w:val="24"/>
          <w:szCs w:val="24"/>
        </w:rPr>
        <w:t>ões</w:t>
      </w:r>
      <w:r w:rsidRPr="007775ED">
        <w:rPr>
          <w:rFonts w:ascii="Times New Roman" w:hAnsi="Times New Roman" w:cs="Times New Roman"/>
          <w:b w:val="0"/>
          <w:bCs/>
          <w:sz w:val="24"/>
          <w:szCs w:val="24"/>
        </w:rPr>
        <w:t xml:space="preserve"> de prestação </w:t>
      </w:r>
      <w:r w:rsidR="00814E74" w:rsidRPr="007775ED">
        <w:rPr>
          <w:rFonts w:ascii="Times New Roman" w:hAnsi="Times New Roman" w:cs="Times New Roman"/>
          <w:b w:val="0"/>
          <w:bCs/>
          <w:sz w:val="24"/>
          <w:szCs w:val="24"/>
        </w:rPr>
        <w:t xml:space="preserve">pública </w:t>
      </w:r>
      <w:r w:rsidRPr="007775ED">
        <w:rPr>
          <w:rFonts w:ascii="Times New Roman" w:hAnsi="Times New Roman" w:cs="Times New Roman"/>
          <w:b w:val="0"/>
          <w:bCs/>
          <w:sz w:val="24"/>
          <w:szCs w:val="24"/>
        </w:rPr>
        <w:t xml:space="preserve">de contas </w:t>
      </w:r>
      <w:r w:rsidR="00814E74" w:rsidRPr="007775ED">
        <w:rPr>
          <w:rFonts w:ascii="Times New Roman" w:hAnsi="Times New Roman" w:cs="Times New Roman"/>
          <w:b w:val="0"/>
          <w:bCs/>
          <w:sz w:val="24"/>
          <w:szCs w:val="24"/>
        </w:rPr>
        <w:t xml:space="preserve">conforme estabelecido nos </w:t>
      </w:r>
      <w:r w:rsidRPr="007775ED">
        <w:rPr>
          <w:rFonts w:ascii="Times New Roman" w:hAnsi="Times New Roman" w:cs="Times New Roman"/>
          <w:b w:val="0"/>
          <w:bCs/>
          <w:sz w:val="24"/>
          <w:szCs w:val="24"/>
        </w:rPr>
        <w:t>itens 11 e 12; e</w:t>
      </w:r>
    </w:p>
    <w:p w14:paraId="3E49A466" w14:textId="3D950A0D" w:rsidR="00953DE8" w:rsidRPr="007775ED" w:rsidRDefault="00953DE8" w:rsidP="007775ED">
      <w:pPr>
        <w:pStyle w:val="IASBSectionTitle1NonInd"/>
        <w:numPr>
          <w:ilvl w:val="0"/>
          <w:numId w:val="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possuir uma controladora final ou intermediária que elabore demonstrações contábeis consolidadas disponíveis para uso público e que estejam em conformidade com </w:t>
      </w:r>
      <w:r w:rsidR="00A52DD6" w:rsidRPr="007775ED">
        <w:rPr>
          <w:rFonts w:ascii="Times New Roman" w:hAnsi="Times New Roman" w:cs="Times New Roman"/>
          <w:b w:val="0"/>
          <w:bCs/>
          <w:sz w:val="24"/>
          <w:szCs w:val="24"/>
        </w:rPr>
        <w:t>os Pronunciamentos Técnicos, Interpretações e Orientações do CPC</w:t>
      </w:r>
      <w:r w:rsidR="00814E74" w:rsidRPr="007775ED">
        <w:rPr>
          <w:rFonts w:ascii="Times New Roman" w:hAnsi="Times New Roman" w:cs="Times New Roman"/>
          <w:b w:val="0"/>
          <w:bCs/>
          <w:sz w:val="24"/>
          <w:szCs w:val="24"/>
        </w:rPr>
        <w:t xml:space="preserve"> ou com as Normas Contábeis IFRS</w:t>
      </w:r>
      <w:r w:rsidRPr="007775ED">
        <w:rPr>
          <w:rFonts w:ascii="Times New Roman" w:hAnsi="Times New Roman" w:cs="Times New Roman"/>
          <w:b w:val="0"/>
          <w:bCs/>
          <w:sz w:val="24"/>
          <w:szCs w:val="24"/>
        </w:rPr>
        <w:t>.</w:t>
      </w:r>
    </w:p>
    <w:p w14:paraId="2A34BAB7" w14:textId="2E616721"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termos “</w:t>
      </w:r>
      <w:r w:rsidR="00C20535" w:rsidRPr="007775ED">
        <w:rPr>
          <w:rFonts w:ascii="Times New Roman" w:hAnsi="Times New Roman" w:cs="Times New Roman"/>
          <w:b w:val="0"/>
          <w:bCs/>
          <w:sz w:val="24"/>
          <w:szCs w:val="24"/>
        </w:rPr>
        <w:t>controlada</w:t>
      </w:r>
      <w:r w:rsidRPr="007775ED">
        <w:rPr>
          <w:rFonts w:ascii="Times New Roman" w:hAnsi="Times New Roman" w:cs="Times New Roman"/>
          <w:b w:val="0"/>
          <w:bCs/>
          <w:sz w:val="24"/>
          <w:szCs w:val="24"/>
        </w:rPr>
        <w:t>” e “grupo</w:t>
      </w:r>
      <w:r w:rsidR="00C20535" w:rsidRPr="007775ED">
        <w:rPr>
          <w:rFonts w:ascii="Times New Roman" w:hAnsi="Times New Roman" w:cs="Times New Roman"/>
          <w:b w:val="0"/>
          <w:bCs/>
          <w:sz w:val="24"/>
          <w:szCs w:val="24"/>
        </w:rPr>
        <w:t xml:space="preserve"> econômico</w:t>
      </w:r>
      <w:r w:rsidRPr="007775ED">
        <w:rPr>
          <w:rFonts w:ascii="Times New Roman" w:hAnsi="Times New Roman" w:cs="Times New Roman"/>
          <w:b w:val="0"/>
          <w:bCs/>
          <w:sz w:val="24"/>
          <w:szCs w:val="24"/>
        </w:rPr>
        <w:t xml:space="preserve">” são definidos no Apêndice A do </w:t>
      </w:r>
      <w:r w:rsidR="00D47B7E"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36 – Demonstrações Consolidadas.</w:t>
      </w:r>
    </w:p>
    <w:p w14:paraId="43EBDA45" w14:textId="3DC3A8CC"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controladora intermediária avalia sua elegibilidade para aplicar este Pronunciamento Técnico em suas demonstrações contábeis separadas</w:t>
      </w:r>
      <w:r w:rsidR="005706F5" w:rsidRPr="007775ED">
        <w:rPr>
          <w:rFonts w:ascii="Times New Roman" w:hAnsi="Times New Roman" w:cs="Times New Roman"/>
          <w:b w:val="0"/>
          <w:bCs/>
          <w:sz w:val="24"/>
          <w:szCs w:val="24"/>
        </w:rPr>
        <w:t xml:space="preserve"> ou individuais</w:t>
      </w:r>
      <w:r w:rsidRPr="007775ED">
        <w:rPr>
          <w:rFonts w:ascii="Times New Roman" w:hAnsi="Times New Roman" w:cs="Times New Roman"/>
          <w:b w:val="0"/>
          <w:bCs/>
          <w:sz w:val="24"/>
          <w:szCs w:val="24"/>
        </w:rPr>
        <w:t xml:space="preserve">, independentemente de outras entidades do grupo </w:t>
      </w:r>
      <w:r w:rsidR="00C20535" w:rsidRPr="007775ED">
        <w:rPr>
          <w:rFonts w:ascii="Times New Roman" w:hAnsi="Times New Roman" w:cs="Times New Roman"/>
          <w:b w:val="0"/>
          <w:bCs/>
          <w:sz w:val="24"/>
          <w:szCs w:val="24"/>
        </w:rPr>
        <w:t xml:space="preserve">econômico </w:t>
      </w:r>
      <w:r w:rsidRPr="007775ED">
        <w:rPr>
          <w:rFonts w:ascii="Times New Roman" w:hAnsi="Times New Roman" w:cs="Times New Roman"/>
          <w:b w:val="0"/>
          <w:bCs/>
          <w:sz w:val="24"/>
          <w:szCs w:val="24"/>
        </w:rPr>
        <w:t xml:space="preserve">ou do grupo </w:t>
      </w:r>
      <w:r w:rsidR="00C20535" w:rsidRPr="007775ED">
        <w:rPr>
          <w:rFonts w:ascii="Times New Roman" w:hAnsi="Times New Roman" w:cs="Times New Roman"/>
          <w:b w:val="0"/>
          <w:bCs/>
          <w:sz w:val="24"/>
          <w:szCs w:val="24"/>
        </w:rPr>
        <w:t xml:space="preserve">econômico </w:t>
      </w:r>
      <w:r w:rsidRPr="007775ED">
        <w:rPr>
          <w:rFonts w:ascii="Times New Roman" w:hAnsi="Times New Roman" w:cs="Times New Roman"/>
          <w:b w:val="0"/>
          <w:bCs/>
          <w:sz w:val="24"/>
          <w:szCs w:val="24"/>
        </w:rPr>
        <w:t>como um todo terem obrigaç</w:t>
      </w:r>
      <w:r w:rsidR="00814E74" w:rsidRPr="007775ED">
        <w:rPr>
          <w:rFonts w:ascii="Times New Roman" w:hAnsi="Times New Roman" w:cs="Times New Roman"/>
          <w:b w:val="0"/>
          <w:bCs/>
          <w:sz w:val="24"/>
          <w:szCs w:val="24"/>
        </w:rPr>
        <w:t>ões</w:t>
      </w:r>
      <w:r w:rsidRPr="007775ED">
        <w:rPr>
          <w:rFonts w:ascii="Times New Roman" w:hAnsi="Times New Roman" w:cs="Times New Roman"/>
          <w:b w:val="0"/>
          <w:bCs/>
          <w:sz w:val="24"/>
          <w:szCs w:val="24"/>
        </w:rPr>
        <w:t xml:space="preserve"> de prestação </w:t>
      </w:r>
      <w:r w:rsidR="00814E74" w:rsidRPr="007775ED">
        <w:rPr>
          <w:rFonts w:ascii="Times New Roman" w:hAnsi="Times New Roman" w:cs="Times New Roman"/>
          <w:b w:val="0"/>
          <w:bCs/>
          <w:sz w:val="24"/>
          <w:szCs w:val="24"/>
        </w:rPr>
        <w:t xml:space="preserve">pública </w:t>
      </w:r>
      <w:r w:rsidRPr="007775ED">
        <w:rPr>
          <w:rFonts w:ascii="Times New Roman" w:hAnsi="Times New Roman" w:cs="Times New Roman"/>
          <w:b w:val="0"/>
          <w:bCs/>
          <w:sz w:val="24"/>
          <w:szCs w:val="24"/>
        </w:rPr>
        <w:t>de contas.</w:t>
      </w:r>
    </w:p>
    <w:p w14:paraId="4A215019" w14:textId="36129C5B"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Uma controladora intermediária que não tenha obrigaç</w:t>
      </w:r>
      <w:r w:rsidR="00814E74" w:rsidRPr="007775ED">
        <w:rPr>
          <w:rFonts w:ascii="Times New Roman" w:hAnsi="Times New Roman" w:cs="Times New Roman"/>
          <w:b w:val="0"/>
          <w:bCs/>
          <w:sz w:val="24"/>
          <w:szCs w:val="24"/>
        </w:rPr>
        <w:t>ões</w:t>
      </w:r>
      <w:r w:rsidRPr="007775ED">
        <w:rPr>
          <w:rFonts w:ascii="Times New Roman" w:hAnsi="Times New Roman" w:cs="Times New Roman"/>
          <w:b w:val="0"/>
          <w:bCs/>
          <w:sz w:val="24"/>
          <w:szCs w:val="24"/>
        </w:rPr>
        <w:t xml:space="preserve"> </w:t>
      </w:r>
      <w:r w:rsidR="00814E74" w:rsidRPr="007775ED">
        <w:rPr>
          <w:rFonts w:ascii="Times New Roman" w:hAnsi="Times New Roman" w:cs="Times New Roman"/>
          <w:b w:val="0"/>
          <w:bCs/>
          <w:sz w:val="24"/>
          <w:szCs w:val="24"/>
        </w:rPr>
        <w:t xml:space="preserve">de </w:t>
      </w:r>
      <w:r w:rsidRPr="007775ED">
        <w:rPr>
          <w:rFonts w:ascii="Times New Roman" w:hAnsi="Times New Roman" w:cs="Times New Roman"/>
          <w:b w:val="0"/>
          <w:bCs/>
          <w:sz w:val="24"/>
          <w:szCs w:val="24"/>
        </w:rPr>
        <w:t xml:space="preserve">prestação </w:t>
      </w:r>
      <w:r w:rsidR="00814E74" w:rsidRPr="007775ED">
        <w:rPr>
          <w:rFonts w:ascii="Times New Roman" w:hAnsi="Times New Roman" w:cs="Times New Roman"/>
          <w:b w:val="0"/>
          <w:bCs/>
          <w:sz w:val="24"/>
          <w:szCs w:val="24"/>
        </w:rPr>
        <w:t xml:space="preserve">pública </w:t>
      </w:r>
      <w:r w:rsidRPr="007775ED">
        <w:rPr>
          <w:rFonts w:ascii="Times New Roman" w:hAnsi="Times New Roman" w:cs="Times New Roman"/>
          <w:b w:val="0"/>
          <w:bCs/>
          <w:sz w:val="24"/>
          <w:szCs w:val="24"/>
        </w:rPr>
        <w:t>de contas e atenda às demais condições de elegibilidade do item 7 pode aplicar este Pronunciamento Técnico em suas demonstrações contábeis separadas</w:t>
      </w:r>
      <w:r w:rsidR="005706F5" w:rsidRPr="007775ED">
        <w:rPr>
          <w:rFonts w:ascii="Times New Roman" w:hAnsi="Times New Roman" w:cs="Times New Roman"/>
          <w:b w:val="0"/>
          <w:bCs/>
          <w:sz w:val="24"/>
          <w:szCs w:val="24"/>
        </w:rPr>
        <w:t xml:space="preserve"> e individuais</w:t>
      </w:r>
      <w:r w:rsidRPr="007775ED">
        <w:rPr>
          <w:rFonts w:ascii="Times New Roman" w:hAnsi="Times New Roman" w:cs="Times New Roman"/>
          <w:b w:val="0"/>
          <w:bCs/>
          <w:sz w:val="24"/>
          <w:szCs w:val="24"/>
        </w:rPr>
        <w:t>, mesmo que não a aplique em suas demonstrações contábeis consolidadas.</w:t>
      </w:r>
    </w:p>
    <w:p w14:paraId="7B0AB069" w14:textId="752D51AF" w:rsidR="00953DE8" w:rsidRPr="007775ED" w:rsidRDefault="006424F5"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w:t>
      </w:r>
      <w:r w:rsidR="00953DE8" w:rsidRPr="007775ED">
        <w:rPr>
          <w:rFonts w:ascii="Times New Roman" w:hAnsi="Times New Roman" w:cs="Times New Roman"/>
          <w:b w:val="0"/>
          <w:bCs/>
          <w:sz w:val="24"/>
          <w:szCs w:val="24"/>
        </w:rPr>
        <w:t>ntidade tem obrigaç</w:t>
      </w:r>
      <w:r w:rsidR="00814E74" w:rsidRPr="007775ED">
        <w:rPr>
          <w:rFonts w:ascii="Times New Roman" w:hAnsi="Times New Roman" w:cs="Times New Roman"/>
          <w:b w:val="0"/>
          <w:bCs/>
          <w:sz w:val="24"/>
          <w:szCs w:val="24"/>
        </w:rPr>
        <w:t>ões</w:t>
      </w:r>
      <w:r w:rsidR="00953DE8" w:rsidRPr="007775ED">
        <w:rPr>
          <w:rFonts w:ascii="Times New Roman" w:hAnsi="Times New Roman" w:cs="Times New Roman"/>
          <w:b w:val="0"/>
          <w:bCs/>
          <w:sz w:val="24"/>
          <w:szCs w:val="24"/>
        </w:rPr>
        <w:t xml:space="preserve"> de prestação </w:t>
      </w:r>
      <w:r w:rsidR="00814E74" w:rsidRPr="007775ED">
        <w:rPr>
          <w:rFonts w:ascii="Times New Roman" w:hAnsi="Times New Roman" w:cs="Times New Roman"/>
          <w:b w:val="0"/>
          <w:bCs/>
          <w:sz w:val="24"/>
          <w:szCs w:val="24"/>
        </w:rPr>
        <w:t xml:space="preserve">pública </w:t>
      </w:r>
      <w:r w:rsidR="00953DE8" w:rsidRPr="007775ED">
        <w:rPr>
          <w:rFonts w:ascii="Times New Roman" w:hAnsi="Times New Roman" w:cs="Times New Roman"/>
          <w:b w:val="0"/>
          <w:bCs/>
          <w:sz w:val="24"/>
          <w:szCs w:val="24"/>
        </w:rPr>
        <w:t>de contas se:</w:t>
      </w:r>
    </w:p>
    <w:p w14:paraId="641EAA79" w14:textId="3EB25CCC" w:rsidR="00953DE8" w:rsidRPr="007775ED" w:rsidRDefault="00953DE8" w:rsidP="007775ED">
      <w:pPr>
        <w:pStyle w:val="IASBSectionTitle1NonInd"/>
        <w:numPr>
          <w:ilvl w:val="0"/>
          <w:numId w:val="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seus instrumentos de dívidas ou </w:t>
      </w:r>
      <w:r w:rsidR="004A4824" w:rsidRPr="007775ED">
        <w:rPr>
          <w:rFonts w:ascii="Times New Roman" w:hAnsi="Times New Roman" w:cs="Times New Roman"/>
          <w:b w:val="0"/>
          <w:bCs/>
          <w:sz w:val="24"/>
          <w:szCs w:val="24"/>
        </w:rPr>
        <w:t>patrimoniais</w:t>
      </w:r>
      <w:r w:rsidRPr="007775ED">
        <w:rPr>
          <w:rFonts w:ascii="Times New Roman" w:hAnsi="Times New Roman" w:cs="Times New Roman"/>
          <w:b w:val="0"/>
          <w:bCs/>
          <w:sz w:val="24"/>
          <w:szCs w:val="24"/>
        </w:rPr>
        <w:t xml:space="preserve"> forem negociados em um mercado público ou se estiver em processo de emissão desses instrumentos em um mercado público (bolsa de valores nacional ou estrangeira ou um mercado de balcão, incluindo mercados locais e regionais); ou</w:t>
      </w:r>
    </w:p>
    <w:p w14:paraId="077EC764" w14:textId="6C5B8A60" w:rsidR="00953DE8" w:rsidRPr="007775ED" w:rsidRDefault="005706F5" w:rsidP="007775ED">
      <w:pPr>
        <w:pStyle w:val="IASBSectionTitle1NonInd"/>
        <w:numPr>
          <w:ilvl w:val="0"/>
          <w:numId w:val="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w:t>
      </w:r>
      <w:r w:rsidR="00953DE8" w:rsidRPr="007775ED">
        <w:rPr>
          <w:rFonts w:ascii="Times New Roman" w:hAnsi="Times New Roman" w:cs="Times New Roman"/>
          <w:b w:val="0"/>
          <w:bCs/>
          <w:sz w:val="24"/>
          <w:szCs w:val="24"/>
        </w:rPr>
        <w:t>antiver ativos em uma condição fiduciária para um grande grupo de agentes externos como uma de suas atividades principais (por exemplo, bancos, cooperativas de crédito, seguradoras, corretoras de valores mobiliários, fundos mútuos e bancos de investimento geralmente atendem a esse critério).</w:t>
      </w:r>
    </w:p>
    <w:p w14:paraId="25B3FC3B" w14:textId="2EFA2C47"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Algumas entidades podem manter ativos em uma condição fiduciária para um grande grupo de agentes externos por manterem e gerirem recursos financeiros confiados a eles por clientes, consumidores ou membros não envolvidos na administração da entidade. No entanto, se o fazem por motivos incidentais a uma atividade principal (como pode ser o caso, por exemplo, de agências de viagens, corretores de imóveis, escolas, organizações de caridade, cooperativas que exigem um depósito nominal de adesão ou empresas que recebem pagamentos antecipados para entrega de bens ou serviços, como concessionárias de serviços públicos), isso não as torna entidades com obrigaç</w:t>
      </w:r>
      <w:r w:rsidR="00814E74" w:rsidRPr="007775ED">
        <w:rPr>
          <w:rFonts w:ascii="Times New Roman" w:hAnsi="Times New Roman" w:cs="Times New Roman"/>
          <w:b w:val="0"/>
          <w:bCs/>
          <w:sz w:val="24"/>
          <w:szCs w:val="24"/>
        </w:rPr>
        <w:t>ões</w:t>
      </w:r>
      <w:r w:rsidRPr="007775ED">
        <w:rPr>
          <w:rFonts w:ascii="Times New Roman" w:hAnsi="Times New Roman" w:cs="Times New Roman"/>
          <w:b w:val="0"/>
          <w:bCs/>
          <w:sz w:val="24"/>
          <w:szCs w:val="24"/>
        </w:rPr>
        <w:t xml:space="preserve"> de prestação </w:t>
      </w:r>
      <w:r w:rsidR="00814E74" w:rsidRPr="007775ED">
        <w:rPr>
          <w:rFonts w:ascii="Times New Roman" w:hAnsi="Times New Roman" w:cs="Times New Roman"/>
          <w:b w:val="0"/>
          <w:bCs/>
          <w:sz w:val="24"/>
          <w:szCs w:val="24"/>
        </w:rPr>
        <w:t xml:space="preserve">pública </w:t>
      </w:r>
      <w:r w:rsidRPr="007775ED">
        <w:rPr>
          <w:rFonts w:ascii="Times New Roman" w:hAnsi="Times New Roman" w:cs="Times New Roman"/>
          <w:b w:val="0"/>
          <w:bCs/>
          <w:sz w:val="24"/>
          <w:szCs w:val="24"/>
        </w:rPr>
        <w:t>de contas.</w:t>
      </w:r>
    </w:p>
    <w:p w14:paraId="04E0200E" w14:textId="38E7A652"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Escolha ou revogação da aplicação deste Pronunciamento Técnico</w:t>
      </w:r>
    </w:p>
    <w:p w14:paraId="253A6A8A" w14:textId="2C88D7B8" w:rsidR="00953DE8" w:rsidRPr="007775ED" w:rsidRDefault="005706F5"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que optar</w:t>
      </w:r>
      <w:r w:rsidR="00953DE8" w:rsidRPr="007775ED">
        <w:rPr>
          <w:rFonts w:ascii="Times New Roman" w:hAnsi="Times New Roman" w:cs="Times New Roman"/>
          <w:b w:val="0"/>
          <w:bCs/>
          <w:sz w:val="24"/>
          <w:szCs w:val="24"/>
        </w:rPr>
        <w:t xml:space="preserve"> por aplicar este Pronunciamento Técnico em um </w:t>
      </w:r>
      <w:r w:rsidRPr="007775ED">
        <w:rPr>
          <w:rFonts w:ascii="Times New Roman" w:hAnsi="Times New Roman" w:cs="Times New Roman"/>
          <w:b w:val="0"/>
          <w:bCs/>
          <w:sz w:val="24"/>
          <w:szCs w:val="24"/>
        </w:rPr>
        <w:t>período de reporte</w:t>
      </w:r>
      <w:r w:rsidR="00953DE8" w:rsidRPr="007775ED">
        <w:rPr>
          <w:rFonts w:ascii="Times New Roman" w:hAnsi="Times New Roman" w:cs="Times New Roman"/>
          <w:b w:val="0"/>
          <w:bCs/>
          <w:sz w:val="24"/>
          <w:szCs w:val="24"/>
        </w:rPr>
        <w:t xml:space="preserve"> pode posteriormente revogar essa escolha. </w:t>
      </w:r>
      <w:r w:rsidR="006424F5"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pode optar por aplicar este Pronunciamento Técnico mais de uma vez – por exemplo, </w:t>
      </w:r>
      <w:r w:rsidR="006424F5"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que aplicou este Pronunciamento Técnico em um período </w:t>
      </w:r>
      <w:r w:rsidR="00F56C54" w:rsidRPr="007775ED">
        <w:rPr>
          <w:rFonts w:ascii="Times New Roman" w:hAnsi="Times New Roman" w:cs="Times New Roman"/>
          <w:b w:val="0"/>
          <w:bCs/>
          <w:sz w:val="24"/>
          <w:szCs w:val="24"/>
        </w:rPr>
        <w:t xml:space="preserve">antecedente ao </w:t>
      </w:r>
      <w:r w:rsidR="00953DE8" w:rsidRPr="007775ED">
        <w:rPr>
          <w:rFonts w:ascii="Times New Roman" w:hAnsi="Times New Roman" w:cs="Times New Roman"/>
          <w:b w:val="0"/>
          <w:bCs/>
          <w:sz w:val="24"/>
          <w:szCs w:val="24"/>
        </w:rPr>
        <w:t>anterior, mas não no período imediatamente anterior, pode optar por aplicá-la no período atual.</w:t>
      </w:r>
    </w:p>
    <w:p w14:paraId="4D16057A" w14:textId="76B0F901"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w:t>
      </w:r>
      <w:r w:rsidR="005706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aplicar este Pronunciamento Técnico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atual, mas não no período imediatamente anterior, deverá fornecer informações comparativas (ou seja, informações do período anterior) para todos os valores informados nas demonstrações contábeis do período atual, salvo se este </w:t>
      </w:r>
      <w:r w:rsidR="005706F5" w:rsidRPr="007775ED">
        <w:rPr>
          <w:rFonts w:ascii="Times New Roman" w:hAnsi="Times New Roman" w:cs="Times New Roman"/>
          <w:b w:val="0"/>
          <w:bCs/>
          <w:sz w:val="24"/>
          <w:szCs w:val="24"/>
        </w:rPr>
        <w:t xml:space="preserve">ou outro </w:t>
      </w:r>
      <w:r w:rsidRPr="007775ED">
        <w:rPr>
          <w:rFonts w:ascii="Times New Roman" w:hAnsi="Times New Roman" w:cs="Times New Roman"/>
          <w:b w:val="0"/>
          <w:bCs/>
          <w:sz w:val="24"/>
          <w:szCs w:val="24"/>
        </w:rPr>
        <w:t>Pronunciamento Técnico permitir ou exigir o contrário. A entidade deve incluir informações comparativas para informações narrativas e descritivas se isso for necessário para o entendimento das demonstrações contábeis do período corrente.</w:t>
      </w:r>
    </w:p>
    <w:p w14:paraId="60DCEEE3" w14:textId="5580299F" w:rsidR="00953DE8" w:rsidRPr="007775ED" w:rsidRDefault="005706F5"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entidade que tiver aplicado </w:t>
      </w:r>
      <w:r w:rsidR="00953DE8" w:rsidRPr="007775ED">
        <w:rPr>
          <w:rFonts w:ascii="Times New Roman" w:hAnsi="Times New Roman" w:cs="Times New Roman"/>
          <w:b w:val="0"/>
          <w:bCs/>
          <w:sz w:val="24"/>
          <w:szCs w:val="24"/>
        </w:rPr>
        <w:t xml:space="preserve">este Pronunciamento Técnico no </w:t>
      </w:r>
      <w:r w:rsidRPr="007775ED">
        <w:rPr>
          <w:rFonts w:ascii="Times New Roman" w:hAnsi="Times New Roman" w:cs="Times New Roman"/>
          <w:b w:val="0"/>
          <w:bCs/>
          <w:sz w:val="24"/>
          <w:szCs w:val="24"/>
        </w:rPr>
        <w:t>período de reporte</w:t>
      </w:r>
      <w:r w:rsidR="00953DE8" w:rsidRPr="007775ED">
        <w:rPr>
          <w:rFonts w:ascii="Times New Roman" w:hAnsi="Times New Roman" w:cs="Times New Roman"/>
          <w:b w:val="0"/>
          <w:bCs/>
          <w:sz w:val="24"/>
          <w:szCs w:val="24"/>
        </w:rPr>
        <w:t xml:space="preserve"> anterior – mas optar por não </w:t>
      </w:r>
      <w:proofErr w:type="gramStart"/>
      <w:r w:rsidR="00953DE8" w:rsidRPr="007775ED">
        <w:rPr>
          <w:rFonts w:ascii="Times New Roman" w:hAnsi="Times New Roman" w:cs="Times New Roman"/>
          <w:b w:val="0"/>
          <w:bCs/>
          <w:sz w:val="24"/>
          <w:szCs w:val="24"/>
        </w:rPr>
        <w:t>aplicá-l</w:t>
      </w:r>
      <w:r w:rsidRPr="007775ED">
        <w:rPr>
          <w:rFonts w:ascii="Times New Roman" w:hAnsi="Times New Roman" w:cs="Times New Roman"/>
          <w:b w:val="0"/>
          <w:bCs/>
          <w:sz w:val="24"/>
          <w:szCs w:val="24"/>
        </w:rPr>
        <w:t>o</w:t>
      </w:r>
      <w:proofErr w:type="gramEnd"/>
      <w:r w:rsidR="00953DE8" w:rsidRPr="007775ED">
        <w:rPr>
          <w:rFonts w:ascii="Times New Roman" w:hAnsi="Times New Roman" w:cs="Times New Roman"/>
          <w:b w:val="0"/>
          <w:bCs/>
          <w:sz w:val="24"/>
          <w:szCs w:val="24"/>
        </w:rPr>
        <w:t xml:space="preserve"> (ou não for mais elegível para aplicá-l</w:t>
      </w: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 no período corrente e continuar aplicando </w:t>
      </w:r>
      <w:r w:rsidRPr="007775ED">
        <w:rPr>
          <w:rFonts w:ascii="Times New Roman" w:hAnsi="Times New Roman" w:cs="Times New Roman"/>
          <w:b w:val="0"/>
          <w:bCs/>
          <w:sz w:val="24"/>
          <w:szCs w:val="24"/>
        </w:rPr>
        <w:t>os Pronunciamentos Técnicos do CPC</w:t>
      </w:r>
      <w:r w:rsidR="00953DE8" w:rsidRPr="007775ED">
        <w:rPr>
          <w:rFonts w:ascii="Times New Roman" w:hAnsi="Times New Roman" w:cs="Times New Roman"/>
          <w:b w:val="0"/>
          <w:bCs/>
          <w:sz w:val="24"/>
          <w:szCs w:val="24"/>
        </w:rPr>
        <w:t xml:space="preserve"> – deve fornecer informações comparativas referentes ao período anterior para todos os valores informados nas demonstrações contábeis do período corrente, salvo se </w:t>
      </w:r>
      <w:r w:rsidR="00820A39" w:rsidRPr="007775ED">
        <w:rPr>
          <w:rFonts w:ascii="Times New Roman" w:hAnsi="Times New Roman" w:cs="Times New Roman"/>
          <w:b w:val="0"/>
          <w:bCs/>
          <w:sz w:val="24"/>
          <w:szCs w:val="24"/>
        </w:rPr>
        <w:t xml:space="preserve">outro Pronunciamento Técnico do CPC </w:t>
      </w:r>
      <w:r w:rsidR="00953DE8" w:rsidRPr="007775ED">
        <w:rPr>
          <w:rFonts w:ascii="Times New Roman" w:hAnsi="Times New Roman" w:cs="Times New Roman"/>
          <w:b w:val="0"/>
          <w:bCs/>
          <w:sz w:val="24"/>
          <w:szCs w:val="24"/>
        </w:rPr>
        <w:t>permitir ou exigir o contrário. A entidade deve incluir informações comparativas para informações narrativas e descritivas se isso for necessário para o entendimento das demonstrações contábeis do período corrente. O fato de este Pronunciamento Técnico não exigir a divulgação de valores no período anterior para alguns itens que são divulgados no período corrente não é uma razão para omitir informações comparativas desses itens.</w:t>
      </w:r>
    </w:p>
    <w:p w14:paraId="16C564F1" w14:textId="4AFC9C07"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requisitos para mudanças nas políticas contábeis do </w:t>
      </w:r>
      <w:r w:rsidR="0029491C" w:rsidRPr="007775ED">
        <w:rPr>
          <w:rFonts w:ascii="Times New Roman" w:hAnsi="Times New Roman" w:cs="Times New Roman"/>
          <w:b w:val="0"/>
          <w:bCs/>
          <w:sz w:val="24"/>
          <w:szCs w:val="24"/>
        </w:rPr>
        <w:t xml:space="preserve">Pronunciamento Técnico </w:t>
      </w:r>
      <w:r w:rsidR="00820A39" w:rsidRPr="007775ED">
        <w:rPr>
          <w:rFonts w:ascii="Times New Roman" w:hAnsi="Times New Roman" w:cs="Times New Roman"/>
          <w:b w:val="0"/>
          <w:bCs/>
          <w:sz w:val="24"/>
          <w:szCs w:val="24"/>
        </w:rPr>
        <w:t xml:space="preserve">CPC 23 </w:t>
      </w:r>
      <w:r w:rsidR="0029491C" w:rsidRPr="007775ED">
        <w:rPr>
          <w:rFonts w:ascii="Times New Roman" w:hAnsi="Times New Roman" w:cs="Times New Roman"/>
          <w:b w:val="0"/>
          <w:bCs/>
          <w:sz w:val="24"/>
          <w:szCs w:val="24"/>
        </w:rPr>
        <w:t>–</w:t>
      </w:r>
      <w:r w:rsidR="00820A39" w:rsidRPr="007775ED">
        <w:rPr>
          <w:rFonts w:ascii="Times New Roman" w:hAnsi="Times New Roman" w:cs="Times New Roman"/>
          <w:b w:val="0"/>
          <w:bCs/>
          <w:sz w:val="24"/>
          <w:szCs w:val="24"/>
        </w:rPr>
        <w:t xml:space="preserve"> Base de Preparação das Demonstrações Contábeis</w:t>
      </w:r>
      <w:r w:rsidRPr="007775ED">
        <w:rPr>
          <w:rFonts w:ascii="Times New Roman" w:hAnsi="Times New Roman" w:cs="Times New Roman"/>
          <w:b w:val="0"/>
          <w:bCs/>
          <w:sz w:val="24"/>
          <w:szCs w:val="24"/>
        </w:rPr>
        <w:t xml:space="preserve"> não se aplicam à escolha ou revogação da aplicação deste Pronunciamento Técnico.</w:t>
      </w:r>
    </w:p>
    <w:p w14:paraId="2DBE294D" w14:textId="607970B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Interação com o CPC 37 – Adoção Inicial das Normas Internacionais de Contabilidade</w:t>
      </w:r>
    </w:p>
    <w:p w14:paraId="734327D7" w14:textId="03526F03" w:rsidR="00953DE8" w:rsidRPr="007775ED" w:rsidRDefault="00820A39"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w:t>
      </w:r>
      <w:r w:rsidRPr="007775ED">
        <w:rPr>
          <w:rFonts w:ascii="Times New Roman" w:hAnsi="Times New Roman" w:cs="Times New Roman"/>
          <w:b w:val="0"/>
          <w:bCs/>
          <w:sz w:val="24"/>
          <w:szCs w:val="24"/>
        </w:rPr>
        <w:t xml:space="preserve">aplica </w:t>
      </w:r>
      <w:r w:rsidR="00953DE8" w:rsidRPr="007775ED">
        <w:rPr>
          <w:rFonts w:ascii="Times New Roman" w:hAnsi="Times New Roman" w:cs="Times New Roman"/>
          <w:b w:val="0"/>
          <w:bCs/>
          <w:sz w:val="24"/>
          <w:szCs w:val="24"/>
        </w:rPr>
        <w:t xml:space="preserve">o </w:t>
      </w:r>
      <w:r w:rsidR="001D7473" w:rsidRPr="007775ED">
        <w:rPr>
          <w:rFonts w:ascii="Times New Roman" w:hAnsi="Times New Roman" w:cs="Times New Roman"/>
          <w:b w:val="0"/>
          <w:bCs/>
          <w:sz w:val="24"/>
          <w:szCs w:val="24"/>
        </w:rPr>
        <w:t xml:space="preserve">Pronunciamento Técnico </w:t>
      </w:r>
      <w:r w:rsidR="00953DE8" w:rsidRPr="007775ED">
        <w:rPr>
          <w:rFonts w:ascii="Times New Roman" w:hAnsi="Times New Roman" w:cs="Times New Roman"/>
          <w:b w:val="0"/>
          <w:bCs/>
          <w:sz w:val="24"/>
          <w:szCs w:val="24"/>
        </w:rPr>
        <w:t xml:space="preserve">CPC 37 – Adoção Inicial das Normas Internacionais de Contabilidade quando elabora suas primeiras demonstrações contábeis conforme </w:t>
      </w:r>
      <w:r w:rsidRPr="007775ED">
        <w:rPr>
          <w:rFonts w:ascii="Times New Roman" w:hAnsi="Times New Roman" w:cs="Times New Roman"/>
          <w:b w:val="0"/>
          <w:bCs/>
          <w:sz w:val="24"/>
          <w:szCs w:val="24"/>
        </w:rPr>
        <w:t xml:space="preserve">os Pronunciamentos Técnicos do CPC </w:t>
      </w:r>
      <w:r w:rsidR="00953DE8" w:rsidRPr="007775ED">
        <w:rPr>
          <w:rFonts w:ascii="Times New Roman" w:hAnsi="Times New Roman" w:cs="Times New Roman"/>
          <w:b w:val="0"/>
          <w:bCs/>
          <w:sz w:val="24"/>
          <w:szCs w:val="24"/>
        </w:rPr>
        <w:t xml:space="preserve">ou quando tem permissão para fazê-lo aplicando o item 4A do CPC 37. </w:t>
      </w: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que aplica este Pronunciamento Técnico ao preparar suas primeiras demonstrações contábeis conforme </w:t>
      </w:r>
      <w:r w:rsidRPr="007775ED">
        <w:rPr>
          <w:rFonts w:ascii="Times New Roman" w:hAnsi="Times New Roman" w:cs="Times New Roman"/>
          <w:b w:val="0"/>
          <w:bCs/>
          <w:sz w:val="24"/>
          <w:szCs w:val="24"/>
        </w:rPr>
        <w:t xml:space="preserve">os Pronunciamentos Técnicos do CPC </w:t>
      </w:r>
      <w:r w:rsidR="00953DE8" w:rsidRPr="007775ED">
        <w:rPr>
          <w:rFonts w:ascii="Times New Roman" w:hAnsi="Times New Roman" w:cs="Times New Roman"/>
          <w:b w:val="0"/>
          <w:bCs/>
          <w:sz w:val="24"/>
          <w:szCs w:val="24"/>
        </w:rPr>
        <w:t>deve aplicar os requisitos de divulgação dos itens 21 a 30 deste Pronunciamento Técnico, em vez dos requisitos de divulgação dos itens 23 a 33 do CPC 37.</w:t>
      </w:r>
    </w:p>
    <w:p w14:paraId="725C5E23" w14:textId="3785225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Optar por aplicar ou revogar a aplicação deste Pronunciamento Técnico não resulta, por si só, em a entidade atender à definição de adotante pela primeira vez d</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xml:space="preserve"> conforme estabelecido no CPC 37. Por exemplo, </w:t>
      </w:r>
      <w:r w:rsidR="006424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que aplicou </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xml:space="preserve">, mas não este Pronunciamento Técnico,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imediatamente anterior e que aplica este Pronunciamento Técnico no período corrente não é uma adotante pela primeira vez d</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xml:space="preserve"> e não aplicará o CPC 37 no período corrente.</w:t>
      </w:r>
    </w:p>
    <w:p w14:paraId="5C944871" w14:textId="5BAE4A09"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Da mesma forma, </w:t>
      </w:r>
      <w:r w:rsidR="006424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que revogue a aplicação deste Pronunciamento Técnico no período corrente não aplicará o CPC 37 no período corrente se, no período imediatamente anterior, tiver apresentado uma declaração explícita e sem ressalvas de conformidade com </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conforme exigido pelo item 20.</w:t>
      </w:r>
    </w:p>
    <w:p w14:paraId="3FAC0E4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Requisitos de divulgação</w:t>
      </w:r>
    </w:p>
    <w:p w14:paraId="46ABF9CE" w14:textId="0D22EB41"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Cumprimento d</w:t>
      </w:r>
      <w:r w:rsidR="005706F5" w:rsidRPr="007775ED">
        <w:rPr>
          <w:rFonts w:ascii="Times New Roman" w:hAnsi="Times New Roman" w:cs="Times New Roman"/>
          <w:sz w:val="24"/>
          <w:szCs w:val="24"/>
        </w:rPr>
        <w:t>os Pronunciamentos Técnicos do CPC</w:t>
      </w:r>
    </w:p>
    <w:p w14:paraId="4E9B2907" w14:textId="76C8C299" w:rsidR="00953DE8" w:rsidRPr="007775ED" w:rsidRDefault="006424F5"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w:t>
      </w:r>
      <w:r w:rsidR="00953DE8" w:rsidRPr="007775ED">
        <w:rPr>
          <w:rFonts w:ascii="Times New Roman" w:hAnsi="Times New Roman" w:cs="Times New Roman"/>
          <w:b w:val="0"/>
          <w:bCs/>
          <w:sz w:val="24"/>
          <w:szCs w:val="24"/>
        </w:rPr>
        <w:t xml:space="preserve">entidade cujas demonstrações contábeis </w:t>
      </w:r>
      <w:r w:rsidR="00B10E3F" w:rsidRPr="007775ED">
        <w:rPr>
          <w:rFonts w:ascii="Times New Roman" w:hAnsi="Times New Roman" w:cs="Times New Roman"/>
          <w:b w:val="0"/>
          <w:bCs/>
          <w:sz w:val="24"/>
          <w:szCs w:val="24"/>
        </w:rPr>
        <w:t xml:space="preserve">sejam elaboradas em conformidade com </w:t>
      </w:r>
      <w:r w:rsidR="005706F5" w:rsidRPr="007775ED">
        <w:rPr>
          <w:rFonts w:ascii="Times New Roman" w:hAnsi="Times New Roman" w:cs="Times New Roman"/>
          <w:b w:val="0"/>
          <w:bCs/>
          <w:sz w:val="24"/>
          <w:szCs w:val="24"/>
        </w:rPr>
        <w:t>os Pronunciamentos Técnicos do CPC</w:t>
      </w:r>
      <w:r w:rsidR="00953DE8" w:rsidRPr="007775ED">
        <w:rPr>
          <w:rFonts w:ascii="Times New Roman" w:hAnsi="Times New Roman" w:cs="Times New Roman"/>
          <w:b w:val="0"/>
          <w:bCs/>
          <w:sz w:val="24"/>
          <w:szCs w:val="24"/>
        </w:rPr>
        <w:t xml:space="preserve"> e </w:t>
      </w:r>
      <w:r w:rsidR="00B10E3F" w:rsidRPr="007775ED">
        <w:rPr>
          <w:rFonts w:ascii="Times New Roman" w:hAnsi="Times New Roman" w:cs="Times New Roman"/>
          <w:b w:val="0"/>
          <w:bCs/>
          <w:sz w:val="24"/>
          <w:szCs w:val="24"/>
        </w:rPr>
        <w:t xml:space="preserve">com </w:t>
      </w:r>
      <w:r w:rsidR="00953DE8" w:rsidRPr="007775ED">
        <w:rPr>
          <w:rFonts w:ascii="Times New Roman" w:hAnsi="Times New Roman" w:cs="Times New Roman"/>
          <w:b w:val="0"/>
          <w:bCs/>
          <w:sz w:val="24"/>
          <w:szCs w:val="24"/>
        </w:rPr>
        <w:t xml:space="preserve">os requisitos deste Pronunciamento Técnico deve fazer uma declaração explícita e sem ressalvas desse cumprimento nas notas explicativas. </w:t>
      </w: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que aplica este Pronunciamento Técnico deve afirmar, como parte dessa declaração sem ressalvas, que aplicou este Pronunciamento Técnico. </w:t>
      </w: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que aplica este Pronunciamento Técnico não deve descrever suas demonstrações contábeis como estando em conformidade com </w:t>
      </w:r>
      <w:r w:rsidR="005706F5" w:rsidRPr="007775ED">
        <w:rPr>
          <w:rFonts w:ascii="Times New Roman" w:hAnsi="Times New Roman" w:cs="Times New Roman"/>
          <w:b w:val="0"/>
          <w:bCs/>
          <w:sz w:val="24"/>
          <w:szCs w:val="24"/>
        </w:rPr>
        <w:t>os Pronunciamentos Técnicos do CPC</w:t>
      </w:r>
      <w:r w:rsidR="00953DE8" w:rsidRPr="007775ED">
        <w:rPr>
          <w:rFonts w:ascii="Times New Roman" w:hAnsi="Times New Roman" w:cs="Times New Roman"/>
          <w:b w:val="0"/>
          <w:bCs/>
          <w:sz w:val="24"/>
          <w:szCs w:val="24"/>
        </w:rPr>
        <w:t>, a menos que cumpra os requisitos deste Pronunciamento Técnico e todos os requisitos aplicáveis em outros Pronunciamentos Técnicos do CPC.</w:t>
      </w:r>
    </w:p>
    <w:p w14:paraId="3181DF8A" w14:textId="2DE60F59"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37 – Adoção Inicial das Normas Internacionais de Contabilidade</w:t>
      </w:r>
    </w:p>
    <w:p w14:paraId="5E697D7C" w14:textId="63A2C75D"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Explicação da transição para </w:t>
      </w:r>
      <w:r w:rsidR="005706F5" w:rsidRPr="007775ED">
        <w:rPr>
          <w:rFonts w:ascii="Times New Roman" w:hAnsi="Times New Roman" w:cs="Times New Roman"/>
          <w:b w:val="0"/>
          <w:bCs/>
          <w:i/>
          <w:iCs/>
          <w:sz w:val="24"/>
          <w:szCs w:val="24"/>
        </w:rPr>
        <w:t>os Pronunciamentos Técnicos do CPC</w:t>
      </w:r>
    </w:p>
    <w:p w14:paraId="0FFFDB69" w14:textId="01693736"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explicar de que forma a transição dos critérios contábeis anteriores para </w:t>
      </w:r>
      <w:r w:rsidR="00B10E3F" w:rsidRPr="007775ED">
        <w:rPr>
          <w:rFonts w:ascii="Times New Roman" w:hAnsi="Times New Roman" w:cs="Times New Roman"/>
          <w:b w:val="0"/>
          <w:bCs/>
          <w:sz w:val="24"/>
          <w:szCs w:val="24"/>
        </w:rPr>
        <w:t xml:space="preserve">os Pronunciamentos Técnicos do CPC afetou </w:t>
      </w:r>
      <w:r w:rsidRPr="007775ED">
        <w:rPr>
          <w:rFonts w:ascii="Times New Roman" w:hAnsi="Times New Roman" w:cs="Times New Roman"/>
          <w:b w:val="0"/>
          <w:bCs/>
          <w:sz w:val="24"/>
          <w:szCs w:val="24"/>
        </w:rPr>
        <w:t>sua posição patrimonial divulgada (balanço patrimonial), bem como seu desempenho econômico (demonstração do resultado) e financeiro (demonstração dos fluxos de caixa).</w:t>
      </w:r>
    </w:p>
    <w:p w14:paraId="65910B0E" w14:textId="0965B74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que adotou </w:t>
      </w:r>
      <w:r w:rsidR="00B10E3F"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xml:space="preserve"> em período anterior, como descrito no item 4A do CPC 37 deve divulgar:</w:t>
      </w:r>
    </w:p>
    <w:p w14:paraId="086215F8" w14:textId="0234A945" w:rsidR="00953DE8" w:rsidRPr="007775ED" w:rsidRDefault="001E315A" w:rsidP="007775ED">
      <w:pPr>
        <w:pStyle w:val="IASBSectionTitle1NonInd"/>
        <w:numPr>
          <w:ilvl w:val="0"/>
          <w:numId w:val="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w:t>
      </w:r>
      <w:r w:rsidR="00B10E3F"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 xml:space="preserve">motivo de ter parado de aplicar </w:t>
      </w:r>
      <w:r w:rsidR="00B10E3F" w:rsidRPr="007775ED">
        <w:rPr>
          <w:rFonts w:ascii="Times New Roman" w:hAnsi="Times New Roman" w:cs="Times New Roman"/>
          <w:b w:val="0"/>
          <w:bCs/>
          <w:sz w:val="24"/>
          <w:szCs w:val="24"/>
        </w:rPr>
        <w:t>os Pronu</w:t>
      </w:r>
      <w:r w:rsidRPr="007775ED">
        <w:rPr>
          <w:rFonts w:ascii="Times New Roman" w:hAnsi="Times New Roman" w:cs="Times New Roman"/>
          <w:b w:val="0"/>
          <w:bCs/>
          <w:sz w:val="24"/>
          <w:szCs w:val="24"/>
        </w:rPr>
        <w:t>nciamentos Técnicos do CPC</w:t>
      </w:r>
      <w:r w:rsidR="00953DE8" w:rsidRPr="007775ED">
        <w:rPr>
          <w:rFonts w:ascii="Times New Roman" w:hAnsi="Times New Roman" w:cs="Times New Roman"/>
          <w:b w:val="0"/>
          <w:bCs/>
          <w:sz w:val="24"/>
          <w:szCs w:val="24"/>
        </w:rPr>
        <w:t>; e</w:t>
      </w:r>
    </w:p>
    <w:p w14:paraId="35F18491" w14:textId="79AF6D2C" w:rsidR="00953DE8" w:rsidRPr="007775ED" w:rsidRDefault="00953DE8" w:rsidP="007775ED">
      <w:pPr>
        <w:pStyle w:val="IASBSectionTitle1NonInd"/>
        <w:numPr>
          <w:ilvl w:val="0"/>
          <w:numId w:val="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motivo de ter retomado a aplicação d</w:t>
      </w:r>
      <w:r w:rsidR="005706F5" w:rsidRPr="007775ED">
        <w:rPr>
          <w:rFonts w:ascii="Times New Roman" w:hAnsi="Times New Roman" w:cs="Times New Roman"/>
          <w:b w:val="0"/>
          <w:bCs/>
          <w:sz w:val="24"/>
          <w:szCs w:val="24"/>
        </w:rPr>
        <w:t>os Pronunciamentos Técnicos do CPC</w:t>
      </w:r>
      <w:r w:rsidR="001E315A" w:rsidRPr="007775ED">
        <w:rPr>
          <w:rFonts w:ascii="Times New Roman" w:hAnsi="Times New Roman" w:cs="Times New Roman"/>
          <w:b w:val="0"/>
          <w:bCs/>
          <w:sz w:val="24"/>
          <w:szCs w:val="24"/>
        </w:rPr>
        <w:t>.</w:t>
      </w:r>
    </w:p>
    <w:p w14:paraId="0D776E5E" w14:textId="48FB5EA9"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 entidade, de acordo com o item 4A CPC 37, decidir não aplicar o CPC 37, deve explicitar as razões para decidir aplicar </w:t>
      </w:r>
      <w:r w:rsidR="001E315A" w:rsidRPr="007775ED">
        <w:rPr>
          <w:rFonts w:ascii="Times New Roman" w:hAnsi="Times New Roman" w:cs="Times New Roman"/>
          <w:b w:val="0"/>
          <w:bCs/>
          <w:sz w:val="24"/>
          <w:szCs w:val="24"/>
        </w:rPr>
        <w:t xml:space="preserve">os Pronunciamentos Técnicos do CPC </w:t>
      </w:r>
      <w:r w:rsidRPr="007775ED">
        <w:rPr>
          <w:rFonts w:ascii="Times New Roman" w:hAnsi="Times New Roman" w:cs="Times New Roman"/>
          <w:b w:val="0"/>
          <w:bCs/>
          <w:sz w:val="24"/>
          <w:szCs w:val="24"/>
        </w:rPr>
        <w:t>como se nunca tivesse parado de aplicá-las.</w:t>
      </w:r>
    </w:p>
    <w:p w14:paraId="39D1CEC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Conciliações</w:t>
      </w:r>
    </w:p>
    <w:p w14:paraId="40F5D4AC" w14:textId="73EE080C"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cumprir com o disposto no item 21, as primeiras demonstrações contábeis da entidade em </w:t>
      </w:r>
      <w:r w:rsidR="001E315A" w:rsidRPr="007775ED">
        <w:rPr>
          <w:rFonts w:ascii="Times New Roman" w:hAnsi="Times New Roman" w:cs="Times New Roman"/>
          <w:b w:val="0"/>
          <w:bCs/>
          <w:sz w:val="24"/>
          <w:szCs w:val="24"/>
        </w:rPr>
        <w:t xml:space="preserve">conformidade com os Pronunciamentos Técnicos do CPC </w:t>
      </w:r>
      <w:r w:rsidRPr="007775ED">
        <w:rPr>
          <w:rFonts w:ascii="Times New Roman" w:hAnsi="Times New Roman" w:cs="Times New Roman"/>
          <w:b w:val="0"/>
          <w:bCs/>
          <w:sz w:val="24"/>
          <w:szCs w:val="24"/>
        </w:rPr>
        <w:t>devem incluir:</w:t>
      </w:r>
    </w:p>
    <w:p w14:paraId="31ECAF6A" w14:textId="6CFE3638" w:rsidR="00953DE8" w:rsidRPr="007775ED" w:rsidRDefault="00953DE8" w:rsidP="007775ED">
      <w:pPr>
        <w:pStyle w:val="IASBSectionTitle1NonInd"/>
        <w:numPr>
          <w:ilvl w:val="0"/>
          <w:numId w:val="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as conciliações do patrimônio líquido divulgado pelos critérios contábeis anteriores em relação ao patrimônio líquido de acordo com </w:t>
      </w:r>
      <w:r w:rsidR="001E315A" w:rsidRPr="007775ED">
        <w:rPr>
          <w:rFonts w:ascii="Times New Roman" w:hAnsi="Times New Roman" w:cs="Times New Roman"/>
          <w:b w:val="0"/>
          <w:bCs/>
          <w:sz w:val="24"/>
          <w:szCs w:val="24"/>
        </w:rPr>
        <w:t xml:space="preserve">os Pronunciamentos Técnicos do CPC </w:t>
      </w:r>
      <w:r w:rsidRPr="007775ED">
        <w:rPr>
          <w:rFonts w:ascii="Times New Roman" w:hAnsi="Times New Roman" w:cs="Times New Roman"/>
          <w:b w:val="0"/>
          <w:bCs/>
          <w:sz w:val="24"/>
          <w:szCs w:val="24"/>
        </w:rPr>
        <w:t>para ambas as datas a seguir:</w:t>
      </w:r>
    </w:p>
    <w:p w14:paraId="601242AF" w14:textId="59AF5851" w:rsidR="00953DE8" w:rsidRPr="007775ED" w:rsidRDefault="00953DE8" w:rsidP="007775ED">
      <w:pPr>
        <w:pStyle w:val="IASBSectionTitle1NonInd"/>
        <w:numPr>
          <w:ilvl w:val="0"/>
          <w:numId w:val="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data de transição para </w:t>
      </w:r>
      <w:r w:rsidR="001E315A"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e</w:t>
      </w:r>
    </w:p>
    <w:p w14:paraId="379510DC" w14:textId="6AFD0C6A" w:rsidR="00953DE8" w:rsidRPr="007775ED" w:rsidRDefault="00953DE8" w:rsidP="007775ED">
      <w:pPr>
        <w:pStyle w:val="IASBSectionTitle1NonInd"/>
        <w:numPr>
          <w:ilvl w:val="0"/>
          <w:numId w:val="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final do último período apresentado nas demonstrações contábeis anuais mais recentes da entidade pelos critérios contábeis anteriores.</w:t>
      </w:r>
    </w:p>
    <w:p w14:paraId="6CB4A73A" w14:textId="1243CFAB" w:rsidR="00953DE8" w:rsidRPr="007775ED" w:rsidRDefault="00953DE8" w:rsidP="007775ED">
      <w:pPr>
        <w:pStyle w:val="IASBSectionTitle1NonInd"/>
        <w:numPr>
          <w:ilvl w:val="0"/>
          <w:numId w:val="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conciliação do </w:t>
      </w:r>
      <w:r w:rsidR="001E315A" w:rsidRPr="007775ED">
        <w:rPr>
          <w:rFonts w:ascii="Times New Roman" w:hAnsi="Times New Roman" w:cs="Times New Roman"/>
          <w:b w:val="0"/>
          <w:bCs/>
          <w:sz w:val="24"/>
          <w:szCs w:val="24"/>
        </w:rPr>
        <w:t xml:space="preserve">resultado abrangente total </w:t>
      </w:r>
      <w:r w:rsidRPr="007775ED">
        <w:rPr>
          <w:rFonts w:ascii="Times New Roman" w:hAnsi="Times New Roman" w:cs="Times New Roman"/>
          <w:b w:val="0"/>
          <w:bCs/>
          <w:sz w:val="24"/>
          <w:szCs w:val="24"/>
        </w:rPr>
        <w:t xml:space="preserve">de acordo com </w:t>
      </w:r>
      <w:r w:rsidR="001E315A" w:rsidRPr="007775ED">
        <w:rPr>
          <w:rFonts w:ascii="Times New Roman" w:hAnsi="Times New Roman" w:cs="Times New Roman"/>
          <w:b w:val="0"/>
          <w:bCs/>
          <w:sz w:val="24"/>
          <w:szCs w:val="24"/>
        </w:rPr>
        <w:t xml:space="preserve">os Pronunciamentos Técnicos do CPC </w:t>
      </w:r>
      <w:r w:rsidRPr="007775ED">
        <w:rPr>
          <w:rFonts w:ascii="Times New Roman" w:hAnsi="Times New Roman" w:cs="Times New Roman"/>
          <w:b w:val="0"/>
          <w:bCs/>
          <w:sz w:val="24"/>
          <w:szCs w:val="24"/>
        </w:rPr>
        <w:t xml:space="preserve">para o último período apresentado nas demonstrações contábeis anuais mais recentes da entidade. O ponto de partida para essa conciliação deve ser o </w:t>
      </w:r>
      <w:r w:rsidR="001E315A" w:rsidRPr="007775ED">
        <w:rPr>
          <w:rFonts w:ascii="Times New Roman" w:hAnsi="Times New Roman" w:cs="Times New Roman"/>
          <w:b w:val="0"/>
          <w:bCs/>
          <w:sz w:val="24"/>
          <w:szCs w:val="24"/>
        </w:rPr>
        <w:t xml:space="preserve">resultado abrangente total </w:t>
      </w:r>
      <w:r w:rsidRPr="007775ED">
        <w:rPr>
          <w:rFonts w:ascii="Times New Roman" w:hAnsi="Times New Roman" w:cs="Times New Roman"/>
          <w:b w:val="0"/>
          <w:bCs/>
          <w:sz w:val="24"/>
          <w:szCs w:val="24"/>
        </w:rPr>
        <w:t>de acordo com os critérios contábeis anteriores para o mesmo período</w:t>
      </w:r>
      <w:r w:rsidR="001E315A" w:rsidRPr="007775ED">
        <w:rPr>
          <w:rFonts w:ascii="Times New Roman" w:hAnsi="Times New Roman" w:cs="Times New Roman"/>
          <w:b w:val="0"/>
          <w:bCs/>
          <w:sz w:val="24"/>
          <w:szCs w:val="24"/>
        </w:rPr>
        <w:t xml:space="preserve"> ou, se a entidade não reportou este totalizador, o lucro ou prejuízo líquido de acordo com os critérios contábeis anteriores</w:t>
      </w:r>
      <w:r w:rsidRPr="007775ED">
        <w:rPr>
          <w:rFonts w:ascii="Times New Roman" w:hAnsi="Times New Roman" w:cs="Times New Roman"/>
          <w:b w:val="0"/>
          <w:bCs/>
          <w:sz w:val="24"/>
          <w:szCs w:val="24"/>
        </w:rPr>
        <w:t>;</w:t>
      </w:r>
    </w:p>
    <w:p w14:paraId="69805E12" w14:textId="3E627FF6"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Se a entidade perceber que ocorreram erros sob os critérios contábeis anteriores, as conciliações exigidas pelo item 24 devem distinguir a correção desses erros das mudanças de políticas contábeis.</w:t>
      </w:r>
    </w:p>
    <w:p w14:paraId="7CA5B812" w14:textId="60F650B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durante o período relativo às primeiras demonstrações contábeis de acordo com </w:t>
      </w:r>
      <w:r w:rsidR="001E315A" w:rsidRPr="007775ED">
        <w:rPr>
          <w:rFonts w:ascii="Times New Roman" w:hAnsi="Times New Roman" w:cs="Times New Roman"/>
          <w:b w:val="0"/>
          <w:bCs/>
          <w:sz w:val="24"/>
          <w:szCs w:val="24"/>
        </w:rPr>
        <w:t>os Pronunciamentos Contábeis do CPC</w:t>
      </w:r>
      <w:r w:rsidRPr="007775ED">
        <w:rPr>
          <w:rFonts w:ascii="Times New Roman" w:hAnsi="Times New Roman" w:cs="Times New Roman"/>
          <w:b w:val="0"/>
          <w:bCs/>
          <w:sz w:val="24"/>
          <w:szCs w:val="24"/>
        </w:rPr>
        <w:t xml:space="preserve">, a entidade mudar suas políticas contábeis ou o uso das isenções contidas no CPC 37, ela deve explicar as mudanças entre </w:t>
      </w:r>
      <w:r w:rsidR="00FC1025" w:rsidRPr="007775ED">
        <w:rPr>
          <w:rFonts w:ascii="Times New Roman" w:hAnsi="Times New Roman" w:cs="Times New Roman"/>
          <w:b w:val="0"/>
          <w:bCs/>
          <w:sz w:val="24"/>
          <w:szCs w:val="24"/>
        </w:rPr>
        <w:t xml:space="preserve">sua primeira demonstração contábil intermediária de acordo com os Pronunciamentos Técnicos do CPC </w:t>
      </w:r>
      <w:r w:rsidRPr="007775ED">
        <w:rPr>
          <w:rFonts w:ascii="Times New Roman" w:hAnsi="Times New Roman" w:cs="Times New Roman"/>
          <w:b w:val="0"/>
          <w:bCs/>
          <w:sz w:val="24"/>
          <w:szCs w:val="24"/>
        </w:rPr>
        <w:t xml:space="preserve">e suas primeiras demonstrações contábeis de acordo com </w:t>
      </w:r>
      <w:r w:rsidR="00FC102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conforme item 21, e deve atualizar as conciliações requeridas pelo item 24.</w:t>
      </w:r>
    </w:p>
    <w:p w14:paraId="7C937B14" w14:textId="7B2A4156"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a entidade não tiver apresentado demonstrações contábeis para períodos anteriores, suas primeiras demonstrações contábeis </w:t>
      </w:r>
      <w:r w:rsidR="00FC1025" w:rsidRPr="007775ED">
        <w:rPr>
          <w:rFonts w:ascii="Times New Roman" w:hAnsi="Times New Roman" w:cs="Times New Roman"/>
          <w:b w:val="0"/>
          <w:bCs/>
          <w:sz w:val="24"/>
          <w:szCs w:val="24"/>
        </w:rPr>
        <w:t xml:space="preserve">de acordo com os Pronunciamentos Técnicos do CPC </w:t>
      </w:r>
      <w:r w:rsidRPr="007775ED">
        <w:rPr>
          <w:rFonts w:ascii="Times New Roman" w:hAnsi="Times New Roman" w:cs="Times New Roman"/>
          <w:b w:val="0"/>
          <w:bCs/>
          <w:sz w:val="24"/>
          <w:szCs w:val="24"/>
        </w:rPr>
        <w:t>devem evidenciar tal fato.</w:t>
      </w:r>
    </w:p>
    <w:p w14:paraId="40E5A7E0"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Demonstrações contábeis intermediárias</w:t>
      </w:r>
    </w:p>
    <w:p w14:paraId="45660EB9" w14:textId="2524CB1B"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cumprir com o disposto no item 21, </w:t>
      </w:r>
      <w:r w:rsidR="00FC1025" w:rsidRPr="007775ED">
        <w:rPr>
          <w:rFonts w:ascii="Times New Roman" w:hAnsi="Times New Roman" w:cs="Times New Roman"/>
          <w:b w:val="0"/>
          <w:bCs/>
          <w:sz w:val="24"/>
          <w:szCs w:val="24"/>
        </w:rPr>
        <w:t xml:space="preserve">se </w:t>
      </w:r>
      <w:r w:rsidRPr="007775ED">
        <w:rPr>
          <w:rFonts w:ascii="Times New Roman" w:hAnsi="Times New Roman" w:cs="Times New Roman"/>
          <w:b w:val="0"/>
          <w:bCs/>
          <w:sz w:val="24"/>
          <w:szCs w:val="24"/>
        </w:rPr>
        <w:t xml:space="preserve">a entidade apresenta suas demonstrações contábeis intermediárias de acordo com </w:t>
      </w:r>
      <w:r w:rsidR="00FC1025" w:rsidRPr="007775ED">
        <w:rPr>
          <w:rFonts w:ascii="Times New Roman" w:hAnsi="Times New Roman" w:cs="Times New Roman"/>
          <w:b w:val="0"/>
          <w:bCs/>
          <w:sz w:val="24"/>
          <w:szCs w:val="24"/>
        </w:rPr>
        <w:t xml:space="preserve">o </w:t>
      </w:r>
      <w:r w:rsidRPr="007775ED">
        <w:rPr>
          <w:rFonts w:ascii="Times New Roman" w:hAnsi="Times New Roman" w:cs="Times New Roman"/>
          <w:b w:val="0"/>
          <w:bCs/>
          <w:sz w:val="24"/>
          <w:szCs w:val="24"/>
        </w:rPr>
        <w:t>Pronunciamento Técnico CPC 21 – Demonstração Intermediária</w:t>
      </w:r>
      <w:r w:rsidR="00FC1025"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 xml:space="preserve">para parte do período coberto pelas suas primeiras demonstrações contábeis </w:t>
      </w:r>
      <w:r w:rsidR="00FC1025" w:rsidRPr="007775ED">
        <w:rPr>
          <w:rFonts w:ascii="Times New Roman" w:hAnsi="Times New Roman" w:cs="Times New Roman"/>
          <w:b w:val="0"/>
          <w:bCs/>
          <w:sz w:val="24"/>
          <w:szCs w:val="24"/>
        </w:rPr>
        <w:t>de acordo com os Pronunciamentos Técnicos do CPC</w:t>
      </w:r>
      <w:r w:rsidRPr="007775ED">
        <w:rPr>
          <w:rFonts w:ascii="Times New Roman" w:hAnsi="Times New Roman" w:cs="Times New Roman"/>
          <w:b w:val="0"/>
          <w:bCs/>
          <w:sz w:val="24"/>
          <w:szCs w:val="24"/>
        </w:rPr>
        <w:t>, a entidade deve atender</w:t>
      </w:r>
      <w:r w:rsidR="00FC1025" w:rsidRPr="007775ED">
        <w:rPr>
          <w:rFonts w:ascii="Times New Roman" w:hAnsi="Times New Roman" w:cs="Times New Roman"/>
          <w:b w:val="0"/>
          <w:bCs/>
          <w:sz w:val="24"/>
          <w:szCs w:val="24"/>
        </w:rPr>
        <w:t xml:space="preserve"> a</w:t>
      </w:r>
      <w:r w:rsidRPr="007775ED">
        <w:rPr>
          <w:rFonts w:ascii="Times New Roman" w:hAnsi="Times New Roman" w:cs="Times New Roman"/>
          <w:b w:val="0"/>
          <w:bCs/>
          <w:sz w:val="24"/>
          <w:szCs w:val="24"/>
        </w:rPr>
        <w:t>os requisitos d</w:t>
      </w:r>
      <w:r w:rsidR="00FC1025" w:rsidRPr="007775ED">
        <w:rPr>
          <w:rFonts w:ascii="Times New Roman" w:hAnsi="Times New Roman" w:cs="Times New Roman"/>
          <w:b w:val="0"/>
          <w:bCs/>
          <w:sz w:val="24"/>
          <w:szCs w:val="24"/>
        </w:rPr>
        <w:t xml:space="preserve">o </w:t>
      </w:r>
      <w:r w:rsidRPr="007775ED">
        <w:rPr>
          <w:rFonts w:ascii="Times New Roman" w:hAnsi="Times New Roman" w:cs="Times New Roman"/>
          <w:b w:val="0"/>
          <w:bCs/>
          <w:sz w:val="24"/>
          <w:szCs w:val="24"/>
        </w:rPr>
        <w:t>CPC 21, salvo se de outro modo declarado, bem como as seguintes exigências:</w:t>
      </w:r>
    </w:p>
    <w:p w14:paraId="774F9A95" w14:textId="3FC8727C" w:rsidR="00953DE8" w:rsidRPr="007775ED" w:rsidRDefault="00953DE8" w:rsidP="007775ED">
      <w:pPr>
        <w:pStyle w:val="IASBSectionTitle1NonInd"/>
        <w:numPr>
          <w:ilvl w:val="0"/>
          <w:numId w:val="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tiver demonstrações contábeis intermediárias para o período comparável do exercício social imediatamente anterior, cada divulgação intermediária deve incluir:</w:t>
      </w:r>
    </w:p>
    <w:p w14:paraId="43EA3BFE" w14:textId="4FC0E9DF" w:rsidR="00953DE8" w:rsidRPr="007775ED" w:rsidRDefault="00953DE8" w:rsidP="007775ED">
      <w:pPr>
        <w:pStyle w:val="IASBSectionTitle1NonInd"/>
        <w:numPr>
          <w:ilvl w:val="0"/>
          <w:numId w:val="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conciliação do patrimônio líquido de acordo com os critérios contábeis anteriores ao </w:t>
      </w:r>
      <w:r w:rsidR="00FC1025" w:rsidRPr="007775ED">
        <w:rPr>
          <w:rFonts w:ascii="Times New Roman" w:hAnsi="Times New Roman" w:cs="Times New Roman"/>
          <w:b w:val="0"/>
          <w:bCs/>
          <w:sz w:val="24"/>
          <w:szCs w:val="24"/>
        </w:rPr>
        <w:t xml:space="preserve">final </w:t>
      </w:r>
      <w:r w:rsidRPr="007775ED">
        <w:rPr>
          <w:rFonts w:ascii="Times New Roman" w:hAnsi="Times New Roman" w:cs="Times New Roman"/>
          <w:b w:val="0"/>
          <w:bCs/>
          <w:sz w:val="24"/>
          <w:szCs w:val="24"/>
        </w:rPr>
        <w:t xml:space="preserve">daquele período intermediário comparável em relação ao patrimônio líquido </w:t>
      </w:r>
      <w:r w:rsidR="00FC1025" w:rsidRPr="007775ED">
        <w:rPr>
          <w:rFonts w:ascii="Times New Roman" w:hAnsi="Times New Roman" w:cs="Times New Roman"/>
          <w:b w:val="0"/>
          <w:bCs/>
          <w:sz w:val="24"/>
          <w:szCs w:val="24"/>
        </w:rPr>
        <w:t>de acordo com os Pronunciamentos Técnicos do CPC</w:t>
      </w:r>
      <w:r w:rsidRPr="007775ED">
        <w:rPr>
          <w:rFonts w:ascii="Times New Roman" w:hAnsi="Times New Roman" w:cs="Times New Roman"/>
          <w:b w:val="0"/>
          <w:bCs/>
          <w:sz w:val="24"/>
          <w:szCs w:val="24"/>
        </w:rPr>
        <w:t xml:space="preserve"> naquela data; e</w:t>
      </w:r>
    </w:p>
    <w:p w14:paraId="0C0C4E7A" w14:textId="39002558" w:rsidR="00953DE8" w:rsidRPr="007775ED" w:rsidRDefault="00953DE8" w:rsidP="007775ED">
      <w:pPr>
        <w:pStyle w:val="IASBSectionTitle1NonInd"/>
        <w:numPr>
          <w:ilvl w:val="0"/>
          <w:numId w:val="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conciliação do </w:t>
      </w:r>
      <w:r w:rsidR="00FC1025" w:rsidRPr="007775ED">
        <w:rPr>
          <w:rFonts w:ascii="Times New Roman" w:hAnsi="Times New Roman" w:cs="Times New Roman"/>
          <w:b w:val="0"/>
          <w:bCs/>
          <w:sz w:val="24"/>
          <w:szCs w:val="24"/>
        </w:rPr>
        <w:t xml:space="preserve">resultado abrangente total </w:t>
      </w:r>
      <w:r w:rsidRPr="007775ED">
        <w:rPr>
          <w:rFonts w:ascii="Times New Roman" w:hAnsi="Times New Roman" w:cs="Times New Roman"/>
          <w:b w:val="0"/>
          <w:bCs/>
          <w:sz w:val="24"/>
          <w:szCs w:val="24"/>
        </w:rPr>
        <w:t xml:space="preserve">de acordo com </w:t>
      </w:r>
      <w:r w:rsidR="00FC1025" w:rsidRPr="007775ED">
        <w:rPr>
          <w:rFonts w:ascii="Times New Roman" w:hAnsi="Times New Roman" w:cs="Times New Roman"/>
          <w:b w:val="0"/>
          <w:bCs/>
          <w:sz w:val="24"/>
          <w:szCs w:val="24"/>
        </w:rPr>
        <w:t xml:space="preserve">os Pronunciamentos Técnicos do CPC </w:t>
      </w:r>
      <w:r w:rsidRPr="007775ED">
        <w:rPr>
          <w:rFonts w:ascii="Times New Roman" w:hAnsi="Times New Roman" w:cs="Times New Roman"/>
          <w:b w:val="0"/>
          <w:bCs/>
          <w:sz w:val="24"/>
          <w:szCs w:val="24"/>
        </w:rPr>
        <w:t>para aquele período intermediário comparável (</w:t>
      </w:r>
      <w:r w:rsidR="00D247D8">
        <w:rPr>
          <w:rFonts w:ascii="Times New Roman" w:hAnsi="Times New Roman" w:cs="Times New Roman"/>
          <w:b w:val="0"/>
          <w:bCs/>
          <w:sz w:val="24"/>
          <w:szCs w:val="24"/>
        </w:rPr>
        <w:t xml:space="preserve">período corrente e acumulado </w:t>
      </w:r>
      <w:r w:rsidR="004603AD">
        <w:rPr>
          <w:rFonts w:ascii="Times New Roman" w:hAnsi="Times New Roman" w:cs="Times New Roman"/>
          <w:b w:val="0"/>
          <w:bCs/>
          <w:sz w:val="24"/>
          <w:szCs w:val="24"/>
        </w:rPr>
        <w:t>n</w:t>
      </w:r>
      <w:r w:rsidR="00D247D8">
        <w:rPr>
          <w:rFonts w:ascii="Times New Roman" w:hAnsi="Times New Roman" w:cs="Times New Roman"/>
          <w:b w:val="0"/>
          <w:bCs/>
          <w:sz w:val="24"/>
          <w:szCs w:val="24"/>
        </w:rPr>
        <w:t>o ano</w:t>
      </w:r>
      <w:r w:rsidRPr="007775ED">
        <w:rPr>
          <w:rFonts w:ascii="Times New Roman" w:hAnsi="Times New Roman" w:cs="Times New Roman"/>
          <w:b w:val="0"/>
          <w:bCs/>
          <w:sz w:val="24"/>
          <w:szCs w:val="24"/>
        </w:rPr>
        <w:t xml:space="preserve">). O ponto de partida para essa conciliação deve ser o </w:t>
      </w:r>
      <w:r w:rsidR="00FC1025" w:rsidRPr="007775ED">
        <w:rPr>
          <w:rFonts w:ascii="Times New Roman" w:hAnsi="Times New Roman" w:cs="Times New Roman"/>
          <w:b w:val="0"/>
          <w:bCs/>
          <w:sz w:val="24"/>
          <w:szCs w:val="24"/>
        </w:rPr>
        <w:t xml:space="preserve">resultado abrangente total </w:t>
      </w:r>
      <w:r w:rsidRPr="007775ED">
        <w:rPr>
          <w:rFonts w:ascii="Times New Roman" w:hAnsi="Times New Roman" w:cs="Times New Roman"/>
          <w:b w:val="0"/>
          <w:bCs/>
          <w:sz w:val="24"/>
          <w:szCs w:val="24"/>
        </w:rPr>
        <w:t xml:space="preserve">de acordo com os critérios contábeis anteriores para aquele período ou, quando a entidade não o apresentar em seu total, o lucro ou o prejuízo </w:t>
      </w:r>
      <w:r w:rsidR="00FC1025" w:rsidRPr="007775ED">
        <w:rPr>
          <w:rFonts w:ascii="Times New Roman" w:hAnsi="Times New Roman" w:cs="Times New Roman"/>
          <w:b w:val="0"/>
          <w:bCs/>
          <w:sz w:val="24"/>
          <w:szCs w:val="24"/>
        </w:rPr>
        <w:t xml:space="preserve">líquido </w:t>
      </w:r>
      <w:r w:rsidRPr="007775ED">
        <w:rPr>
          <w:rFonts w:ascii="Times New Roman" w:hAnsi="Times New Roman" w:cs="Times New Roman"/>
          <w:b w:val="0"/>
          <w:bCs/>
          <w:sz w:val="24"/>
          <w:szCs w:val="24"/>
        </w:rPr>
        <w:t>de acordo com os critérios contábeis anteriores.</w:t>
      </w:r>
    </w:p>
    <w:p w14:paraId="4F2B5192" w14:textId="3C32F9CD" w:rsidR="00953DE8" w:rsidRPr="007775ED" w:rsidRDefault="00953DE8" w:rsidP="007775ED">
      <w:pPr>
        <w:pStyle w:val="IASBSectionTitle1NonInd"/>
        <w:numPr>
          <w:ilvl w:val="0"/>
          <w:numId w:val="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adicionalmente à conciliação exigida no item (a), as primeiras demonstrações contábeis intermediárias da entidade de acordo com </w:t>
      </w:r>
      <w:r w:rsidR="00D518C7" w:rsidRPr="007775ED">
        <w:rPr>
          <w:rFonts w:ascii="Times New Roman" w:hAnsi="Times New Roman" w:cs="Times New Roman"/>
          <w:b w:val="0"/>
          <w:bCs/>
          <w:sz w:val="24"/>
          <w:szCs w:val="24"/>
        </w:rPr>
        <w:t xml:space="preserve">o </w:t>
      </w:r>
      <w:r w:rsidRPr="007775ED">
        <w:rPr>
          <w:rFonts w:ascii="Times New Roman" w:hAnsi="Times New Roman" w:cs="Times New Roman"/>
          <w:b w:val="0"/>
          <w:bCs/>
          <w:sz w:val="24"/>
          <w:szCs w:val="24"/>
        </w:rPr>
        <w:t>CPC 21</w:t>
      </w:r>
      <w:r w:rsidR="00D518C7"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 xml:space="preserve">para parte do período coberto por suas primeiras demonstrações contábeis </w:t>
      </w:r>
      <w:r w:rsidR="00D518C7" w:rsidRPr="007775ED">
        <w:rPr>
          <w:rFonts w:ascii="Times New Roman" w:hAnsi="Times New Roman" w:cs="Times New Roman"/>
          <w:b w:val="0"/>
          <w:bCs/>
          <w:sz w:val="24"/>
          <w:szCs w:val="24"/>
        </w:rPr>
        <w:t xml:space="preserve">de acordo com os Pronunciamentos Técnicos do CPC </w:t>
      </w:r>
      <w:r w:rsidRPr="007775ED">
        <w:rPr>
          <w:rFonts w:ascii="Times New Roman" w:hAnsi="Times New Roman" w:cs="Times New Roman"/>
          <w:b w:val="0"/>
          <w:bCs/>
          <w:sz w:val="24"/>
          <w:szCs w:val="24"/>
        </w:rPr>
        <w:t>devem incluir as conciliações descritas no item 24 (complementadas pelos detalhamentos exigidos pelo item 25) ou devem incluir referência cruzada a outro documento publicado que inclua essas conciliações;</w:t>
      </w:r>
      <w:r w:rsidR="00D518C7" w:rsidRPr="007775ED">
        <w:rPr>
          <w:rFonts w:ascii="Times New Roman" w:hAnsi="Times New Roman" w:cs="Times New Roman"/>
          <w:b w:val="0"/>
          <w:bCs/>
          <w:sz w:val="24"/>
          <w:szCs w:val="24"/>
        </w:rPr>
        <w:t xml:space="preserve"> e</w:t>
      </w:r>
    </w:p>
    <w:p w14:paraId="4BE5312B" w14:textId="19194229" w:rsidR="00953DE8" w:rsidRPr="007775ED" w:rsidRDefault="00953DE8" w:rsidP="007775ED">
      <w:pPr>
        <w:pStyle w:val="IASBSectionTitle1NonInd"/>
        <w:numPr>
          <w:ilvl w:val="0"/>
          <w:numId w:val="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se a entidade </w:t>
      </w:r>
      <w:r w:rsidR="00D518C7" w:rsidRPr="007775ED">
        <w:rPr>
          <w:rFonts w:ascii="Times New Roman" w:hAnsi="Times New Roman" w:cs="Times New Roman"/>
          <w:b w:val="0"/>
          <w:bCs/>
          <w:sz w:val="24"/>
          <w:szCs w:val="24"/>
        </w:rPr>
        <w:t xml:space="preserve">alterar </w:t>
      </w:r>
      <w:r w:rsidRPr="007775ED">
        <w:rPr>
          <w:rFonts w:ascii="Times New Roman" w:hAnsi="Times New Roman" w:cs="Times New Roman"/>
          <w:b w:val="0"/>
          <w:bCs/>
          <w:sz w:val="24"/>
          <w:szCs w:val="24"/>
        </w:rPr>
        <w:t>suas políticas contábeis ou seu uso de isenções contidas no CPC 37, ela deve explicar as mudanças em cada uma das demonstrações contábeis intermediárias de acordo com o item 21 e deve atualizar as conciliações requeridas nos itens (a) e (b).</w:t>
      </w:r>
    </w:p>
    <w:p w14:paraId="329C2460" w14:textId="06E25165"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um adotante pela primeira vez não tiver evidenciado, em suas demonstrações contábeis anuais mais recentes pelos critérios contábeis anteriores, informação relevante para o entendimento do período corrente intermediário, essa demonstração contábil intermediária deve evidenciar tal informação, ou então deve incluir referência cruzada a outro documento publicado que inclua tal informação.</w:t>
      </w:r>
    </w:p>
    <w:p w14:paraId="2B2C43FA" w14:textId="6CC580D2"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no CPC 37 que continuam aplicáveis</w:t>
      </w:r>
    </w:p>
    <w:p w14:paraId="5C38A423" w14:textId="500A84BE"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aplica o item D2 do CPC 37, ela deve aplicar os requisitos de divulgação desse item.</w:t>
      </w:r>
    </w:p>
    <w:p w14:paraId="03FDB626" w14:textId="45FD0152"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10 – Pagamento Baseado em Ações</w:t>
      </w:r>
    </w:p>
    <w:p w14:paraId="374184B4" w14:textId="44AB3AE4"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678CD05E" w14:textId="33AFF23C" w:rsidR="00953DE8" w:rsidRPr="007775ED" w:rsidRDefault="00953DE8" w:rsidP="007775ED">
      <w:pPr>
        <w:pStyle w:val="IASBSectionTitle1NonInd"/>
        <w:numPr>
          <w:ilvl w:val="0"/>
          <w:numId w:val="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descrição de cada tipo de acordo com pagamento baseado em ações que vigorou em algum momento do período de reporte, incluindo, para cada acordo, os termos e condições gerais, tais como os requisitos de aquisição de direito, o prazo máximo das opções outorgadas e o método de liquidação (se em caixa ou em instrumentos patrimoniais). A entidade com tipos substancialmente similares de acordos com pagamento baseado em ações pode agregar essa informação.</w:t>
      </w:r>
    </w:p>
    <w:p w14:paraId="2022A454" w14:textId="6F75310A" w:rsidR="00953DE8" w:rsidRPr="007775ED" w:rsidRDefault="00953DE8" w:rsidP="007775ED">
      <w:pPr>
        <w:pStyle w:val="IASBSectionTitle1NonInd"/>
        <w:numPr>
          <w:ilvl w:val="0"/>
          <w:numId w:val="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quantidade e o preço médio ponderado de exercício das opções de ações </w:t>
      </w:r>
      <w:r w:rsidR="00F5541C" w:rsidRPr="007775ED">
        <w:rPr>
          <w:rFonts w:ascii="Times New Roman" w:hAnsi="Times New Roman" w:cs="Times New Roman"/>
          <w:b w:val="0"/>
          <w:bCs/>
          <w:sz w:val="24"/>
          <w:szCs w:val="24"/>
        </w:rPr>
        <w:t xml:space="preserve">para </w:t>
      </w:r>
      <w:r w:rsidRPr="007775ED">
        <w:rPr>
          <w:rFonts w:ascii="Times New Roman" w:hAnsi="Times New Roman" w:cs="Times New Roman"/>
          <w:b w:val="0"/>
          <w:bCs/>
          <w:sz w:val="24"/>
          <w:szCs w:val="24"/>
        </w:rPr>
        <w:t xml:space="preserve">cada um </w:t>
      </w:r>
      <w:r w:rsidR="00F5541C" w:rsidRPr="007775ED">
        <w:rPr>
          <w:rFonts w:ascii="Times New Roman" w:hAnsi="Times New Roman" w:cs="Times New Roman"/>
          <w:b w:val="0"/>
          <w:bCs/>
          <w:sz w:val="24"/>
          <w:szCs w:val="24"/>
        </w:rPr>
        <w:t xml:space="preserve">dos seguintes </w:t>
      </w:r>
      <w:r w:rsidRPr="007775ED">
        <w:rPr>
          <w:rFonts w:ascii="Times New Roman" w:hAnsi="Times New Roman" w:cs="Times New Roman"/>
          <w:b w:val="0"/>
          <w:bCs/>
          <w:sz w:val="24"/>
          <w:szCs w:val="24"/>
        </w:rPr>
        <w:t>grupos de opções:</w:t>
      </w:r>
    </w:p>
    <w:p w14:paraId="6C06FFDB" w14:textId="2DCE4EE6"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circulação no início do período de reporte;</w:t>
      </w:r>
    </w:p>
    <w:p w14:paraId="6392707D" w14:textId="6BE6F8C7"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outorgadas durante o período;</w:t>
      </w:r>
    </w:p>
    <w:p w14:paraId="03F25609" w14:textId="606777FE"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 direito prescrito durante o período;</w:t>
      </w:r>
    </w:p>
    <w:p w14:paraId="02DB5CF5" w14:textId="18CB97E1"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exercidas durante o período;</w:t>
      </w:r>
    </w:p>
    <w:p w14:paraId="3489D3A2" w14:textId="7C57A5B0"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expiradas durante o período;</w:t>
      </w:r>
    </w:p>
    <w:p w14:paraId="2688C346" w14:textId="2ABD634E"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circulação no final do período; e</w:t>
      </w:r>
    </w:p>
    <w:p w14:paraId="67B8219B" w14:textId="69B36BC2" w:rsidR="00953DE8" w:rsidRPr="007775ED" w:rsidRDefault="00953DE8" w:rsidP="00684511">
      <w:pPr>
        <w:pStyle w:val="IASBSectionTitle1NonInd"/>
        <w:numPr>
          <w:ilvl w:val="0"/>
          <w:numId w:val="3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exercíveis no final do período.</w:t>
      </w:r>
    </w:p>
    <w:p w14:paraId="1DEE1499" w14:textId="31418F9D"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informações que permitam aos usuários das demonstrações contábeis entender como foi determinado, durante o período de reporte, o valor justo dos produtos ou serviços recebidos ou o valor justo dos instrumentos patrimoniais outorgados.</w:t>
      </w:r>
    </w:p>
    <w:p w14:paraId="5198EA87" w14:textId="08F38DBA"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acordos de pagamento baseado em ações que foram modificados durante o período de reporte, a entidade deve explicar essas modificações.</w:t>
      </w:r>
    </w:p>
    <w:p w14:paraId="726A18AD" w14:textId="01EADACE"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entidade deve divulgar:</w:t>
      </w:r>
    </w:p>
    <w:p w14:paraId="6B41AAAB" w14:textId="37B52EE9" w:rsidR="00953DE8" w:rsidRPr="007775ED" w:rsidRDefault="00953DE8" w:rsidP="007775ED">
      <w:pPr>
        <w:pStyle w:val="IASBSectionTitle1NonInd"/>
        <w:numPr>
          <w:ilvl w:val="0"/>
          <w:numId w:val="10"/>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o</w:t>
      </w:r>
      <w:proofErr w:type="spellEnd"/>
      <w:r w:rsidRPr="007775ED">
        <w:rPr>
          <w:rFonts w:ascii="Times New Roman" w:hAnsi="Times New Roman" w:cs="Times New Roman"/>
          <w:b w:val="0"/>
          <w:bCs/>
          <w:sz w:val="24"/>
          <w:szCs w:val="24"/>
        </w:rPr>
        <w:t xml:space="preserve"> total da despesa reconhecida no período de reporte decorrente de transações com pagamento baseado em ações por meio das quais os produtos ou os serviços recebidos não </w:t>
      </w:r>
      <w:r w:rsidR="0099504B" w:rsidRPr="007775ED">
        <w:rPr>
          <w:rFonts w:ascii="Times New Roman" w:hAnsi="Times New Roman" w:cs="Times New Roman"/>
          <w:b w:val="0"/>
          <w:bCs/>
          <w:sz w:val="24"/>
          <w:szCs w:val="24"/>
        </w:rPr>
        <w:t xml:space="preserve">cumpram com os requisitos para </w:t>
      </w:r>
      <w:r w:rsidRPr="007775ED">
        <w:rPr>
          <w:rFonts w:ascii="Times New Roman" w:hAnsi="Times New Roman" w:cs="Times New Roman"/>
          <w:b w:val="0"/>
          <w:bCs/>
          <w:sz w:val="24"/>
          <w:szCs w:val="24"/>
        </w:rPr>
        <w:t>reconhecimento como ativos e, por isso, foram reconhecidos imediatamente como despesa; e</w:t>
      </w:r>
    </w:p>
    <w:p w14:paraId="513D4BD8" w14:textId="093B7126" w:rsidR="00953DE8" w:rsidRPr="007775ED" w:rsidRDefault="0099504B" w:rsidP="007775ED">
      <w:pPr>
        <w:pStyle w:val="IASBSectionTitle1NonInd"/>
        <w:numPr>
          <w:ilvl w:val="0"/>
          <w:numId w:val="10"/>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w:t>
      </w:r>
      <w:r w:rsidR="00953DE8" w:rsidRPr="007775ED">
        <w:rPr>
          <w:rFonts w:ascii="Times New Roman" w:hAnsi="Times New Roman" w:cs="Times New Roman"/>
          <w:b w:val="0"/>
          <w:bCs/>
          <w:sz w:val="24"/>
          <w:szCs w:val="24"/>
        </w:rPr>
        <w:t>saldo contábil no final do período de reporte para os passivos decorrentes de transações com pagamento baseado em ações.</w:t>
      </w:r>
    </w:p>
    <w:p w14:paraId="379382B3" w14:textId="16287B3C"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15 – Combinação de Negócios</w:t>
      </w:r>
    </w:p>
    <w:p w14:paraId="3109CFB7" w14:textId="590BC218"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adquirente deve divulgar as informações a seguir para cada combinação de negócios que ocorrer ao longo do período de reporte:</w:t>
      </w:r>
    </w:p>
    <w:p w14:paraId="60726C48" w14:textId="1CB99D0B"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nome e descrição da adquirida;</w:t>
      </w:r>
    </w:p>
    <w:p w14:paraId="20B0E6F7" w14:textId="55A563CE" w:rsidR="00953DE8" w:rsidRPr="007775ED" w:rsidRDefault="0099504B"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data da aquisição</w:t>
      </w:r>
      <w:r w:rsidR="004603AD">
        <w:rPr>
          <w:rFonts w:ascii="Times New Roman" w:hAnsi="Times New Roman" w:cs="Times New Roman"/>
          <w:b w:val="0"/>
          <w:bCs/>
          <w:sz w:val="24"/>
          <w:szCs w:val="24"/>
        </w:rPr>
        <w:t>;</w:t>
      </w:r>
    </w:p>
    <w:p w14:paraId="3D995F48" w14:textId="44F2B093" w:rsidR="00953DE8" w:rsidRPr="007775ED" w:rsidRDefault="0099504B"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w:t>
      </w:r>
      <w:r w:rsidR="00953DE8" w:rsidRPr="007775ED">
        <w:rPr>
          <w:rFonts w:ascii="Times New Roman" w:hAnsi="Times New Roman" w:cs="Times New Roman"/>
          <w:b w:val="0"/>
          <w:bCs/>
          <w:sz w:val="24"/>
          <w:szCs w:val="24"/>
        </w:rPr>
        <w:t>percentual do capital votante adquirido</w:t>
      </w:r>
      <w:r w:rsidR="004603AD">
        <w:rPr>
          <w:rFonts w:ascii="Times New Roman" w:hAnsi="Times New Roman" w:cs="Times New Roman"/>
          <w:b w:val="0"/>
          <w:bCs/>
          <w:sz w:val="24"/>
          <w:szCs w:val="24"/>
        </w:rPr>
        <w:t>;</w:t>
      </w:r>
    </w:p>
    <w:p w14:paraId="3FE926EC" w14:textId="16F088D7" w:rsidR="00953DE8" w:rsidRPr="007775ED" w:rsidRDefault="0099504B"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uma </w:t>
      </w:r>
      <w:r w:rsidR="00953DE8" w:rsidRPr="007775ED">
        <w:rPr>
          <w:rFonts w:ascii="Times New Roman" w:hAnsi="Times New Roman" w:cs="Times New Roman"/>
          <w:b w:val="0"/>
          <w:bCs/>
          <w:sz w:val="24"/>
          <w:szCs w:val="24"/>
        </w:rPr>
        <w:t>descrição qualitativa dos fatores que compõem o ágio por expectativa de rentabilidade futura (</w:t>
      </w:r>
      <w:r w:rsidR="00953DE8" w:rsidRPr="007775ED">
        <w:rPr>
          <w:rFonts w:ascii="Times New Roman" w:hAnsi="Times New Roman" w:cs="Times New Roman"/>
          <w:b w:val="0"/>
          <w:bCs/>
          <w:i/>
          <w:iCs/>
          <w:sz w:val="24"/>
          <w:szCs w:val="24"/>
        </w:rPr>
        <w:t>goodwill</w:t>
      </w:r>
      <w:r w:rsidR="00953DE8" w:rsidRPr="007775ED">
        <w:rPr>
          <w:rFonts w:ascii="Times New Roman" w:hAnsi="Times New Roman" w:cs="Times New Roman"/>
          <w:b w:val="0"/>
          <w:bCs/>
          <w:sz w:val="24"/>
          <w:szCs w:val="24"/>
        </w:rPr>
        <w:t>) reconhecido, tais como sinergias esperadas pela combinação das operações da adquirida com as do adquirente, ativos intangíveis que não se qualificam para reconhecimento em separado ou outros fatores;</w:t>
      </w:r>
    </w:p>
    <w:p w14:paraId="6E86F66F" w14:textId="0F7EBDC8" w:rsidR="00953DE8" w:rsidRPr="007775ED" w:rsidRDefault="0099504B"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w:t>
      </w:r>
      <w:r w:rsidR="00953DE8" w:rsidRPr="007775ED">
        <w:rPr>
          <w:rFonts w:ascii="Times New Roman" w:hAnsi="Times New Roman" w:cs="Times New Roman"/>
          <w:b w:val="0"/>
          <w:bCs/>
          <w:sz w:val="24"/>
          <w:szCs w:val="24"/>
        </w:rPr>
        <w:t>valor justo, na data da aquisição, da contraprestação total transferida e a descrição dos componentes dessa contraprestação, tais como:</w:t>
      </w:r>
    </w:p>
    <w:p w14:paraId="4AA90433" w14:textId="3B53726D" w:rsidR="00953DE8" w:rsidRPr="007775ED" w:rsidRDefault="00953DE8" w:rsidP="007775ED">
      <w:pPr>
        <w:pStyle w:val="IASBSectionTitle1NonInd"/>
        <w:numPr>
          <w:ilvl w:val="0"/>
          <w:numId w:val="1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caixa;</w:t>
      </w:r>
    </w:p>
    <w:p w14:paraId="5112E661" w14:textId="02425D20" w:rsidR="00953DE8" w:rsidRPr="007775ED" w:rsidRDefault="00953DE8" w:rsidP="007775ED">
      <w:pPr>
        <w:pStyle w:val="IASBSectionTitle1NonInd"/>
        <w:numPr>
          <w:ilvl w:val="0"/>
          <w:numId w:val="1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outros ativos tangíveis ou intangíveis, inclusive um negócio ou uma controlada do adquirente;</w:t>
      </w:r>
    </w:p>
    <w:p w14:paraId="5D1CE683" w14:textId="3EA9E4CA" w:rsidR="00953DE8" w:rsidRPr="007775ED" w:rsidRDefault="00953DE8" w:rsidP="007775ED">
      <w:pPr>
        <w:pStyle w:val="IASBSectionTitle1NonInd"/>
        <w:numPr>
          <w:ilvl w:val="0"/>
          <w:numId w:val="1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passivos incorridos, como, por exemplo, passivo por contraprestação contingente; e</w:t>
      </w:r>
    </w:p>
    <w:p w14:paraId="38C4102C" w14:textId="52F9DA45" w:rsidR="00953DE8" w:rsidRPr="007775ED" w:rsidRDefault="00953DE8" w:rsidP="007775ED">
      <w:pPr>
        <w:pStyle w:val="IASBSectionTitle1NonInd"/>
        <w:numPr>
          <w:ilvl w:val="0"/>
          <w:numId w:val="1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participações societárias do adquirente;</w:t>
      </w:r>
    </w:p>
    <w:p w14:paraId="54AD46FE" w14:textId="789FF7AB"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os acordos para contraprestação contingente e para os ativos de indenização:</w:t>
      </w:r>
    </w:p>
    <w:p w14:paraId="16896467" w14:textId="7315AC21" w:rsidR="00953DE8" w:rsidRPr="007775ED" w:rsidRDefault="00953DE8" w:rsidP="007775ED">
      <w:pPr>
        <w:pStyle w:val="IASBSectionTitle1NonInd"/>
        <w:numPr>
          <w:ilvl w:val="0"/>
          <w:numId w:val="1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reconhecido na data da aquisição; e</w:t>
      </w:r>
    </w:p>
    <w:p w14:paraId="2FDD8D00" w14:textId="7A52CFC9" w:rsidR="00953DE8" w:rsidRPr="007775ED" w:rsidRDefault="00953DE8" w:rsidP="007775ED">
      <w:pPr>
        <w:pStyle w:val="IASBSectionTitle1NonInd"/>
        <w:numPr>
          <w:ilvl w:val="0"/>
          <w:numId w:val="1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descrição do acordo e das bases para determinação do valor do pagamento;</w:t>
      </w:r>
    </w:p>
    <w:p w14:paraId="6176FAB6" w14:textId="44E4BAF9"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montantes reconhecidos, na data da aquisição, para cada uma das classes de ativos adquiridos e passivos assumidos;</w:t>
      </w:r>
    </w:p>
    <w:p w14:paraId="2C7CFD6C" w14:textId="76DE1594"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um passivo contingente não tiver sido reconhecido porque não foi possível mensurar o seu valor justo com confiabilidade, as informações requeridas pelo item 259;</w:t>
      </w:r>
    </w:p>
    <w:p w14:paraId="5212E1E3" w14:textId="375815CA"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no caso de compra vantajosa o valor do ganho reconhecido de acordo com o item 34 do </w:t>
      </w:r>
      <w:r w:rsidR="004F413D"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 xml:space="preserve">CPC 15 </w:t>
      </w:r>
      <w:r w:rsidR="004F413D" w:rsidRPr="007775ED">
        <w:rPr>
          <w:rFonts w:ascii="Times New Roman" w:hAnsi="Times New Roman" w:cs="Times New Roman"/>
          <w:b w:val="0"/>
          <w:bCs/>
          <w:sz w:val="24"/>
          <w:szCs w:val="24"/>
        </w:rPr>
        <w:t>–</w:t>
      </w:r>
      <w:r w:rsidRPr="007775ED">
        <w:rPr>
          <w:rFonts w:ascii="Times New Roman" w:hAnsi="Times New Roman" w:cs="Times New Roman"/>
          <w:b w:val="0"/>
          <w:bCs/>
          <w:sz w:val="24"/>
          <w:szCs w:val="24"/>
        </w:rPr>
        <w:t xml:space="preserve"> Combinação</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de Negócios e a linha do item da demonstração do resultado em que o ganho foi reconhecido; e</w:t>
      </w:r>
    </w:p>
    <w:p w14:paraId="3970B082" w14:textId="4D716368" w:rsidR="00953DE8" w:rsidRPr="007775ED" w:rsidRDefault="00953DE8" w:rsidP="007775ED">
      <w:pPr>
        <w:pStyle w:val="IASBSectionTitle1NonInd"/>
        <w:numPr>
          <w:ilvl w:val="0"/>
          <w:numId w:val="1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combinação de negócios em que o adquirente, na data da aquisição, possuir menos do que 100% de participação societária da adquirida:</w:t>
      </w:r>
    </w:p>
    <w:p w14:paraId="33304C69" w14:textId="2B33AE77" w:rsidR="00953DE8" w:rsidRPr="007775ED" w:rsidRDefault="00953DE8" w:rsidP="007775ED">
      <w:pPr>
        <w:pStyle w:val="IASBSectionTitle1NonInd"/>
        <w:numPr>
          <w:ilvl w:val="0"/>
          <w:numId w:val="1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da participação de não controladores na adquirida, reconhecido na data da aquisição e as bases de mensuração desse valor; e</w:t>
      </w:r>
    </w:p>
    <w:p w14:paraId="5EF0222C" w14:textId="41B3CB1A" w:rsidR="00953DE8" w:rsidRPr="007775ED" w:rsidRDefault="00953DE8" w:rsidP="007775ED">
      <w:pPr>
        <w:pStyle w:val="IASBSectionTitle1NonInd"/>
        <w:numPr>
          <w:ilvl w:val="0"/>
          <w:numId w:val="1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participação de não controladores na adquirida mensurada ao valor justo, as técnicas de avaliação e as informações significativas utilizadas na mensuração desse valor justo.</w:t>
      </w:r>
    </w:p>
    <w:p w14:paraId="3D5BDD82" w14:textId="616D1126" w:rsidR="00953DE8" w:rsidRPr="007775ED" w:rsidRDefault="00DC52AE"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w:t>
      </w:r>
      <w:r w:rsidR="00953DE8" w:rsidRPr="007775ED">
        <w:rPr>
          <w:rFonts w:ascii="Times New Roman" w:hAnsi="Times New Roman" w:cs="Times New Roman"/>
          <w:b w:val="0"/>
          <w:bCs/>
          <w:sz w:val="24"/>
          <w:szCs w:val="24"/>
        </w:rPr>
        <w:t>adquirente deve divulgar, para cada período de reporte após a data da aquisição e até que a entidade receba, venda ou, de outra forma, venha a perder o direito sobre ativo proveniente de contraprestação contingente, ou até que a entidade liquide passivo proveniente de contraprestação contingente, ou que esse passivo seja cancelado ou expirado:</w:t>
      </w:r>
    </w:p>
    <w:p w14:paraId="084D90CF" w14:textId="37D01621" w:rsidR="00953DE8" w:rsidRPr="007775ED" w:rsidRDefault="00953DE8" w:rsidP="007775ED">
      <w:pPr>
        <w:pStyle w:val="IASBSectionTitle1NonInd"/>
        <w:numPr>
          <w:ilvl w:val="0"/>
          <w:numId w:val="1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quaisquer mudanças nos valores reconhecidos, inclusive quaisquer diferenças que surgirem na sua liquidação;</w:t>
      </w:r>
    </w:p>
    <w:p w14:paraId="22B8FABE" w14:textId="453B3372" w:rsidR="00953DE8" w:rsidRPr="007775ED" w:rsidRDefault="00DC52AE" w:rsidP="007775ED">
      <w:pPr>
        <w:pStyle w:val="IASBSectionTitle1NonInd"/>
        <w:numPr>
          <w:ilvl w:val="0"/>
          <w:numId w:val="1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s técnicas de avaliação e os principais dados de entrada do modelo utilizado para mensurar a contraprestação contingente.</w:t>
      </w:r>
    </w:p>
    <w:p w14:paraId="2D77FE93" w14:textId="74C47075"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adquirente deve divulgar a conciliação (informações comparativas não são requeridas) do valor contábil do ágio por expectativa de rentabilidade futura ao início e ao fim do período de reporte, mostrando separadamente:</w:t>
      </w:r>
    </w:p>
    <w:p w14:paraId="6F6E260A" w14:textId="4E816B05" w:rsidR="00953DE8" w:rsidRPr="007775ED" w:rsidRDefault="00953DE8" w:rsidP="007775ED">
      <w:pPr>
        <w:pStyle w:val="IASBSectionTitle1NonInd"/>
        <w:numPr>
          <w:ilvl w:val="0"/>
          <w:numId w:val="1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ágio por expectativa de rentabilidade futura adicional, reconhecido durante o período, exceto o ágio por expectativa de rentabilidade futura incluído em grupo </w:t>
      </w:r>
      <w:r w:rsidR="00C20535" w:rsidRPr="007775ED">
        <w:rPr>
          <w:rFonts w:ascii="Times New Roman" w:hAnsi="Times New Roman" w:cs="Times New Roman"/>
          <w:b w:val="0"/>
          <w:bCs/>
          <w:sz w:val="24"/>
          <w:szCs w:val="24"/>
        </w:rPr>
        <w:t xml:space="preserve">de ativos mantidos para </w:t>
      </w:r>
      <w:r w:rsidR="00F80B6B" w:rsidRPr="007775ED">
        <w:rPr>
          <w:rFonts w:ascii="Times New Roman" w:hAnsi="Times New Roman" w:cs="Times New Roman"/>
          <w:b w:val="0"/>
          <w:bCs/>
          <w:sz w:val="24"/>
          <w:szCs w:val="24"/>
        </w:rPr>
        <w:t xml:space="preserve">a venda </w:t>
      </w:r>
      <w:r w:rsidRPr="007775ED">
        <w:rPr>
          <w:rFonts w:ascii="Times New Roman" w:hAnsi="Times New Roman" w:cs="Times New Roman"/>
          <w:b w:val="0"/>
          <w:bCs/>
          <w:sz w:val="24"/>
          <w:szCs w:val="24"/>
        </w:rPr>
        <w:t>que, na aquisição, atendeu aos critérios para ser classificado como mantido para venda de acordo com o Pronunciamento Técnico CPC 31 – Ativo Não Circulante Mantido para Venda e Operação Descontinuada;</w:t>
      </w:r>
    </w:p>
    <w:p w14:paraId="6FB64943" w14:textId="2D6CCFF8" w:rsidR="00953DE8" w:rsidRPr="007775ED" w:rsidRDefault="00953DE8" w:rsidP="007775ED">
      <w:pPr>
        <w:pStyle w:val="IASBSectionTitle1NonInd"/>
        <w:numPr>
          <w:ilvl w:val="0"/>
          <w:numId w:val="1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ágio por expectativa de rentabilidade futura incluído em grupo </w:t>
      </w:r>
      <w:r w:rsidR="004603AD">
        <w:rPr>
          <w:rFonts w:ascii="Times New Roman" w:hAnsi="Times New Roman" w:cs="Times New Roman"/>
          <w:b w:val="0"/>
          <w:bCs/>
          <w:sz w:val="24"/>
          <w:szCs w:val="24"/>
        </w:rPr>
        <w:t xml:space="preserve">de </w:t>
      </w:r>
      <w:r w:rsidR="00C20535" w:rsidRPr="007775ED">
        <w:rPr>
          <w:rFonts w:ascii="Times New Roman" w:hAnsi="Times New Roman" w:cs="Times New Roman"/>
          <w:b w:val="0"/>
          <w:bCs/>
          <w:sz w:val="24"/>
          <w:szCs w:val="24"/>
        </w:rPr>
        <w:t>ativos mantidos par</w:t>
      </w:r>
      <w:r w:rsidR="00F80B6B" w:rsidRPr="007775ED">
        <w:rPr>
          <w:rFonts w:ascii="Times New Roman" w:hAnsi="Times New Roman" w:cs="Times New Roman"/>
          <w:b w:val="0"/>
          <w:bCs/>
          <w:sz w:val="24"/>
          <w:szCs w:val="24"/>
        </w:rPr>
        <w:t>a</w:t>
      </w:r>
      <w:r w:rsidRPr="007775ED">
        <w:rPr>
          <w:rFonts w:ascii="Times New Roman" w:hAnsi="Times New Roman" w:cs="Times New Roman"/>
          <w:b w:val="0"/>
          <w:bCs/>
          <w:sz w:val="24"/>
          <w:szCs w:val="24"/>
        </w:rPr>
        <w:t xml:space="preserve"> </w:t>
      </w:r>
      <w:r w:rsidR="00F80B6B" w:rsidRPr="007775ED">
        <w:rPr>
          <w:rFonts w:ascii="Times New Roman" w:hAnsi="Times New Roman" w:cs="Times New Roman"/>
          <w:b w:val="0"/>
          <w:bCs/>
          <w:sz w:val="24"/>
          <w:szCs w:val="24"/>
        </w:rPr>
        <w:t xml:space="preserve">venda </w:t>
      </w:r>
      <w:r w:rsidRPr="007775ED">
        <w:rPr>
          <w:rFonts w:ascii="Times New Roman" w:hAnsi="Times New Roman" w:cs="Times New Roman"/>
          <w:b w:val="0"/>
          <w:bCs/>
          <w:sz w:val="24"/>
          <w:szCs w:val="24"/>
        </w:rPr>
        <w:t xml:space="preserve">que foi classificado como mantido para venda de acordo com o CPC 31, bem como o ágio por expectativa de rentabilidade futura </w:t>
      </w:r>
      <w:proofErr w:type="spellStart"/>
      <w:r w:rsidRPr="007775ED">
        <w:rPr>
          <w:rFonts w:ascii="Times New Roman" w:hAnsi="Times New Roman" w:cs="Times New Roman"/>
          <w:b w:val="0"/>
          <w:bCs/>
          <w:sz w:val="24"/>
          <w:szCs w:val="24"/>
        </w:rPr>
        <w:t>desreconhecido</w:t>
      </w:r>
      <w:proofErr w:type="spellEnd"/>
      <w:r w:rsidRPr="007775ED">
        <w:rPr>
          <w:rFonts w:ascii="Times New Roman" w:hAnsi="Times New Roman" w:cs="Times New Roman"/>
          <w:b w:val="0"/>
          <w:bCs/>
          <w:sz w:val="24"/>
          <w:szCs w:val="24"/>
        </w:rPr>
        <w:t xml:space="preserve"> durante o período de reporte que não foi previamente incluído em grupo classificado como mantido para venda;</w:t>
      </w:r>
    </w:p>
    <w:p w14:paraId="3F258474" w14:textId="34DE8048" w:rsidR="00953DE8" w:rsidRPr="007775ED" w:rsidRDefault="00953DE8" w:rsidP="007775ED">
      <w:pPr>
        <w:pStyle w:val="IASBSectionTitle1NonInd"/>
        <w:numPr>
          <w:ilvl w:val="0"/>
          <w:numId w:val="1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perdas por redução ao valor recuperável reconhecidas durante o período de reporte, de acordo com o Pronunciamento Técnico CPC 01 – Redução ao Valor Recuperável de Ativos; e</w:t>
      </w:r>
    </w:p>
    <w:p w14:paraId="1D572C63" w14:textId="0BBAE117" w:rsidR="00953DE8" w:rsidRPr="007775ED" w:rsidRDefault="00DC52AE" w:rsidP="007775ED">
      <w:pPr>
        <w:pStyle w:val="IASBSectionTitle1NonInd"/>
        <w:numPr>
          <w:ilvl w:val="0"/>
          <w:numId w:val="1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Quaisquer </w:t>
      </w:r>
      <w:r w:rsidR="00953DE8" w:rsidRPr="007775ED">
        <w:rPr>
          <w:rFonts w:ascii="Times New Roman" w:hAnsi="Times New Roman" w:cs="Times New Roman"/>
          <w:b w:val="0"/>
          <w:bCs/>
          <w:sz w:val="24"/>
          <w:szCs w:val="24"/>
        </w:rPr>
        <w:t>outra</w:t>
      </w:r>
      <w:r w:rsidRPr="007775ED">
        <w:rPr>
          <w:rFonts w:ascii="Times New Roman" w:hAnsi="Times New Roman" w:cs="Times New Roman"/>
          <w:b w:val="0"/>
          <w:bCs/>
          <w:sz w:val="24"/>
          <w:szCs w:val="24"/>
        </w:rPr>
        <w:t>s</w:t>
      </w:r>
      <w:r w:rsidR="00953DE8" w:rsidRPr="007775ED">
        <w:rPr>
          <w:rFonts w:ascii="Times New Roman" w:hAnsi="Times New Roman" w:cs="Times New Roman"/>
          <w:b w:val="0"/>
          <w:bCs/>
          <w:sz w:val="24"/>
          <w:szCs w:val="24"/>
        </w:rPr>
        <w:t xml:space="preserve"> mudança</w:t>
      </w:r>
      <w:r w:rsidRPr="007775ED">
        <w:rPr>
          <w:rFonts w:ascii="Times New Roman" w:hAnsi="Times New Roman" w:cs="Times New Roman"/>
          <w:b w:val="0"/>
          <w:bCs/>
          <w:sz w:val="24"/>
          <w:szCs w:val="24"/>
        </w:rPr>
        <w:t>s</w:t>
      </w:r>
      <w:r w:rsidR="00953DE8" w:rsidRPr="007775ED">
        <w:rPr>
          <w:rFonts w:ascii="Times New Roman" w:hAnsi="Times New Roman" w:cs="Times New Roman"/>
          <w:b w:val="0"/>
          <w:bCs/>
          <w:sz w:val="24"/>
          <w:szCs w:val="24"/>
        </w:rPr>
        <w:t xml:space="preserve"> no valor contábil que tenha</w:t>
      </w:r>
      <w:r w:rsidRPr="007775ED">
        <w:rPr>
          <w:rFonts w:ascii="Times New Roman" w:hAnsi="Times New Roman" w:cs="Times New Roman"/>
          <w:b w:val="0"/>
          <w:bCs/>
          <w:sz w:val="24"/>
          <w:szCs w:val="24"/>
        </w:rPr>
        <w:t>m</w:t>
      </w:r>
      <w:r w:rsidR="00953DE8" w:rsidRPr="007775ED">
        <w:rPr>
          <w:rFonts w:ascii="Times New Roman" w:hAnsi="Times New Roman" w:cs="Times New Roman"/>
          <w:b w:val="0"/>
          <w:bCs/>
          <w:sz w:val="24"/>
          <w:szCs w:val="24"/>
        </w:rPr>
        <w:t xml:space="preserve"> ocorrido durante o período de reporte.</w:t>
      </w:r>
    </w:p>
    <w:p w14:paraId="344E8810"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31 – Ativo Não Circulante Mantido para Venda e Operação Descontinuada</w:t>
      </w:r>
    </w:p>
    <w:p w14:paraId="43C6AD32" w14:textId="29926A00" w:rsidR="00953DE8" w:rsidRPr="007775ED" w:rsidRDefault="00DC52AE"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w:t>
      </w:r>
      <w:r w:rsidR="00953DE8" w:rsidRPr="007775ED">
        <w:rPr>
          <w:rFonts w:ascii="Times New Roman" w:hAnsi="Times New Roman" w:cs="Times New Roman"/>
          <w:b w:val="0"/>
          <w:bCs/>
          <w:sz w:val="24"/>
          <w:szCs w:val="24"/>
        </w:rPr>
        <w:t xml:space="preserve"> entidade deve divulgar, nas notas explicativas do período em que o ativo não circulante (ou grupo de ativos) tenha sido classificado como mantido para venda ou </w:t>
      </w:r>
      <w:r w:rsidR="00F80B6B" w:rsidRPr="007775ED">
        <w:rPr>
          <w:rFonts w:ascii="Times New Roman" w:hAnsi="Times New Roman" w:cs="Times New Roman"/>
          <w:b w:val="0"/>
          <w:bCs/>
          <w:sz w:val="24"/>
          <w:szCs w:val="24"/>
        </w:rPr>
        <w:t xml:space="preserve">que tenha sido </w:t>
      </w:r>
      <w:r w:rsidR="00953DE8" w:rsidRPr="007775ED">
        <w:rPr>
          <w:rFonts w:ascii="Times New Roman" w:hAnsi="Times New Roman" w:cs="Times New Roman"/>
          <w:b w:val="0"/>
          <w:bCs/>
          <w:sz w:val="24"/>
          <w:szCs w:val="24"/>
        </w:rPr>
        <w:t>vendido:</w:t>
      </w:r>
    </w:p>
    <w:p w14:paraId="37EF39C5" w14:textId="2D99B0B6" w:rsidR="00953DE8" w:rsidRPr="007775ED" w:rsidRDefault="00DC52AE" w:rsidP="007775ED">
      <w:pPr>
        <w:pStyle w:val="IASBSectionTitle1NonInd"/>
        <w:numPr>
          <w:ilvl w:val="0"/>
          <w:numId w:val="1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descrição do ativo (ou grupo de ativos) não circulante;</w:t>
      </w:r>
    </w:p>
    <w:p w14:paraId="6F8815E7" w14:textId="787DAE7E" w:rsidR="00953DE8" w:rsidRPr="007775ED" w:rsidRDefault="00DC52AE" w:rsidP="007775ED">
      <w:pPr>
        <w:pStyle w:val="IASBSectionTitle1NonInd"/>
        <w:numPr>
          <w:ilvl w:val="0"/>
          <w:numId w:val="1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descrição dos fatos e das circunstâncias da venda, ou que conduziram à </w:t>
      </w:r>
      <w:r w:rsidR="00F80B6B" w:rsidRPr="007775ED">
        <w:rPr>
          <w:rFonts w:ascii="Times New Roman" w:hAnsi="Times New Roman" w:cs="Times New Roman"/>
          <w:b w:val="0"/>
          <w:bCs/>
          <w:sz w:val="24"/>
          <w:szCs w:val="24"/>
        </w:rPr>
        <w:t>venda</w:t>
      </w:r>
      <w:r w:rsidR="00953DE8" w:rsidRPr="007775ED">
        <w:rPr>
          <w:rFonts w:ascii="Times New Roman" w:hAnsi="Times New Roman" w:cs="Times New Roman"/>
          <w:b w:val="0"/>
          <w:bCs/>
          <w:sz w:val="24"/>
          <w:szCs w:val="24"/>
        </w:rPr>
        <w:t xml:space="preserve"> esperada, forma e cronograma esperados para essa </w:t>
      </w:r>
      <w:r w:rsidR="00F80B6B" w:rsidRPr="007775ED">
        <w:rPr>
          <w:rFonts w:ascii="Times New Roman" w:hAnsi="Times New Roman" w:cs="Times New Roman"/>
          <w:b w:val="0"/>
          <w:bCs/>
          <w:sz w:val="24"/>
          <w:szCs w:val="24"/>
        </w:rPr>
        <w:t>venda</w:t>
      </w:r>
      <w:r w:rsidR="00953DE8" w:rsidRPr="007775ED">
        <w:rPr>
          <w:rFonts w:ascii="Times New Roman" w:hAnsi="Times New Roman" w:cs="Times New Roman"/>
          <w:b w:val="0"/>
          <w:bCs/>
          <w:sz w:val="24"/>
          <w:szCs w:val="24"/>
        </w:rPr>
        <w:t>; e</w:t>
      </w:r>
    </w:p>
    <w:p w14:paraId="52BD28DE" w14:textId="6F995D50" w:rsidR="00953DE8" w:rsidRPr="007775ED" w:rsidRDefault="00953DE8" w:rsidP="007775ED">
      <w:pPr>
        <w:pStyle w:val="IASBSectionTitle1NonInd"/>
        <w:numPr>
          <w:ilvl w:val="0"/>
          <w:numId w:val="1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aplicável, segmento em que o ativo não circulante ou o grupo de ativos mantidos para venda, está apresentado de acordo com o CPC 22.</w:t>
      </w:r>
    </w:p>
    <w:p w14:paraId="3DD5A07E" w14:textId="5821A790"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Caso se aplique o item 26 ou o item 29 do CPC 31, a entidade deve divulgar, no período de reporte da decisão de alterar o plano de venda do ativo não circulante mantido para venda, a descrição dos fatos e das circunstâncias que levaram à decisão e o efeito dessa decisão nos resultados das operações para esse período e qualquer período anterior apresentado.</w:t>
      </w:r>
    </w:p>
    <w:p w14:paraId="477AE56E"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no CPC 31 que continuam aplicáveis</w:t>
      </w:r>
    </w:p>
    <w:p w14:paraId="50C076C4" w14:textId="7C830773" w:rsidR="00953DE8"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aplicar os requisitos de divulgação nos itens 12, 13, 33(a), 33(c) e 34 do CPC 31. A referência ao item 33 no item 13 do CPC 31 deve ser interpretada pela entidade como referência aos itens 33(a) e 33(c) do CPC 31.</w:t>
      </w:r>
    </w:p>
    <w:p w14:paraId="486BFA37" w14:textId="0CB1F826"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40 – Instrumentos Financeiros: Evidenciação</w:t>
      </w:r>
    </w:p>
    <w:p w14:paraId="716AE519" w14:textId="2F093195"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itens 3 a 5</w:t>
      </w:r>
      <w:r w:rsidR="00BB1CDF" w:rsidRPr="007775ED">
        <w:rPr>
          <w:rFonts w:ascii="Times New Roman" w:hAnsi="Times New Roman" w:cs="Times New Roman"/>
          <w:b w:val="0"/>
          <w:bCs/>
          <w:sz w:val="24"/>
          <w:szCs w:val="24"/>
        </w:rPr>
        <w:t>D</w:t>
      </w:r>
      <w:r w:rsidRPr="007775ED">
        <w:rPr>
          <w:rFonts w:ascii="Times New Roman" w:hAnsi="Times New Roman" w:cs="Times New Roman"/>
          <w:b w:val="0"/>
          <w:bCs/>
          <w:sz w:val="24"/>
          <w:szCs w:val="24"/>
        </w:rPr>
        <w:t xml:space="preserve"> do </w:t>
      </w:r>
      <w:r w:rsidR="001D7473"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40 – Instrumentos Financeiros: Evidenciação estabelecem o alcance do CPC 40, ou seja, os instrumentos financeiros, contratos de compra ou venda de um item não financeiro e direitos aos quais se aplicam os requisitos de divulgação do CPC 40. A entidade que aplica este Pronunciamento Técnico deve aplicar os itens 3 a 5</w:t>
      </w:r>
      <w:r w:rsidR="00BB1CDF" w:rsidRPr="007775ED">
        <w:rPr>
          <w:rFonts w:ascii="Times New Roman" w:hAnsi="Times New Roman" w:cs="Times New Roman"/>
          <w:b w:val="0"/>
          <w:bCs/>
          <w:sz w:val="24"/>
          <w:szCs w:val="24"/>
        </w:rPr>
        <w:t>D</w:t>
      </w:r>
      <w:r w:rsidRPr="007775ED">
        <w:rPr>
          <w:rFonts w:ascii="Times New Roman" w:hAnsi="Times New Roman" w:cs="Times New Roman"/>
          <w:b w:val="0"/>
          <w:bCs/>
          <w:sz w:val="24"/>
          <w:szCs w:val="24"/>
        </w:rPr>
        <w:t xml:space="preserve"> do CPC 40 para determinar o alcance dos requisitos de divulgação nos itens 43 a 73. As referências no:</w:t>
      </w:r>
    </w:p>
    <w:p w14:paraId="2CE3D71C" w14:textId="6B96D096" w:rsidR="00953DE8" w:rsidRPr="007775ED" w:rsidRDefault="00953DE8" w:rsidP="007775ED">
      <w:pPr>
        <w:pStyle w:val="IASBSectionTitle1NonInd"/>
        <w:numPr>
          <w:ilvl w:val="0"/>
          <w:numId w:val="1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item 3(a) do CPC 40 aos requisitos de divulgação no </w:t>
      </w:r>
      <w:r w:rsidR="001D7473"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46 – Mensuração do Valor Justo devem ser interpretadas pela entidade como referências aos itens 95 a 97; e</w:t>
      </w:r>
    </w:p>
    <w:p w14:paraId="3BC01DB8" w14:textId="432A78EF" w:rsidR="00953DE8" w:rsidRPr="007775ED" w:rsidRDefault="00953DE8" w:rsidP="007775ED">
      <w:pPr>
        <w:pStyle w:val="IASBSectionTitle1NonInd"/>
        <w:numPr>
          <w:ilvl w:val="0"/>
          <w:numId w:val="1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item 5A do CPC 40 aos requisitos de divulgação nos itens 35A a 35N do CPC 40 devem ser interpretadas pela entidade como referências aos itens 65 a 71.</w:t>
      </w:r>
    </w:p>
    <w:p w14:paraId="5440FFCC" w14:textId="257A5C22"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informações que permitam que os usuários de demonstrações contábeis avaliem a significância dos instrumentos financeiros para sua posição patrimonial e financeira e para a análise de desempenho.</w:t>
      </w:r>
    </w:p>
    <w:p w14:paraId="5CA21AC9"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Categorias de ativos financeiros e passivos financeiros</w:t>
      </w:r>
    </w:p>
    <w:p w14:paraId="51EA7D84" w14:textId="2F3CCFFC"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de cada categoria a seguir, como especificado no </w:t>
      </w:r>
      <w:r w:rsidR="00FC2FB3"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48 – Instrumentos Financeiros, deve ser divulgado no balanço patrimonial ou nas notas explicativas:</w:t>
      </w:r>
    </w:p>
    <w:p w14:paraId="2BDE0B65" w14:textId="5CB4C82A" w:rsidR="00953DE8" w:rsidRPr="007775ED" w:rsidRDefault="00953DE8" w:rsidP="007775ED">
      <w:pPr>
        <w:pStyle w:val="IASBSectionTitle1NonInd"/>
        <w:numPr>
          <w:ilvl w:val="0"/>
          <w:numId w:val="1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w:t>
      </w:r>
      <w:r w:rsidR="00FC2FB3"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valor justo por meio do resultado;</w:t>
      </w:r>
    </w:p>
    <w:p w14:paraId="0067DE63" w14:textId="68AB4358" w:rsidR="00953DE8" w:rsidRPr="007775ED" w:rsidRDefault="00953DE8" w:rsidP="007775ED">
      <w:pPr>
        <w:pStyle w:val="IASBSectionTitle1NonInd"/>
        <w:numPr>
          <w:ilvl w:val="0"/>
          <w:numId w:val="1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passivos financeiros </w:t>
      </w:r>
      <w:r w:rsidR="00FC2FB3"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valor justo por meio do resultado, mostrando separadamente:</w:t>
      </w:r>
    </w:p>
    <w:p w14:paraId="2BCB3463" w14:textId="513DAF15" w:rsidR="00953DE8" w:rsidRPr="007775ED" w:rsidRDefault="00953DE8" w:rsidP="007775ED">
      <w:pPr>
        <w:pStyle w:val="IASBSectionTitle1NonInd"/>
        <w:numPr>
          <w:ilvl w:val="0"/>
          <w:numId w:val="20"/>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aqueles designados dessa forma no reconhecimento inicial de acordo com o item 4.2.2 do CPC 48 ou subsequentemente de acordo com o item 6.7.1 do CPC 48; e</w:t>
      </w:r>
    </w:p>
    <w:p w14:paraId="2DA58B31" w14:textId="475A4CC0" w:rsidR="00953DE8" w:rsidRPr="007775ED" w:rsidRDefault="00953DE8" w:rsidP="007775ED">
      <w:pPr>
        <w:pStyle w:val="IASBSectionTitle1NonInd"/>
        <w:numPr>
          <w:ilvl w:val="0"/>
          <w:numId w:val="20"/>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aqueles que atendem à definição de mantidos para negociação no CPC 48;</w:t>
      </w:r>
    </w:p>
    <w:p w14:paraId="42D994C4" w14:textId="71A9BF0C" w:rsidR="00953DE8" w:rsidRPr="007775ED" w:rsidRDefault="00953DE8" w:rsidP="007775ED">
      <w:pPr>
        <w:pStyle w:val="IASBSectionTitle1NonInd"/>
        <w:numPr>
          <w:ilvl w:val="0"/>
          <w:numId w:val="1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mensurados </w:t>
      </w:r>
      <w:r w:rsidR="00FC2FB3"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 xml:space="preserve">custo amortizado; </w:t>
      </w:r>
    </w:p>
    <w:p w14:paraId="302D055C" w14:textId="6BEC0D1A" w:rsidR="00953DE8" w:rsidRPr="007775ED" w:rsidRDefault="00953DE8" w:rsidP="007775ED">
      <w:pPr>
        <w:pStyle w:val="IASBSectionTitle1NonInd"/>
        <w:numPr>
          <w:ilvl w:val="0"/>
          <w:numId w:val="1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passivos financeiros mensurados </w:t>
      </w:r>
      <w:r w:rsidR="00FC2FB3"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custo amortizado; e</w:t>
      </w:r>
    </w:p>
    <w:p w14:paraId="4A337250" w14:textId="6738717C" w:rsidR="00953DE8" w:rsidRPr="007775ED" w:rsidRDefault="00953DE8" w:rsidP="007775ED">
      <w:pPr>
        <w:pStyle w:val="IASBSectionTitle1NonInd"/>
        <w:numPr>
          <w:ilvl w:val="0"/>
          <w:numId w:val="1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ativos financeiros mensurados ao valor justo por meio de outros resultados abrangentes, apresentando separadamente:</w:t>
      </w:r>
    </w:p>
    <w:p w14:paraId="32B54360" w14:textId="13AE459A" w:rsidR="00953DE8" w:rsidRPr="007775ED" w:rsidRDefault="00FC2FB3" w:rsidP="007775ED">
      <w:pPr>
        <w:pStyle w:val="IASBSectionTitle1NonInd"/>
        <w:numPr>
          <w:ilvl w:val="0"/>
          <w:numId w:val="2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tivos financeiros mensurados ao valor justo por meio de outros resultados abrangentes de acordo com o item 4.1.2A do CPC 48; e</w:t>
      </w:r>
    </w:p>
    <w:p w14:paraId="6EE68B52" w14:textId="7D8CD6DD" w:rsidR="00953DE8" w:rsidRPr="007775ED" w:rsidRDefault="00953DE8" w:rsidP="007775ED">
      <w:pPr>
        <w:pStyle w:val="IASBSectionTitle1NonInd"/>
        <w:numPr>
          <w:ilvl w:val="0"/>
          <w:numId w:val="2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investimentos em instrumentos patrimoniais designados como tal no reconhecimento inicial de acordo com o item 5.7.5 do CPC 48.</w:t>
      </w:r>
    </w:p>
    <w:p w14:paraId="1D7BB3A4"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Passivos financeiros ao valor justo por meio do resultado</w:t>
      </w:r>
    </w:p>
    <w:p w14:paraId="2DA74EF4" w14:textId="03F08D39"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a entidade designou o passivo financeiro </w:t>
      </w:r>
      <w:r w:rsidR="00FC2FB3"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valor justo por meio do resultado, de acordo com o item 4.2.2 do CPC 48, e é obrigada a apresentar os efeitos das alterações no risco de crédito desse passivo em outros resultados abrangentes (ver item 5.7.7 do CPC 48), ela deve divulgar:</w:t>
      </w:r>
    </w:p>
    <w:p w14:paraId="068CBF36" w14:textId="67BB9934" w:rsidR="00953DE8" w:rsidRPr="007775ED" w:rsidRDefault="00953DE8" w:rsidP="007775ED">
      <w:pPr>
        <w:pStyle w:val="IASBSectionTitle1NonInd"/>
        <w:numPr>
          <w:ilvl w:val="0"/>
          <w:numId w:val="2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da variação</w:t>
      </w:r>
      <w:r w:rsidR="00FC2FB3" w:rsidRPr="007775ED">
        <w:rPr>
          <w:rFonts w:ascii="Times New Roman" w:hAnsi="Times New Roman" w:cs="Times New Roman"/>
          <w:b w:val="0"/>
          <w:bCs/>
          <w:sz w:val="24"/>
          <w:szCs w:val="24"/>
        </w:rPr>
        <w:t xml:space="preserve"> cumulativa </w:t>
      </w:r>
      <w:r w:rsidRPr="007775ED">
        <w:rPr>
          <w:rFonts w:ascii="Times New Roman" w:hAnsi="Times New Roman" w:cs="Times New Roman"/>
          <w:b w:val="0"/>
          <w:bCs/>
          <w:sz w:val="24"/>
          <w:szCs w:val="24"/>
        </w:rPr>
        <w:t>no valor justo do passivo financeiro que seja atribuível a alterações no risco de crédito desse passivo (ver itens B5.7.13 a B5.7.20 do CPC 48 para orientação sobre a determinação dos efeitos das alterações no risco de crédito do passivo); e</w:t>
      </w:r>
    </w:p>
    <w:p w14:paraId="6090228D" w14:textId="4DCD9755" w:rsidR="00953DE8" w:rsidRPr="007775ED" w:rsidRDefault="00953DE8" w:rsidP="007775ED">
      <w:pPr>
        <w:pStyle w:val="IASBSectionTitle1NonInd"/>
        <w:numPr>
          <w:ilvl w:val="0"/>
          <w:numId w:val="2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diferença entre o valor contábil do passivo financeiro e a quantia que a entidade seria obrigada a pagar no vencimento </w:t>
      </w:r>
      <w:r w:rsidR="00FC2FB3" w:rsidRPr="007775ED">
        <w:rPr>
          <w:rFonts w:ascii="Times New Roman" w:hAnsi="Times New Roman" w:cs="Times New Roman"/>
          <w:b w:val="0"/>
          <w:bCs/>
          <w:sz w:val="24"/>
          <w:szCs w:val="24"/>
        </w:rPr>
        <w:t xml:space="preserve">à contraparte na </w:t>
      </w:r>
      <w:r w:rsidRPr="007775ED">
        <w:rPr>
          <w:rFonts w:ascii="Times New Roman" w:hAnsi="Times New Roman" w:cs="Times New Roman"/>
          <w:b w:val="0"/>
          <w:bCs/>
          <w:sz w:val="24"/>
          <w:szCs w:val="24"/>
        </w:rPr>
        <w:t>obrigação.</w:t>
      </w:r>
    </w:p>
    <w:p w14:paraId="148A744F" w14:textId="4D402F6F"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tiver designado o passivo financeiro ao valor justo por meio do resultado, de acordo com o item 4.2.2 do CPC 48, e é obrigada a apresentar todas as alterações no valor justo desse passivo (incluindo os efeitos das alterações no risco de crédito do passivo) no resultado (ver itens 5.7.7 e 5.7.8 do CPC 48), ela deve divulgar:</w:t>
      </w:r>
    </w:p>
    <w:p w14:paraId="1E9CC28F" w14:textId="1DD1242F" w:rsidR="00953DE8" w:rsidRPr="007775ED" w:rsidRDefault="00953DE8" w:rsidP="007775ED">
      <w:pPr>
        <w:pStyle w:val="IASBSectionTitle1NonInd"/>
        <w:numPr>
          <w:ilvl w:val="0"/>
          <w:numId w:val="2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da alteração,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cumulativamente, no valor justo do passivo financeiro que seja atribuível a alterações no risco de crédito desse passivo (ver itens B5.7.13 a B5.7.20 do CPC 48 para orientação sobre a determinação dos efeitos das alterações no risco de crédito do passivo); e</w:t>
      </w:r>
    </w:p>
    <w:p w14:paraId="7EE0A2D7" w14:textId="395FF43D" w:rsidR="00953DE8" w:rsidRPr="007775ED" w:rsidRDefault="00953DE8" w:rsidP="007775ED">
      <w:pPr>
        <w:pStyle w:val="IASBSectionTitle1NonInd"/>
        <w:numPr>
          <w:ilvl w:val="0"/>
          <w:numId w:val="2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diferença entre o valor contábil do passivo financeiro e o valor que a entidade estaria contratualmente obrigada a pagar no vencimento ao titular da obrigação.</w:t>
      </w:r>
    </w:p>
    <w:p w14:paraId="0AD40978"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Reclassificação</w:t>
      </w:r>
    </w:p>
    <w:p w14:paraId="037C01B6" w14:textId="35E1C258"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entidade deve divulgar se, nos períodos de </w:t>
      </w:r>
      <w:r w:rsidR="003C1E4A" w:rsidRPr="007775ED">
        <w:rPr>
          <w:rFonts w:ascii="Times New Roman" w:hAnsi="Times New Roman" w:cs="Times New Roman"/>
          <w:b w:val="0"/>
          <w:bCs/>
          <w:sz w:val="24"/>
          <w:szCs w:val="24"/>
        </w:rPr>
        <w:t xml:space="preserve">reporte </w:t>
      </w:r>
      <w:r w:rsidRPr="007775ED">
        <w:rPr>
          <w:rFonts w:ascii="Times New Roman" w:hAnsi="Times New Roman" w:cs="Times New Roman"/>
          <w:b w:val="0"/>
          <w:bCs/>
          <w:sz w:val="24"/>
          <w:szCs w:val="24"/>
        </w:rPr>
        <w:t>correntes ou anteriores, reclassificou quaisquer ativos financeiros de acordo com o item 4.4.1 do CPC 48. Para cada um desses eventos, a entidade deve divulgar:</w:t>
      </w:r>
    </w:p>
    <w:p w14:paraId="475A50AC" w14:textId="6D0D1DF1" w:rsidR="00953DE8" w:rsidRPr="007775ED" w:rsidRDefault="00953DE8" w:rsidP="007775ED">
      <w:pPr>
        <w:pStyle w:val="IASBSectionTitle1NonInd"/>
        <w:numPr>
          <w:ilvl w:val="0"/>
          <w:numId w:val="2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data da reclassificação;</w:t>
      </w:r>
    </w:p>
    <w:p w14:paraId="6ED5C11B" w14:textId="3BC33474" w:rsidR="00953DE8" w:rsidRPr="007775ED" w:rsidRDefault="00953DE8" w:rsidP="007775ED">
      <w:pPr>
        <w:pStyle w:val="IASBSectionTitle1NonInd"/>
        <w:numPr>
          <w:ilvl w:val="0"/>
          <w:numId w:val="2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explicação detalhada da alteração no modelo de negócios e a descrição qualitativa de seu efeito sobre as demonstrações contábeis da entidade; e</w:t>
      </w:r>
    </w:p>
    <w:p w14:paraId="195E14DC" w14:textId="13840CDD" w:rsidR="00953DE8" w:rsidRPr="007775ED" w:rsidRDefault="00953DE8" w:rsidP="007775ED">
      <w:pPr>
        <w:pStyle w:val="IASBSectionTitle1NonInd"/>
        <w:numPr>
          <w:ilvl w:val="0"/>
          <w:numId w:val="2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reclassificado dentro e fora de cada categoria.</w:t>
      </w:r>
    </w:p>
    <w:p w14:paraId="4952ECB3" w14:textId="31318962"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cada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após a reclassificação até o </w:t>
      </w:r>
      <w:proofErr w:type="spellStart"/>
      <w:r w:rsidRPr="007775ED">
        <w:rPr>
          <w:rFonts w:ascii="Times New Roman" w:hAnsi="Times New Roman" w:cs="Times New Roman"/>
          <w:b w:val="0"/>
          <w:bCs/>
          <w:sz w:val="24"/>
          <w:szCs w:val="24"/>
        </w:rPr>
        <w:t>desreconhecimento</w:t>
      </w:r>
      <w:proofErr w:type="spellEnd"/>
      <w:r w:rsidRPr="007775ED">
        <w:rPr>
          <w:rFonts w:ascii="Times New Roman" w:hAnsi="Times New Roman" w:cs="Times New Roman"/>
          <w:b w:val="0"/>
          <w:bCs/>
          <w:sz w:val="24"/>
          <w:szCs w:val="24"/>
        </w:rPr>
        <w:t>, a entidade deve divulgar, para ativos reclassificados da categoria de valor justo por meio do resultado</w:t>
      </w:r>
      <w:r w:rsidR="003C1E4A" w:rsidRPr="007775ED">
        <w:rPr>
          <w:rFonts w:ascii="Times New Roman" w:hAnsi="Times New Roman" w:cs="Times New Roman"/>
          <w:b w:val="0"/>
          <w:bCs/>
          <w:sz w:val="24"/>
          <w:szCs w:val="24"/>
        </w:rPr>
        <w:t>,</w:t>
      </w:r>
      <w:r w:rsidRPr="007775ED">
        <w:rPr>
          <w:rFonts w:ascii="Times New Roman" w:hAnsi="Times New Roman" w:cs="Times New Roman"/>
          <w:b w:val="0"/>
          <w:bCs/>
          <w:sz w:val="24"/>
          <w:szCs w:val="24"/>
        </w:rPr>
        <w:t xml:space="preserve"> de modo que sejam mensurados ao custo amortizado ou ao valor justo por meio de outros resultados abrangentes de acordo com o item 4.4.1 do CPC 48:</w:t>
      </w:r>
    </w:p>
    <w:p w14:paraId="0D4F7263" w14:textId="61DAAFFF" w:rsidR="00953DE8" w:rsidRPr="007775ED" w:rsidRDefault="00953DE8" w:rsidP="007775ED">
      <w:pPr>
        <w:pStyle w:val="IASBSectionTitle1NonInd"/>
        <w:numPr>
          <w:ilvl w:val="0"/>
          <w:numId w:val="2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juros efetiva determinada na data da reclassificação; e</w:t>
      </w:r>
    </w:p>
    <w:p w14:paraId="3BE3EDE5" w14:textId="34B95B4E" w:rsidR="00953DE8" w:rsidRPr="007775ED" w:rsidRDefault="00953DE8" w:rsidP="007775ED">
      <w:pPr>
        <w:pStyle w:val="IASBSectionTitle1NonInd"/>
        <w:numPr>
          <w:ilvl w:val="0"/>
          <w:numId w:val="25"/>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receita de juros reconhecida.</w:t>
      </w:r>
    </w:p>
    <w:p w14:paraId="322A514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Compensação de ativos financeiros e passivos financeiros</w:t>
      </w:r>
    </w:p>
    <w:p w14:paraId="1C7D81B1" w14:textId="10F7DB62"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divulgar separadamente os valores brutos desses ativos financeiros reconhecidos e passivos financeiros reconhecidos que são compensados de acordo com o item 42 do </w:t>
      </w:r>
      <w:r w:rsidR="003C1E4A"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39 – Instrumentos Financeiros: Apresentação.</w:t>
      </w:r>
    </w:p>
    <w:p w14:paraId="15E515CE" w14:textId="4A26E4D6"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Instrumentos financeiros divulgados de acordo com o item 49 podem estar sujeitos a diferentes requisitos de mensuração (por exemplo, conta a pagar relacionada a contrato de recompra pode ser mensurada ao custo amortizado, enquanto o derivativo deve ser mensurado ao valor justo). A entidade deve incluir instrumentos financeiros aos seus valores reconhecidos e deve descrever quaisquer diferenças de mensuração resultantes nas respectivas divulgações.</w:t>
      </w:r>
    </w:p>
    <w:p w14:paraId="108243A6" w14:textId="7512F021"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Garantia</w:t>
      </w:r>
      <w:r w:rsidR="003C1E4A" w:rsidRPr="007775ED">
        <w:rPr>
          <w:rFonts w:ascii="Times New Roman" w:hAnsi="Times New Roman" w:cs="Times New Roman"/>
          <w:b w:val="0"/>
          <w:bCs/>
          <w:i/>
          <w:iCs/>
          <w:sz w:val="24"/>
          <w:szCs w:val="24"/>
        </w:rPr>
        <w:t>s</w:t>
      </w:r>
    </w:p>
    <w:p w14:paraId="7069F98A" w14:textId="4C829F94"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2C9712DA" w14:textId="3FE6CF49" w:rsidR="00953DE8" w:rsidRPr="007775ED" w:rsidRDefault="00953DE8" w:rsidP="007775ED">
      <w:pPr>
        <w:pStyle w:val="IASBSectionTitle1NonInd"/>
        <w:numPr>
          <w:ilvl w:val="0"/>
          <w:numId w:val="2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do ativo financeiro que é usado como garantia para passivos ou passivos contingentes, incluindo montantes que tenham sido reclassificados em consonância com o item 3.2.23(a) do CPC 48; e</w:t>
      </w:r>
    </w:p>
    <w:p w14:paraId="3ABB0871" w14:textId="73545124" w:rsidR="00953DE8" w:rsidRPr="007775ED" w:rsidRDefault="00953DE8" w:rsidP="007775ED">
      <w:pPr>
        <w:pStyle w:val="IASBSectionTitle1NonInd"/>
        <w:numPr>
          <w:ilvl w:val="0"/>
          <w:numId w:val="26"/>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termos e as condições relativos à garantia.</w:t>
      </w:r>
    </w:p>
    <w:p w14:paraId="343FA953" w14:textId="7F6DC08A" w:rsidR="00953DE8" w:rsidRPr="007775ED" w:rsidRDefault="001F15A7"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Rubrica de </w:t>
      </w:r>
      <w:r w:rsidR="003C1E4A" w:rsidRPr="007775ED">
        <w:rPr>
          <w:rFonts w:ascii="Times New Roman" w:hAnsi="Times New Roman" w:cs="Times New Roman"/>
          <w:b w:val="0"/>
          <w:bCs/>
          <w:i/>
          <w:iCs/>
          <w:sz w:val="24"/>
          <w:szCs w:val="24"/>
        </w:rPr>
        <w:t>Provisão para p</w:t>
      </w:r>
      <w:r w:rsidR="00953DE8" w:rsidRPr="007775ED">
        <w:rPr>
          <w:rFonts w:ascii="Times New Roman" w:hAnsi="Times New Roman" w:cs="Times New Roman"/>
          <w:b w:val="0"/>
          <w:bCs/>
          <w:i/>
          <w:iCs/>
          <w:sz w:val="24"/>
          <w:szCs w:val="24"/>
        </w:rPr>
        <w:t>erda</w:t>
      </w:r>
      <w:r w:rsidR="003C1E4A" w:rsidRPr="007775ED">
        <w:rPr>
          <w:rFonts w:ascii="Times New Roman" w:hAnsi="Times New Roman" w:cs="Times New Roman"/>
          <w:b w:val="0"/>
          <w:bCs/>
          <w:i/>
          <w:iCs/>
          <w:sz w:val="24"/>
          <w:szCs w:val="24"/>
        </w:rPr>
        <w:t xml:space="preserve">s de </w:t>
      </w:r>
      <w:r w:rsidR="00953DE8" w:rsidRPr="007775ED">
        <w:rPr>
          <w:rFonts w:ascii="Times New Roman" w:hAnsi="Times New Roman" w:cs="Times New Roman"/>
          <w:b w:val="0"/>
          <w:bCs/>
          <w:i/>
          <w:iCs/>
          <w:sz w:val="24"/>
          <w:szCs w:val="24"/>
        </w:rPr>
        <w:t>crédito</w:t>
      </w:r>
    </w:p>
    <w:p w14:paraId="094F9991" w14:textId="7A84FE63"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de ativos financeiros mensurados ao valor justo por meio de outros resultados abrangentes, de acordo com o item 4.1.2A do CPC 48, não deve ser reduzido </w:t>
      </w:r>
      <w:r w:rsidR="003C1E4A" w:rsidRPr="007775ED">
        <w:rPr>
          <w:rFonts w:ascii="Times New Roman" w:hAnsi="Times New Roman" w:cs="Times New Roman"/>
          <w:b w:val="0"/>
          <w:bCs/>
          <w:sz w:val="24"/>
          <w:szCs w:val="24"/>
        </w:rPr>
        <w:t>pel</w:t>
      </w:r>
      <w:r w:rsidR="00F56C54" w:rsidRPr="007775ED">
        <w:rPr>
          <w:rFonts w:ascii="Times New Roman" w:hAnsi="Times New Roman" w:cs="Times New Roman"/>
          <w:b w:val="0"/>
          <w:bCs/>
          <w:sz w:val="24"/>
          <w:szCs w:val="24"/>
        </w:rPr>
        <w:t>a</w:t>
      </w:r>
      <w:r w:rsidR="003C1E4A" w:rsidRPr="007775ED">
        <w:rPr>
          <w:rFonts w:ascii="Times New Roman" w:hAnsi="Times New Roman" w:cs="Times New Roman"/>
          <w:b w:val="0"/>
          <w:bCs/>
          <w:sz w:val="24"/>
          <w:szCs w:val="24"/>
        </w:rPr>
        <w:t xml:space="preserve"> </w:t>
      </w:r>
      <w:r w:rsidR="00F56C54" w:rsidRPr="007775ED">
        <w:rPr>
          <w:rFonts w:ascii="Times New Roman" w:hAnsi="Times New Roman" w:cs="Times New Roman"/>
          <w:b w:val="0"/>
          <w:bCs/>
          <w:sz w:val="24"/>
          <w:szCs w:val="24"/>
        </w:rPr>
        <w:t xml:space="preserve">rubrica </w:t>
      </w:r>
      <w:r w:rsidR="003C1E4A" w:rsidRPr="007775ED">
        <w:rPr>
          <w:rFonts w:ascii="Times New Roman" w:hAnsi="Times New Roman" w:cs="Times New Roman"/>
          <w:b w:val="0"/>
          <w:bCs/>
          <w:sz w:val="24"/>
          <w:szCs w:val="24"/>
        </w:rPr>
        <w:t xml:space="preserve">de provisões para perdas de crédito </w:t>
      </w:r>
      <w:r w:rsidRPr="007775ED">
        <w:rPr>
          <w:rFonts w:ascii="Times New Roman" w:hAnsi="Times New Roman" w:cs="Times New Roman"/>
          <w:b w:val="0"/>
          <w:bCs/>
          <w:sz w:val="24"/>
          <w:szCs w:val="24"/>
        </w:rPr>
        <w:t xml:space="preserve">e a entidade não deve apresentar </w:t>
      </w:r>
      <w:r w:rsidR="003C1E4A" w:rsidRPr="007775ED">
        <w:rPr>
          <w:rFonts w:ascii="Times New Roman" w:hAnsi="Times New Roman" w:cs="Times New Roman"/>
          <w:b w:val="0"/>
          <w:bCs/>
          <w:sz w:val="24"/>
          <w:szCs w:val="24"/>
        </w:rPr>
        <w:t xml:space="preserve">tais </w:t>
      </w:r>
      <w:r w:rsidR="001F15A7" w:rsidRPr="007775ED">
        <w:rPr>
          <w:rFonts w:ascii="Times New Roman" w:hAnsi="Times New Roman" w:cs="Times New Roman"/>
          <w:b w:val="0"/>
          <w:bCs/>
          <w:sz w:val="24"/>
          <w:szCs w:val="24"/>
        </w:rPr>
        <w:t xml:space="preserve">rubricas de </w:t>
      </w:r>
      <w:r w:rsidR="003C1E4A" w:rsidRPr="007775ED">
        <w:rPr>
          <w:rFonts w:ascii="Times New Roman" w:hAnsi="Times New Roman" w:cs="Times New Roman"/>
          <w:b w:val="0"/>
          <w:bCs/>
          <w:sz w:val="24"/>
          <w:szCs w:val="24"/>
        </w:rPr>
        <w:t xml:space="preserve">provisões </w:t>
      </w:r>
      <w:r w:rsidRPr="007775ED">
        <w:rPr>
          <w:rFonts w:ascii="Times New Roman" w:hAnsi="Times New Roman" w:cs="Times New Roman"/>
          <w:b w:val="0"/>
          <w:bCs/>
          <w:sz w:val="24"/>
          <w:szCs w:val="24"/>
        </w:rPr>
        <w:t xml:space="preserve">separadamente no balanço patrimonial como redução do valor contábil do ativo financeiro. Contudo, a entidade deve divulgar </w:t>
      </w:r>
      <w:r w:rsidR="003C1E4A" w:rsidRPr="007775ED">
        <w:rPr>
          <w:rFonts w:ascii="Times New Roman" w:hAnsi="Times New Roman" w:cs="Times New Roman"/>
          <w:b w:val="0"/>
          <w:bCs/>
          <w:sz w:val="24"/>
          <w:szCs w:val="24"/>
        </w:rPr>
        <w:t xml:space="preserve">estas provisões para </w:t>
      </w:r>
      <w:r w:rsidRPr="007775ED">
        <w:rPr>
          <w:rFonts w:ascii="Times New Roman" w:hAnsi="Times New Roman" w:cs="Times New Roman"/>
          <w:b w:val="0"/>
          <w:bCs/>
          <w:sz w:val="24"/>
          <w:szCs w:val="24"/>
        </w:rPr>
        <w:t xml:space="preserve">perdas </w:t>
      </w:r>
      <w:r w:rsidR="003C1E4A" w:rsidRPr="007775ED">
        <w:rPr>
          <w:rFonts w:ascii="Times New Roman" w:hAnsi="Times New Roman" w:cs="Times New Roman"/>
          <w:b w:val="0"/>
          <w:bCs/>
          <w:sz w:val="24"/>
          <w:szCs w:val="24"/>
        </w:rPr>
        <w:t xml:space="preserve">em </w:t>
      </w:r>
      <w:r w:rsidRPr="007775ED">
        <w:rPr>
          <w:rFonts w:ascii="Times New Roman" w:hAnsi="Times New Roman" w:cs="Times New Roman"/>
          <w:b w:val="0"/>
          <w:bCs/>
          <w:sz w:val="24"/>
          <w:szCs w:val="24"/>
        </w:rPr>
        <w:t>notas explicativas.</w:t>
      </w:r>
    </w:p>
    <w:p w14:paraId="4DC2FCEF"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Instrumentos financeiros compostos com múltiplos derivativos embutidos</w:t>
      </w:r>
    </w:p>
    <w:p w14:paraId="4C6E2B93" w14:textId="19488E87"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a entidade tiver emitido um instrumento que contenha tanto um componente de </w:t>
      </w:r>
      <w:r w:rsidR="003C1E4A" w:rsidRPr="007775ED">
        <w:rPr>
          <w:rFonts w:ascii="Times New Roman" w:hAnsi="Times New Roman" w:cs="Times New Roman"/>
          <w:b w:val="0"/>
          <w:bCs/>
          <w:sz w:val="24"/>
          <w:szCs w:val="24"/>
        </w:rPr>
        <w:t xml:space="preserve">patrimônio </w:t>
      </w:r>
      <w:r w:rsidR="00F24368" w:rsidRPr="007775ED">
        <w:rPr>
          <w:rFonts w:ascii="Times New Roman" w:hAnsi="Times New Roman" w:cs="Times New Roman"/>
          <w:b w:val="0"/>
          <w:bCs/>
          <w:sz w:val="24"/>
          <w:szCs w:val="24"/>
        </w:rPr>
        <w:t xml:space="preserve">líquido </w:t>
      </w:r>
      <w:r w:rsidRPr="007775ED">
        <w:rPr>
          <w:rFonts w:ascii="Times New Roman" w:hAnsi="Times New Roman" w:cs="Times New Roman"/>
          <w:b w:val="0"/>
          <w:bCs/>
          <w:sz w:val="24"/>
          <w:szCs w:val="24"/>
        </w:rPr>
        <w:t>como um passivo (ver item 28 do CPC 39) e o instrumento possuir múltiplos derivativos embutidos cujos valores são interdependentes (tais como um instrumento de dívida conversível), ela deve divulgar a existência dessas situações.</w:t>
      </w:r>
    </w:p>
    <w:p w14:paraId="398A7C92"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Descumprimento de compromisso contratual</w:t>
      </w:r>
    </w:p>
    <w:p w14:paraId="10D9C289" w14:textId="6595CF65"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empréstimos a pagar existentes na data das demonstrações contábeis, a entidade deve divulgar:</w:t>
      </w:r>
    </w:p>
    <w:p w14:paraId="0D08BEEA" w14:textId="4E336BA5" w:rsidR="00953DE8" w:rsidRPr="007775ED" w:rsidRDefault="00953DE8" w:rsidP="007775ED">
      <w:pPr>
        <w:pStyle w:val="IASBSectionTitle1NonInd"/>
        <w:numPr>
          <w:ilvl w:val="0"/>
          <w:numId w:val="2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detalhes de qualquer descumprimento contratual durante o período do principal, juros, amortização ou resgates;</w:t>
      </w:r>
    </w:p>
    <w:p w14:paraId="2390D2E1" w14:textId="33782F7C" w:rsidR="00953DE8" w:rsidRPr="007775ED" w:rsidRDefault="00953DE8" w:rsidP="007775ED">
      <w:pPr>
        <w:pStyle w:val="IASBSectionTitle1NonInd"/>
        <w:numPr>
          <w:ilvl w:val="0"/>
          <w:numId w:val="2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da dívida em atraso na data das demonstrações contábeis; e</w:t>
      </w:r>
    </w:p>
    <w:p w14:paraId="05F6BA3D" w14:textId="68C203DA" w:rsidR="00953DE8" w:rsidRPr="007775ED" w:rsidRDefault="00953DE8" w:rsidP="007775ED">
      <w:pPr>
        <w:pStyle w:val="IASBSectionTitle1NonInd"/>
        <w:numPr>
          <w:ilvl w:val="0"/>
          <w:numId w:val="27"/>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no caso de renegociação dos termos contratuais antes das demonstrações contábeis serem autorizadas para emissão, os termos dessa renegociação.</w:t>
      </w:r>
    </w:p>
    <w:p w14:paraId="655367FC" w14:textId="2D64D828"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durante o período, tiver havido descumprimentos ou violações dos acordos contratuais diferentes das descritas no item 54, a entidade deve divulgar a mesma informação exigida no item 54 se os descumprimentos ou violações permitirem que o credor exija pagamento antecipado (salvo se os descumprimentos ou violações tiverem sido sanadas, ou os termos do empréstimo tiverem sido renegociados, até a data ou antes da data das demonstrações contábeis).</w:t>
      </w:r>
    </w:p>
    <w:p w14:paraId="4BC926B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Itens de receita, despesa, ganho e perda</w:t>
      </w:r>
    </w:p>
    <w:p w14:paraId="7EDFBB42" w14:textId="393C4E1C" w:rsidR="00953DE8"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observados os requisitos de apresentação d</w:t>
      </w:r>
      <w:r w:rsidR="003C1E4A" w:rsidRPr="007775ED">
        <w:rPr>
          <w:rFonts w:ascii="Times New Roman" w:hAnsi="Times New Roman" w:cs="Times New Roman"/>
          <w:b w:val="0"/>
          <w:bCs/>
          <w:sz w:val="24"/>
          <w:szCs w:val="24"/>
        </w:rPr>
        <w:t>o CPC 51</w:t>
      </w:r>
      <w:r w:rsidRPr="007775ED">
        <w:rPr>
          <w:rFonts w:ascii="Times New Roman" w:hAnsi="Times New Roman" w:cs="Times New Roman"/>
          <w:b w:val="0"/>
          <w:bCs/>
          <w:sz w:val="24"/>
          <w:szCs w:val="24"/>
        </w:rPr>
        <w:t xml:space="preserve">, os seguintes itens de receita, despesa, ganho e perda, </w:t>
      </w:r>
      <w:r w:rsidR="003C1E4A" w:rsidRPr="007775ED">
        <w:rPr>
          <w:rFonts w:ascii="Times New Roman" w:hAnsi="Times New Roman" w:cs="Times New Roman"/>
          <w:b w:val="0"/>
          <w:bCs/>
          <w:sz w:val="24"/>
          <w:szCs w:val="24"/>
        </w:rPr>
        <w:t xml:space="preserve">seja </w:t>
      </w:r>
      <w:r w:rsidRPr="007775ED">
        <w:rPr>
          <w:rFonts w:ascii="Times New Roman" w:hAnsi="Times New Roman" w:cs="Times New Roman"/>
          <w:b w:val="0"/>
          <w:bCs/>
          <w:sz w:val="24"/>
          <w:szCs w:val="24"/>
        </w:rPr>
        <w:t>na demonstração do resultado abrangente, na demonstração do resultado ou nas notas explicativas:</w:t>
      </w:r>
    </w:p>
    <w:p w14:paraId="681FBF52" w14:textId="5C37B99A" w:rsidR="00953DE8" w:rsidRPr="007775ED" w:rsidRDefault="00953DE8" w:rsidP="007775ED">
      <w:pPr>
        <w:pStyle w:val="IASBSectionTitle1NonInd"/>
        <w:numPr>
          <w:ilvl w:val="0"/>
          <w:numId w:val="2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ganhos líquidos ou perdas líquidas em:</w:t>
      </w:r>
    </w:p>
    <w:p w14:paraId="24FB9FCE" w14:textId="541AB20E" w:rsidR="00953DE8" w:rsidRPr="007775ED" w:rsidRDefault="00953DE8" w:rsidP="007775ED">
      <w:pPr>
        <w:pStyle w:val="IASBSectionTitle1NonInd"/>
        <w:numPr>
          <w:ilvl w:val="0"/>
          <w:numId w:val="2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ou passivos financeiros </w:t>
      </w:r>
      <w:r w:rsidR="00B62636"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valor justo por meio do resultado;</w:t>
      </w:r>
    </w:p>
    <w:p w14:paraId="642E74B4" w14:textId="2DEC87E7" w:rsidR="00953DE8" w:rsidRPr="007775ED" w:rsidRDefault="00953DE8" w:rsidP="007775ED">
      <w:pPr>
        <w:pStyle w:val="IASBSectionTitle1NonInd"/>
        <w:numPr>
          <w:ilvl w:val="0"/>
          <w:numId w:val="2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passivos financeiros mensurados </w:t>
      </w:r>
      <w:r w:rsidR="00B62636"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custo amortizado;</w:t>
      </w:r>
    </w:p>
    <w:p w14:paraId="6540198B" w14:textId="0D03B3E1" w:rsidR="00953DE8" w:rsidRPr="007775ED" w:rsidRDefault="00953DE8" w:rsidP="007775ED">
      <w:pPr>
        <w:pStyle w:val="IASBSectionTitle1NonInd"/>
        <w:numPr>
          <w:ilvl w:val="0"/>
          <w:numId w:val="2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mensurados </w:t>
      </w:r>
      <w:r w:rsidR="00B62636"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custo amortizado;</w:t>
      </w:r>
    </w:p>
    <w:p w14:paraId="6720E8DF" w14:textId="76230F37" w:rsidR="00953DE8" w:rsidRPr="007775ED" w:rsidRDefault="00953DE8" w:rsidP="007775ED">
      <w:pPr>
        <w:pStyle w:val="IASBSectionTitle1NonInd"/>
        <w:numPr>
          <w:ilvl w:val="0"/>
          <w:numId w:val="2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investimentos em instrumentos patrimoniais designados como ao valor justo por meio de outros resultados abrangentes, de acordo com o item 5.7.5 do CPC 48; e</w:t>
      </w:r>
    </w:p>
    <w:p w14:paraId="7492AB1E" w14:textId="2E395B3F" w:rsidR="00953DE8" w:rsidRPr="007775ED" w:rsidRDefault="00953DE8" w:rsidP="007775ED">
      <w:pPr>
        <w:pStyle w:val="IASBSectionTitle1NonInd"/>
        <w:numPr>
          <w:ilvl w:val="0"/>
          <w:numId w:val="29"/>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mensurados ao valor justo por meio de outros resultados abrangentes de acordo com o item 4.1.2A do CPC 48, apresentando separadamente o valor do ganho ou da perda reconhecido em outros resultados abrangentes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o valor reclassificado, por ocasião do </w:t>
      </w:r>
      <w:proofErr w:type="spellStart"/>
      <w:r w:rsidRPr="007775ED">
        <w:rPr>
          <w:rFonts w:ascii="Times New Roman" w:hAnsi="Times New Roman" w:cs="Times New Roman"/>
          <w:b w:val="0"/>
          <w:bCs/>
          <w:sz w:val="24"/>
          <w:szCs w:val="24"/>
        </w:rPr>
        <w:t>desreconhecimento</w:t>
      </w:r>
      <w:proofErr w:type="spellEnd"/>
      <w:r w:rsidRPr="007775ED">
        <w:rPr>
          <w:rFonts w:ascii="Times New Roman" w:hAnsi="Times New Roman" w:cs="Times New Roman"/>
          <w:b w:val="0"/>
          <w:bCs/>
          <w:sz w:val="24"/>
          <w:szCs w:val="24"/>
        </w:rPr>
        <w:t xml:space="preserve"> de outros resultados abrangentes acumulados para o resultado do período;</w:t>
      </w:r>
    </w:p>
    <w:p w14:paraId="39BBA49F" w14:textId="185F4D57" w:rsidR="00953DE8" w:rsidRPr="007775ED" w:rsidRDefault="00953DE8" w:rsidP="007775ED">
      <w:pPr>
        <w:pStyle w:val="IASBSectionTitle1NonInd"/>
        <w:numPr>
          <w:ilvl w:val="0"/>
          <w:numId w:val="2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receita e despesa totais de juros (calculados utilizando-se o método da taxa efetiva de juros) para os ativos financeiros que são mensurados ao custo amortizado ou ao valor justo por meio de outros resultados abrangentes, de acordo com o item 4.1.2A do CPC 48, ou passivos financeiros que não são mensurados ao valor justo por meio do resultado; e</w:t>
      </w:r>
    </w:p>
    <w:p w14:paraId="6EA73203" w14:textId="709E4657" w:rsidR="00953DE8" w:rsidRPr="007775ED" w:rsidRDefault="00953DE8" w:rsidP="007775ED">
      <w:pPr>
        <w:pStyle w:val="IASBSectionTitle1NonInd"/>
        <w:numPr>
          <w:ilvl w:val="0"/>
          <w:numId w:val="28"/>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receitas e despesas </w:t>
      </w:r>
      <w:r w:rsidR="00B62636" w:rsidRPr="007775ED">
        <w:rPr>
          <w:rFonts w:ascii="Times New Roman" w:hAnsi="Times New Roman" w:cs="Times New Roman"/>
          <w:b w:val="0"/>
          <w:bCs/>
          <w:sz w:val="24"/>
          <w:szCs w:val="24"/>
        </w:rPr>
        <w:t>(</w:t>
      </w:r>
      <w:r w:rsidRPr="007775ED">
        <w:rPr>
          <w:rFonts w:ascii="Times New Roman" w:hAnsi="Times New Roman" w:cs="Times New Roman"/>
          <w:b w:val="0"/>
          <w:bCs/>
          <w:sz w:val="24"/>
          <w:szCs w:val="24"/>
        </w:rPr>
        <w:t xml:space="preserve">que não </w:t>
      </w:r>
      <w:r w:rsidR="00B62636" w:rsidRPr="007775ED">
        <w:rPr>
          <w:rFonts w:ascii="Times New Roman" w:hAnsi="Times New Roman" w:cs="Times New Roman"/>
          <w:b w:val="0"/>
          <w:bCs/>
          <w:sz w:val="24"/>
          <w:szCs w:val="24"/>
        </w:rPr>
        <w:t xml:space="preserve">sejam </w:t>
      </w:r>
      <w:r w:rsidRPr="007775ED">
        <w:rPr>
          <w:rFonts w:ascii="Times New Roman" w:hAnsi="Times New Roman" w:cs="Times New Roman"/>
          <w:b w:val="0"/>
          <w:bCs/>
          <w:sz w:val="24"/>
          <w:szCs w:val="24"/>
        </w:rPr>
        <w:t>as incluídas na determinação da taxa de juros efetiva</w:t>
      </w:r>
      <w:r w:rsidR="00B62636" w:rsidRPr="007775ED">
        <w:rPr>
          <w:rFonts w:ascii="Times New Roman" w:hAnsi="Times New Roman" w:cs="Times New Roman"/>
          <w:b w:val="0"/>
          <w:bCs/>
          <w:sz w:val="24"/>
          <w:szCs w:val="24"/>
        </w:rPr>
        <w:t>)</w:t>
      </w:r>
      <w:r w:rsidRPr="007775ED">
        <w:rPr>
          <w:rFonts w:ascii="Times New Roman" w:hAnsi="Times New Roman" w:cs="Times New Roman"/>
          <w:b w:val="0"/>
          <w:bCs/>
          <w:sz w:val="24"/>
          <w:szCs w:val="24"/>
        </w:rPr>
        <w:t xml:space="preserve"> decorrentes de:</w:t>
      </w:r>
    </w:p>
    <w:p w14:paraId="1F369D85" w14:textId="55F8CDEF" w:rsidR="00953DE8" w:rsidRPr="007775ED" w:rsidRDefault="00953DE8" w:rsidP="007775ED">
      <w:pPr>
        <w:pStyle w:val="IASBSectionTitle1NonInd"/>
        <w:numPr>
          <w:ilvl w:val="0"/>
          <w:numId w:val="30"/>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ou passivos financeiros que não </w:t>
      </w:r>
      <w:r w:rsidR="00B62636" w:rsidRPr="007775ED">
        <w:rPr>
          <w:rFonts w:ascii="Times New Roman" w:hAnsi="Times New Roman" w:cs="Times New Roman"/>
          <w:b w:val="0"/>
          <w:bCs/>
          <w:sz w:val="24"/>
          <w:szCs w:val="24"/>
        </w:rPr>
        <w:t xml:space="preserve">sejam </w:t>
      </w:r>
      <w:r w:rsidRPr="007775ED">
        <w:rPr>
          <w:rFonts w:ascii="Times New Roman" w:hAnsi="Times New Roman" w:cs="Times New Roman"/>
          <w:b w:val="0"/>
          <w:bCs/>
          <w:sz w:val="24"/>
          <w:szCs w:val="24"/>
        </w:rPr>
        <w:t>mensurados ao valor justo por meio do resultado; e</w:t>
      </w:r>
    </w:p>
    <w:p w14:paraId="0D45B7AF" w14:textId="47730DE7" w:rsidR="00953DE8" w:rsidRPr="007775ED" w:rsidRDefault="00953DE8" w:rsidP="007775ED">
      <w:pPr>
        <w:pStyle w:val="IASBSectionTitle1NonInd"/>
        <w:numPr>
          <w:ilvl w:val="0"/>
          <w:numId w:val="30"/>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trustes e </w:t>
      </w:r>
      <w:r w:rsidR="00B62636" w:rsidRPr="007775ED">
        <w:rPr>
          <w:rFonts w:ascii="Times New Roman" w:hAnsi="Times New Roman" w:cs="Times New Roman"/>
          <w:b w:val="0"/>
          <w:bCs/>
          <w:sz w:val="24"/>
          <w:szCs w:val="24"/>
        </w:rPr>
        <w:t xml:space="preserve">outras </w:t>
      </w:r>
      <w:r w:rsidRPr="007775ED">
        <w:rPr>
          <w:rFonts w:ascii="Times New Roman" w:hAnsi="Times New Roman" w:cs="Times New Roman"/>
          <w:b w:val="0"/>
          <w:bCs/>
          <w:sz w:val="24"/>
          <w:szCs w:val="24"/>
        </w:rPr>
        <w:t>atividades fiduciárias que resultem na manutenção ou investimento de ativos em favor de indivíduos, trustes, fundos de pensão e outras instituições.</w:t>
      </w:r>
    </w:p>
    <w:p w14:paraId="715A43D2" w14:textId="57549469" w:rsidR="00BB1CDF" w:rsidRPr="007775ED" w:rsidRDefault="00BB1CDF" w:rsidP="007775ED">
      <w:pPr>
        <w:pStyle w:val="IASBSectionTitle1NonInd"/>
        <w:pBdr>
          <w:bottom w:val="none" w:sz="0" w:space="0" w:color="auto"/>
        </w:pBdr>
        <w:spacing w:before="0"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56A.</w:t>
      </w:r>
      <w:r w:rsidRPr="007775ED">
        <w:rPr>
          <w:rFonts w:ascii="Times New Roman" w:hAnsi="Times New Roman" w:cs="Times New Roman"/>
          <w:b w:val="0"/>
          <w:bCs/>
          <w:sz w:val="24"/>
          <w:szCs w:val="24"/>
        </w:rPr>
        <w:tab/>
        <w:t>A entidade deve divulgar a informação requerida pelo item 56B por classe de ativo financeiro mensurado ao custo amortizado ou ao valor justo por meio de outros resultados abrangentes e por classe de passivos financeiros mensurados ao custo amortizado.</w:t>
      </w:r>
    </w:p>
    <w:p w14:paraId="33CBEDC3" w14:textId="31685F12" w:rsidR="00BB1CDF" w:rsidRPr="007775ED" w:rsidRDefault="00BB1CDF" w:rsidP="007775ED">
      <w:pPr>
        <w:pStyle w:val="IASBSectionTitle1NonInd"/>
        <w:pBdr>
          <w:bottom w:val="none" w:sz="0" w:space="0" w:color="auto"/>
        </w:pBdr>
        <w:spacing w:before="0"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56B. </w:t>
      </w:r>
      <w:r w:rsidRPr="007775ED">
        <w:rPr>
          <w:rFonts w:ascii="Times New Roman" w:hAnsi="Times New Roman" w:cs="Times New Roman"/>
          <w:b w:val="0"/>
          <w:bCs/>
          <w:sz w:val="24"/>
          <w:szCs w:val="24"/>
        </w:rPr>
        <w:tab/>
        <w:t xml:space="preserve">Para permitir aos usuários das demonstrações contábeis compreender os efeitos de termos contratuais que possam modificar o montante dos </w:t>
      </w:r>
      <w:r w:rsidR="009169A2">
        <w:rPr>
          <w:rFonts w:ascii="Times New Roman" w:hAnsi="Times New Roman" w:cs="Times New Roman"/>
          <w:b w:val="0"/>
          <w:bCs/>
          <w:sz w:val="24"/>
          <w:szCs w:val="24"/>
        </w:rPr>
        <w:t>f</w:t>
      </w:r>
      <w:r w:rsidRPr="007775ED">
        <w:rPr>
          <w:rFonts w:ascii="Times New Roman" w:hAnsi="Times New Roman" w:cs="Times New Roman"/>
          <w:b w:val="0"/>
          <w:bCs/>
          <w:sz w:val="24"/>
          <w:szCs w:val="24"/>
        </w:rPr>
        <w:t>luxos de caixa contratuais baseados na ocorrência (ou da não-ocorrência) de um evento contingente que não se relacione diretamente às mudanças em riscos e custos básicos de empréstimos (como o valor do dinheiro no tempo ou risco de crédito), a entidade deve divulgar:</w:t>
      </w:r>
    </w:p>
    <w:p w14:paraId="63D17F32" w14:textId="77777777" w:rsidR="00BB1CDF" w:rsidRPr="007775ED" w:rsidRDefault="00BB1CDF"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qualitativa da natureza do evento contingente;</w:t>
      </w:r>
    </w:p>
    <w:p w14:paraId="64014D91" w14:textId="77777777" w:rsidR="00BB1CDF" w:rsidRPr="007775ED" w:rsidRDefault="00BB1CDF"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quantitativas sobre possíveis alterações nos fluxos de caixa contratuais que poderiam resultar destes termos contratuais (por exemplo, a dispersão (range) de alterações possíveis); e</w:t>
      </w:r>
    </w:p>
    <w:p w14:paraId="5FF6FA80" w14:textId="30C3D64E" w:rsidR="00BB1CDF" w:rsidRPr="007775ED" w:rsidRDefault="00BB1CDF"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bruto dos ativos financeiros e o custo amortizado dos passivos financeiros sujeitos a esses termos contratuais.</w:t>
      </w:r>
    </w:p>
    <w:p w14:paraId="2F4B72D7" w14:textId="62CE6E5D" w:rsidR="00BB1CDF" w:rsidRPr="007775ED" w:rsidRDefault="00BB1CDF" w:rsidP="007775ED">
      <w:pPr>
        <w:pStyle w:val="IASBSectionTitle1NonInd"/>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56C. </w:t>
      </w:r>
      <w:r w:rsidRPr="007775ED">
        <w:rPr>
          <w:rFonts w:ascii="Times New Roman" w:hAnsi="Times New Roman" w:cs="Times New Roman"/>
          <w:b w:val="0"/>
          <w:bCs/>
          <w:sz w:val="24"/>
          <w:szCs w:val="24"/>
        </w:rPr>
        <w:tab/>
      </w:r>
      <w:r w:rsidR="005B4210">
        <w:rPr>
          <w:rFonts w:ascii="Times New Roman" w:hAnsi="Times New Roman" w:cs="Times New Roman"/>
          <w:b w:val="0"/>
          <w:bCs/>
          <w:sz w:val="24"/>
          <w:szCs w:val="24"/>
        </w:rPr>
        <w:t>Excluído</w:t>
      </w:r>
      <w:r w:rsidRPr="007775ED">
        <w:rPr>
          <w:rFonts w:ascii="Times New Roman" w:hAnsi="Times New Roman" w:cs="Times New Roman"/>
          <w:b w:val="0"/>
          <w:bCs/>
          <w:sz w:val="24"/>
          <w:szCs w:val="24"/>
        </w:rPr>
        <w:t>.</w:t>
      </w:r>
    </w:p>
    <w:p w14:paraId="46A4692C" w14:textId="316D32CC"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Políticas contábeis</w:t>
      </w:r>
    </w:p>
    <w:p w14:paraId="5699B608" w14:textId="564DA43B" w:rsidR="0025230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 acordo com o item 176, a entidade deve divulgar a informação de política contábil material. Espera-se que as informações sobre a base (ou bases) de mensuração para instrumentos financeiros usados na preparação das demonstrações contábeis sejam informações materiais de política contábil.</w:t>
      </w:r>
    </w:p>
    <w:p w14:paraId="068F0C72" w14:textId="6F1D8740" w:rsidR="00953DE8" w:rsidRPr="007775ED" w:rsidRDefault="0025230B"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Contabilização de </w:t>
      </w:r>
      <w:r w:rsidR="00B01DBE" w:rsidRPr="007775ED">
        <w:rPr>
          <w:rFonts w:ascii="Times New Roman" w:hAnsi="Times New Roman" w:cs="Times New Roman"/>
          <w:b w:val="0"/>
          <w:bCs/>
          <w:i/>
          <w:iCs/>
          <w:sz w:val="24"/>
          <w:szCs w:val="24"/>
        </w:rPr>
        <w:t>hedge</w:t>
      </w:r>
    </w:p>
    <w:p w14:paraId="4367196B" w14:textId="0F499CE4" w:rsidR="0025230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separadamente, para cada categoria de exposições a risco que a entidade protege e para as quais ela escolhe aplicar a contabilização de </w:t>
      </w:r>
      <w:r w:rsidR="00B01DBE" w:rsidRPr="007775ED">
        <w:rPr>
          <w:rFonts w:ascii="Times New Roman" w:hAnsi="Times New Roman" w:cs="Times New Roman"/>
          <w:b w:val="0"/>
          <w:bCs/>
          <w:i/>
          <w:iCs/>
          <w:sz w:val="24"/>
          <w:szCs w:val="24"/>
        </w:rPr>
        <w:t>hedge</w:t>
      </w:r>
      <w:r w:rsidRPr="007775ED">
        <w:rPr>
          <w:rFonts w:ascii="Times New Roman" w:hAnsi="Times New Roman" w:cs="Times New Roman"/>
          <w:b w:val="0"/>
          <w:bCs/>
          <w:sz w:val="24"/>
          <w:szCs w:val="24"/>
        </w:rPr>
        <w:t>, a descrição de:</w:t>
      </w:r>
    </w:p>
    <w:p w14:paraId="20CBF402" w14:textId="17831990"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instrumentos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utilizados (e como eles são utilizados) para proteger exposições a risco; e</w:t>
      </w:r>
    </w:p>
    <w:p w14:paraId="2085CCBD" w14:textId="13FFD7A0"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como a entidade determina a relação econômica entre o item protegido e o instrumento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para fins de avaliação da 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w:t>
      </w:r>
    </w:p>
    <w:p w14:paraId="141E9199" w14:textId="77777777" w:rsidR="0025230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entidade designar um componente de risco específico como item protegido (ver item 6.3.7 do CPC 48), ela deve fornecer informações qualitativas ou quantitativas sobre como a entidade determinou o componente de risco que é designado como item protegido (incluindo a descrição da natureza da relação entre o componente de risco e o item como um todo).</w:t>
      </w:r>
    </w:p>
    <w:p w14:paraId="537EEC68" w14:textId="64281050" w:rsidR="0025230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em forma de tabela, os seguintes valores referentes a itens designados como instrumentos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separadamente por categoria de risco para cada tipo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de valor justo,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de fluxo de caixa ou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de investimento líquido em operação no exterior):</w:t>
      </w:r>
    </w:p>
    <w:p w14:paraId="087CF872" w14:textId="4C180840"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dos instrumentos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(ativos financeiros separadamente de passivos financeiros);</w:t>
      </w:r>
    </w:p>
    <w:p w14:paraId="398B0278" w14:textId="3D4A8771"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rubrica no balanço patrimonial que inclui o instrumento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w:t>
      </w:r>
    </w:p>
    <w:p w14:paraId="6095091C" w14:textId="33FDDE93"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alteração no valor justo do instrumento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utilizado como base para reconhecer a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do período; e</w:t>
      </w:r>
    </w:p>
    <w:p w14:paraId="20C06B37" w14:textId="045E72D7"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valores nominais (incluindo quantidades, como, por exemplo, toneladas ou metros cúbicos) dos instrumentos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w:t>
      </w:r>
    </w:p>
    <w:p w14:paraId="464C6415" w14:textId="59AE1D90" w:rsidR="0025230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em forma de tabela, os seguintes valores referentes a itens protegidos separadamente por categoria de risco para os tipos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w:t>
      </w:r>
    </w:p>
    <w:p w14:paraId="69C8D250" w14:textId="2A6B2BD3" w:rsidR="0025230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s de valor justo:</w:t>
      </w:r>
    </w:p>
    <w:p w14:paraId="61ED0284" w14:textId="77777777" w:rsidR="0025230B"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do item protegido reconhecido no balanço patrimonial (apresentando ativos separadamente de passivos);</w:t>
      </w:r>
    </w:p>
    <w:p w14:paraId="1572B2C9" w14:textId="14C49C6A" w:rsidR="0025230B"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acumulado dos ajustes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de valor justo sobre o item protegido incluído no valor contábil do item protegido reconhecido no balanço patrimonial (apresentando ativos separadamente de passivos);</w:t>
      </w:r>
    </w:p>
    <w:p w14:paraId="4E8BA709" w14:textId="77777777" w:rsidR="0025230B"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rubrica no balanço patrimonial que inclui o item protegido; e</w:t>
      </w:r>
    </w:p>
    <w:p w14:paraId="7A5FB4BE" w14:textId="0FA70AE8" w:rsidR="0025230B"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alteração no valor do item protegido utilizado como base para reconhecer a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do período.</w:t>
      </w:r>
    </w:p>
    <w:p w14:paraId="7016773F" w14:textId="0633E13A" w:rsidR="00DC16D0"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s de fluxo de caixa 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s de investimento líquido em operação no exterior: as alterações no valor do item protegido utilizado como base para reconhecer a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do período (ou seja, 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s de fluxo de caixa, a alteração no valor utilizado para determinar a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reconhecida de acordo com o item 6.5.11(c) do CPC 48);</w:t>
      </w:r>
    </w:p>
    <w:p w14:paraId="5C8FBCF2" w14:textId="28D45254" w:rsidR="00DC16D0"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em forma de tabela, os seguintes valores separadamente por categoria de risco para os tipos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w:t>
      </w:r>
    </w:p>
    <w:p w14:paraId="71CD61B9" w14:textId="2A268E62" w:rsidR="00DC16D0"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s de valor justo: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 ou seja, a diferença entre os ganhos ou as perdas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do instrumento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e o item protegido – reconhecido no resultado (ou em outros resultados abrangentes 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s de instrumento patrimonial pelo qual a entidade escolheu apresentar alterações no valor justo em outros resultados abrangentes de acordo com o item 5.7.5 do CPC 48).</w:t>
      </w:r>
    </w:p>
    <w:p w14:paraId="562D9B70" w14:textId="0B1660B8" w:rsidR="00DC16D0"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s de fluxo de caixa 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s de investimento líquido em operação no exterior:</w:t>
      </w:r>
    </w:p>
    <w:p w14:paraId="41831EF9" w14:textId="4BF1D093" w:rsidR="00DC16D0"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ganhos ou perdas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do período do relatório que foram reconhecidos em outros resultados abrangentes;</w:t>
      </w:r>
    </w:p>
    <w:p w14:paraId="06229443" w14:textId="7AFEAFEB" w:rsidR="00DC16D0"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inefetividade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reconhecida no resultado; </w:t>
      </w:r>
    </w:p>
    <w:p w14:paraId="5BAAE25A" w14:textId="1D522629" w:rsidR="00DC16D0" w:rsidRPr="007775ED" w:rsidRDefault="00953DE8" w:rsidP="007775ED">
      <w:pPr>
        <w:pStyle w:val="IASBSectionTitle1NonInd"/>
        <w:numPr>
          <w:ilvl w:val="2"/>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reclassificado da reserva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de fluxo de caixa ou da reserva de conversão de moeda estrangeira para o resultado como ajuste de reclassificação (ver </w:t>
      </w:r>
      <w:r w:rsidR="00DC16D0" w:rsidRPr="007775ED">
        <w:rPr>
          <w:rFonts w:ascii="Times New Roman" w:hAnsi="Times New Roman" w:cs="Times New Roman"/>
          <w:b w:val="0"/>
          <w:bCs/>
          <w:sz w:val="24"/>
          <w:szCs w:val="24"/>
        </w:rPr>
        <w:t>CPC 51</w:t>
      </w:r>
      <w:r w:rsidRPr="007775ED">
        <w:rPr>
          <w:rFonts w:ascii="Times New Roman" w:hAnsi="Times New Roman" w:cs="Times New Roman"/>
          <w:b w:val="0"/>
          <w:bCs/>
          <w:sz w:val="24"/>
          <w:szCs w:val="24"/>
        </w:rPr>
        <w:t xml:space="preserve">) – diferenciando entre os valores para os quais a contabilização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tinha sido anteriormente utilizada, mas para os quais os fluxos de caixa futuros protegidos não devem mais ocorrer, e os valores que foram transferidos porque o item protegido afetou o resultado.</w:t>
      </w:r>
    </w:p>
    <w:p w14:paraId="3997F6C1" w14:textId="05FB78DA" w:rsidR="0092091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bookmarkStart w:id="3" w:name="_Hlk218681124"/>
      <w:r w:rsidRPr="007775ED">
        <w:rPr>
          <w:rFonts w:ascii="Times New Roman" w:hAnsi="Times New Roman" w:cs="Times New Roman"/>
          <w:b w:val="0"/>
          <w:bCs/>
          <w:sz w:val="24"/>
          <w:szCs w:val="24"/>
        </w:rPr>
        <w:t xml:space="preserve">Para relações de proteção que a entidade aplica as exceções estabelecidas nos itens 6.8.4 a 6.8.12 do CPC 48 ou nos itens 102D a 102N do </w:t>
      </w:r>
      <w:r w:rsidR="001D7473"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38</w:t>
      </w:r>
      <w:r w:rsidR="001D7473" w:rsidRPr="007775ED">
        <w:rPr>
          <w:rFonts w:ascii="Times New Roman" w:hAnsi="Times New Roman" w:cs="Times New Roman"/>
          <w:b w:val="0"/>
          <w:bCs/>
          <w:sz w:val="24"/>
          <w:szCs w:val="24"/>
        </w:rPr>
        <w:t xml:space="preserve"> – Instrumentos Financeiros: Reconhecimento e Mensuração</w:t>
      </w:r>
      <w:r w:rsidRPr="007775ED">
        <w:rPr>
          <w:rFonts w:ascii="Times New Roman" w:hAnsi="Times New Roman" w:cs="Times New Roman"/>
          <w:b w:val="0"/>
          <w:bCs/>
          <w:sz w:val="24"/>
          <w:szCs w:val="24"/>
        </w:rPr>
        <w:t>, a entidade deve divulgar:</w:t>
      </w:r>
    </w:p>
    <w:bookmarkEnd w:id="3"/>
    <w:p w14:paraId="2E3057B0"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taxas de juros de referência significativas às quais as relações de proteção da entidade estão expostas;</w:t>
      </w:r>
    </w:p>
    <w:p w14:paraId="1AF8D0B2"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extensão da exposição ao risco que a entidade administra que é diretamente afetada pela reforma da taxa de juros de referência;</w:t>
      </w:r>
    </w:p>
    <w:p w14:paraId="2CD68B49"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como a entidade está gerenciando o processo de transição para taxas de referência alternativas;</w:t>
      </w:r>
    </w:p>
    <w:p w14:paraId="1BA4F56C"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descrição de premissas ou julgamentos significativos que a entidade fez ao aplicar esses itens (por exemplo, premissas ou julgamentos sobre quando a incerteza decorrente da reforma da taxa de juros de referência não está mais </w:t>
      </w:r>
      <w:proofErr w:type="gramStart"/>
      <w:r w:rsidRPr="007775ED">
        <w:rPr>
          <w:rFonts w:ascii="Times New Roman" w:hAnsi="Times New Roman" w:cs="Times New Roman"/>
          <w:b w:val="0"/>
          <w:bCs/>
          <w:sz w:val="24"/>
          <w:szCs w:val="24"/>
        </w:rPr>
        <w:t>presente</w:t>
      </w:r>
      <w:proofErr w:type="gramEnd"/>
      <w:r w:rsidRPr="007775ED">
        <w:rPr>
          <w:rFonts w:ascii="Times New Roman" w:hAnsi="Times New Roman" w:cs="Times New Roman"/>
          <w:b w:val="0"/>
          <w:bCs/>
          <w:sz w:val="24"/>
          <w:szCs w:val="24"/>
        </w:rPr>
        <w:t xml:space="preserve"> no que diz respeito ao momento e ao valor dos fluxos de caixa baseados na taxa de juros de referência); e</w:t>
      </w:r>
    </w:p>
    <w:p w14:paraId="3014A5AE" w14:textId="465450DC" w:rsidR="00953DE8"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nominal dos instrumentos de </w:t>
      </w:r>
      <w:r w:rsidR="00B01DBE" w:rsidRPr="007775ED">
        <w:rPr>
          <w:rFonts w:ascii="Times New Roman" w:hAnsi="Times New Roman" w:cs="Times New Roman"/>
          <w:b w:val="0"/>
          <w:bCs/>
          <w:i/>
          <w:sz w:val="24"/>
          <w:szCs w:val="24"/>
        </w:rPr>
        <w:t>hedge</w:t>
      </w:r>
      <w:r w:rsidRPr="007775ED">
        <w:rPr>
          <w:rFonts w:ascii="Times New Roman" w:hAnsi="Times New Roman" w:cs="Times New Roman"/>
          <w:b w:val="0"/>
          <w:bCs/>
          <w:sz w:val="24"/>
          <w:szCs w:val="24"/>
        </w:rPr>
        <w:t xml:space="preserve"> nessas relações de proteção.</w:t>
      </w:r>
    </w:p>
    <w:p w14:paraId="2324DA28"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Valor justo</w:t>
      </w:r>
    </w:p>
    <w:p w14:paraId="3C3F857E" w14:textId="77777777" w:rsidR="0092091B" w:rsidRPr="007775ED" w:rsidRDefault="00953DE8" w:rsidP="007775ED">
      <w:pPr>
        <w:pStyle w:val="IASBSectionTitle1NonInd"/>
        <w:numPr>
          <w:ilvl w:val="0"/>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alguns casos, a entidade não reconhece o ganho ou a perda no reconhecimento inicial de ativo financeiro ou passivo financeiro porque o valor justo não é comprovado por preço cotado em mercado ativo para ativo ou passivo idêntico (ou seja, informação de Nível 1) nem se baseia em técnica de avaliação que utilize apenas dados de mercados observáveis (ver item B5.1.2A do CPC 48). Nesses casos, a entidade deve divulgar, por classe de ativo financeiro ou de passivo financeiro:</w:t>
      </w:r>
    </w:p>
    <w:p w14:paraId="2369F06A"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sua política contábil para reconhecimento, no resultado, da diferença entre o valor justo no reconhecimento inicial e o preço da transação, para refletir a alteração nos fatores (incluindo tempo) que os participantes do mercado levariam em conta ao precificar o ativo ou passivo (ver item B5.1.2A(b) do CPC 48);</w:t>
      </w:r>
    </w:p>
    <w:p w14:paraId="50F6AD89" w14:textId="77777777" w:rsidR="0092091B" w:rsidRPr="007775ED" w:rsidRDefault="00953DE8"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diferença total ainda a ser reconhecida no resultado no início 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a conciliação das alterações no saldo dessa diferença; e</w:t>
      </w:r>
    </w:p>
    <w:p w14:paraId="4E39131F" w14:textId="1517E69C" w:rsidR="00953DE8" w:rsidRPr="007775ED" w:rsidRDefault="0092091B" w:rsidP="007775ED">
      <w:pPr>
        <w:pStyle w:val="IASBSectionTitle1NonInd"/>
        <w:numPr>
          <w:ilvl w:val="1"/>
          <w:numId w:val="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porque</w:t>
      </w:r>
      <w:r w:rsidR="00953DE8" w:rsidRPr="007775ED">
        <w:rPr>
          <w:rFonts w:ascii="Times New Roman" w:hAnsi="Times New Roman" w:cs="Times New Roman"/>
          <w:b w:val="0"/>
          <w:bCs/>
          <w:sz w:val="24"/>
          <w:szCs w:val="24"/>
        </w:rPr>
        <w:t xml:space="preserve"> a entidade concluiu que o preço da transação não era a melhor evidência do valor justo, incluindo uma descrição das evidências que sustentam o valor justo.</w:t>
      </w:r>
    </w:p>
    <w:p w14:paraId="25AB6D07" w14:textId="4E32741E" w:rsidR="00625D41" w:rsidRPr="007775ED" w:rsidRDefault="00625D41"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Contratos referenciados em energia elétrica dependente da natureza</w:t>
      </w:r>
    </w:p>
    <w:p w14:paraId="5B42B34F" w14:textId="7C1CC1FE" w:rsidR="00625D41" w:rsidRPr="007775ED" w:rsidRDefault="00625D41" w:rsidP="007775ED">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64A. A entidade deve divulgar em uma única nota explicativa em </w:t>
      </w:r>
      <w:r w:rsidR="004603AD">
        <w:rPr>
          <w:rFonts w:ascii="Times New Roman" w:hAnsi="Times New Roman" w:cs="Times New Roman"/>
          <w:b w:val="0"/>
          <w:bCs/>
          <w:sz w:val="24"/>
          <w:szCs w:val="24"/>
        </w:rPr>
        <w:t>s</w:t>
      </w:r>
      <w:r w:rsidR="004603AD" w:rsidRPr="007775ED">
        <w:rPr>
          <w:rFonts w:ascii="Times New Roman" w:hAnsi="Times New Roman" w:cs="Times New Roman"/>
          <w:b w:val="0"/>
          <w:bCs/>
          <w:sz w:val="24"/>
          <w:szCs w:val="24"/>
        </w:rPr>
        <w:t xml:space="preserve">uas </w:t>
      </w:r>
      <w:r w:rsidRPr="007775ED">
        <w:rPr>
          <w:rFonts w:ascii="Times New Roman" w:hAnsi="Times New Roman" w:cs="Times New Roman"/>
          <w:b w:val="0"/>
          <w:bCs/>
          <w:sz w:val="24"/>
          <w:szCs w:val="24"/>
        </w:rPr>
        <w:t xml:space="preserve">demonstrações contábeis informações sobre contratos que cumpram com o critério estabelecido no item 5B do CPC </w:t>
      </w:r>
      <w:r w:rsidR="00D247D8">
        <w:rPr>
          <w:rFonts w:ascii="Times New Roman" w:hAnsi="Times New Roman" w:cs="Times New Roman"/>
          <w:b w:val="0"/>
          <w:bCs/>
          <w:sz w:val="24"/>
          <w:szCs w:val="24"/>
        </w:rPr>
        <w:t>40</w:t>
      </w:r>
      <w:r w:rsidRPr="007775ED">
        <w:rPr>
          <w:rFonts w:ascii="Times New Roman" w:hAnsi="Times New Roman" w:cs="Times New Roman"/>
          <w:b w:val="0"/>
          <w:bCs/>
          <w:sz w:val="24"/>
          <w:szCs w:val="24"/>
        </w:rPr>
        <w:t>.</w:t>
      </w:r>
      <w:r w:rsidR="00D247D8">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A entidade deve divulgar:</w:t>
      </w:r>
    </w:p>
    <w:p w14:paraId="514E4299" w14:textId="77777777" w:rsidR="00625D41" w:rsidRPr="007775ED" w:rsidRDefault="00625D41" w:rsidP="007775ED">
      <w:pPr>
        <w:pStyle w:val="IASBSectionTitle1NonInd"/>
        <w:numPr>
          <w:ilvl w:val="1"/>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sobre aspectos contratuais que exponham a entidade a:</w:t>
      </w:r>
    </w:p>
    <w:p w14:paraId="2A1F2B65" w14:textId="77777777"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variabilidade no montante subjacente de energia elétrica (vide item 2.3A do CPC 48); e</w:t>
      </w:r>
    </w:p>
    <w:p w14:paraId="1FCF322A" w14:textId="764B14AC"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risco de que a entidade seja requerida a adquirir energia elétrica durante um intervalo de tempo no qual a entidade não possa utilizar a energia elétrica (vide item B2.7 do CPC 48</w:t>
      </w:r>
      <w:r w:rsidR="00965DAB">
        <w:rPr>
          <w:rFonts w:ascii="Times New Roman" w:hAnsi="Times New Roman" w:cs="Times New Roman"/>
          <w:b w:val="0"/>
          <w:bCs/>
          <w:sz w:val="24"/>
          <w:szCs w:val="24"/>
        </w:rPr>
        <w:t>)</w:t>
      </w:r>
      <w:r w:rsidRPr="007775ED">
        <w:rPr>
          <w:rFonts w:ascii="Times New Roman" w:hAnsi="Times New Roman" w:cs="Times New Roman"/>
          <w:b w:val="0"/>
          <w:bCs/>
          <w:sz w:val="24"/>
          <w:szCs w:val="24"/>
        </w:rPr>
        <w:t>.</w:t>
      </w:r>
    </w:p>
    <w:p w14:paraId="369F2ECD" w14:textId="77777777" w:rsidR="00625D41" w:rsidRPr="007775ED" w:rsidRDefault="00625D41" w:rsidP="007775ED">
      <w:pPr>
        <w:pStyle w:val="IASBSectionTitle1NonInd"/>
        <w:numPr>
          <w:ilvl w:val="1"/>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informação sobre compromissos não reconhecidos que surjam destes contratos na data do balanço, incluindo:</w:t>
      </w:r>
    </w:p>
    <w:p w14:paraId="245C7658" w14:textId="77777777"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fluxos de caixa futuros estimados para a aquisição de energia elétrica destes contratos. A entidade deve aplicar julgamento na identificação do número apropriado de intervalos de tempo a ser utilizado na divulgação destes fluxos de caixa futuros estimados.</w:t>
      </w:r>
    </w:p>
    <w:p w14:paraId="6665A276" w14:textId="77777777"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informação qualitativa sobre como a entidade avalia se um contrato pode se tornar oneroso (vide Pronunciamento Técnico CPC 25 – Provisões, Passivos Contingentes e Ativos Contingentes), incluindo as premissas que a entidade utiliza ao realizar essa avaliação.</w:t>
      </w:r>
    </w:p>
    <w:p w14:paraId="42007ED9" w14:textId="77777777" w:rsidR="00625D41" w:rsidRPr="007775ED" w:rsidRDefault="00625D41" w:rsidP="007775ED">
      <w:pPr>
        <w:pStyle w:val="IASBSectionTitle1NonInd"/>
        <w:numPr>
          <w:ilvl w:val="1"/>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qualitativas e quantitativas sobre os efeitos no desempenho financeiro da entidade no período de reporte. A divulgação baseia-se na informação que é aplicável ao período de reporte que a entidade utilizou para avaliar se realizou a compra líquida de energia elétrica (vide item B2.8 do CPC 48). A entidade deve divulgar informações para o período de reporte sobre:</w:t>
      </w:r>
    </w:p>
    <w:p w14:paraId="6B7CA0FB" w14:textId="77777777"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custos oriundos da aquisição de energia elétrica a partir dos contratos, divulgando separadamente quanto da energia elétrica adquirida não foi utilizada quando de sua entrega;</w:t>
      </w:r>
    </w:p>
    <w:p w14:paraId="78968C16" w14:textId="77777777"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os recebimentos oriundos da revenda da energia elétrica que não fora utilizada; e</w:t>
      </w:r>
    </w:p>
    <w:p w14:paraId="70477EDB" w14:textId="0D2FA9EC" w:rsidR="00625D41" w:rsidRPr="007775ED" w:rsidRDefault="00625D41" w:rsidP="007775ED">
      <w:pPr>
        <w:pStyle w:val="IASBSectionTitle1NonInd"/>
        <w:numPr>
          <w:ilvl w:val="2"/>
          <w:numId w:val="32"/>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os custos oriundos das compras de energia elétrica realizadas para compensar as revendas de energia elétrica não utilizada.</w:t>
      </w:r>
    </w:p>
    <w:p w14:paraId="34705073" w14:textId="51119BBD" w:rsidR="00625D41" w:rsidRPr="007775ED" w:rsidRDefault="00625D41" w:rsidP="007775ED">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64B</w:t>
      </w:r>
      <w:r w:rsidR="00965DAB">
        <w:rPr>
          <w:rFonts w:ascii="Times New Roman" w:hAnsi="Times New Roman" w:cs="Times New Roman"/>
          <w:b w:val="0"/>
          <w:bCs/>
          <w:sz w:val="24"/>
          <w:szCs w:val="24"/>
        </w:rPr>
        <w:t>.</w:t>
      </w:r>
      <w:r w:rsidRPr="007775ED">
        <w:rPr>
          <w:rFonts w:ascii="Times New Roman" w:hAnsi="Times New Roman" w:cs="Times New Roman"/>
          <w:b w:val="0"/>
          <w:bCs/>
          <w:sz w:val="24"/>
          <w:szCs w:val="24"/>
        </w:rPr>
        <w:tab/>
        <w:t xml:space="preserve">A entidade deve desagregar, para seus contratos que cumpram com os critérios estabelecidos no item 5C do CPC </w:t>
      </w:r>
      <w:r w:rsidR="00D247D8">
        <w:rPr>
          <w:rFonts w:ascii="Times New Roman" w:hAnsi="Times New Roman" w:cs="Times New Roman"/>
          <w:b w:val="0"/>
          <w:bCs/>
          <w:sz w:val="24"/>
          <w:szCs w:val="24"/>
        </w:rPr>
        <w:t>40</w:t>
      </w:r>
      <w:r w:rsidRPr="007775ED">
        <w:rPr>
          <w:rFonts w:ascii="Times New Roman" w:hAnsi="Times New Roman" w:cs="Times New Roman"/>
          <w:b w:val="0"/>
          <w:bCs/>
          <w:sz w:val="24"/>
          <w:szCs w:val="24"/>
        </w:rPr>
        <w:t xml:space="preserve">, </w:t>
      </w:r>
      <w:r w:rsidR="00D247D8">
        <w:rPr>
          <w:rFonts w:ascii="Times New Roman" w:hAnsi="Times New Roman" w:cs="Times New Roman"/>
          <w:b w:val="0"/>
          <w:bCs/>
          <w:sz w:val="24"/>
          <w:szCs w:val="24"/>
        </w:rPr>
        <w:t>os montantes</w:t>
      </w:r>
      <w:r w:rsidRPr="007775ED">
        <w:rPr>
          <w:rFonts w:ascii="Times New Roman" w:hAnsi="Times New Roman" w:cs="Times New Roman"/>
          <w:b w:val="0"/>
          <w:bCs/>
          <w:sz w:val="24"/>
          <w:szCs w:val="24"/>
        </w:rPr>
        <w:t xml:space="preserve"> que divulga</w:t>
      </w:r>
      <w:r w:rsidR="004603AD">
        <w:rPr>
          <w:rFonts w:ascii="Times New Roman" w:hAnsi="Times New Roman" w:cs="Times New Roman"/>
          <w:b w:val="0"/>
          <w:bCs/>
          <w:sz w:val="24"/>
          <w:szCs w:val="24"/>
        </w:rPr>
        <w:t xml:space="preserve">, </w:t>
      </w:r>
      <w:r w:rsidR="004603AD" w:rsidRPr="004603AD">
        <w:rPr>
          <w:rFonts w:ascii="Times New Roman" w:hAnsi="Times New Roman" w:cs="Times New Roman"/>
          <w:b w:val="0"/>
          <w:bCs/>
          <w:sz w:val="24"/>
          <w:szCs w:val="24"/>
        </w:rPr>
        <w:t xml:space="preserve">por categoria de risco, relacionados a itens designados como instrumentos de hedge </w:t>
      </w:r>
      <w:r w:rsidRPr="007775ED">
        <w:rPr>
          <w:rFonts w:ascii="Times New Roman" w:hAnsi="Times New Roman" w:cs="Times New Roman"/>
          <w:b w:val="0"/>
          <w:bCs/>
          <w:sz w:val="24"/>
          <w:szCs w:val="24"/>
        </w:rPr>
        <w:t>de acordo com o item 60.</w:t>
      </w:r>
    </w:p>
    <w:p w14:paraId="37FA5CA9" w14:textId="2B907834" w:rsidR="00625D41" w:rsidRPr="007775ED" w:rsidRDefault="00625D41" w:rsidP="007775ED">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64C</w:t>
      </w:r>
      <w:r w:rsidR="00965DAB">
        <w:rPr>
          <w:rFonts w:ascii="Times New Roman" w:hAnsi="Times New Roman" w:cs="Times New Roman"/>
          <w:b w:val="0"/>
          <w:bCs/>
          <w:sz w:val="24"/>
          <w:szCs w:val="24"/>
        </w:rPr>
        <w:t>.</w:t>
      </w:r>
      <w:r w:rsidRPr="007775ED">
        <w:rPr>
          <w:rFonts w:ascii="Times New Roman" w:hAnsi="Times New Roman" w:cs="Times New Roman"/>
          <w:b w:val="0"/>
          <w:bCs/>
          <w:sz w:val="24"/>
          <w:szCs w:val="24"/>
        </w:rPr>
        <w:tab/>
        <w:t xml:space="preserve">Se a entidade divulga informação sobre outros contratos referenciados em energia elétrica dependente da natureza conforme descrito no item 5D do CPC </w:t>
      </w:r>
      <w:r w:rsidR="00D247D8">
        <w:rPr>
          <w:rFonts w:ascii="Times New Roman" w:hAnsi="Times New Roman" w:cs="Times New Roman"/>
          <w:b w:val="0"/>
          <w:bCs/>
          <w:sz w:val="24"/>
          <w:szCs w:val="24"/>
        </w:rPr>
        <w:t>40</w:t>
      </w:r>
      <w:r w:rsidR="00D247D8"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(incluindo aqueles contratos descritos no item 64B) em outras notas explicativas em suas demonstrações contábeis, a entidade deve incluir referências cruzadas para estas notas na nota explicativa única requerida pelo item 64A.</w:t>
      </w:r>
    </w:p>
    <w:p w14:paraId="7E9F7BE7" w14:textId="16CB1CE5"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Natureza e extensão de riscos decorrentes de instrumentos financeiros</w:t>
      </w:r>
    </w:p>
    <w:p w14:paraId="47613F7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Risco de crédito: todas as entidades</w:t>
      </w:r>
    </w:p>
    <w:p w14:paraId="77AD306D" w14:textId="77777777" w:rsidR="0092091B"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explicar as informações, premissas e técnicas de estimativa utilizadas para aplicar os requisitos da Seção 5.5 do CPC 48. Para esse fim, a entidade deve divulgar:</w:t>
      </w:r>
    </w:p>
    <w:p w14:paraId="38EA5D2E" w14:textId="77777777" w:rsidR="0092091B"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base das informações e premissas e as técnicas de estimativa utilizadas para:</w:t>
      </w:r>
    </w:p>
    <w:p w14:paraId="00BE2F7F" w14:textId="77777777" w:rsidR="0092091B"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mensurar as perdas permanentes de crédito esperadas e as perdas de crédito esperadas para 12 meses;</w:t>
      </w:r>
    </w:p>
    <w:p w14:paraId="083E82C9" w14:textId="77777777" w:rsidR="0092091B"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determinar se o risco de crédito de instrumentos financeiros aumentou significativamente desde o reconhecimento inicial; e</w:t>
      </w:r>
    </w:p>
    <w:p w14:paraId="26B22CC4" w14:textId="77777777" w:rsidR="009425A9"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determinar se um ativo financeiro é ativo financeiro com problemas de recuperação de crédito;</w:t>
      </w:r>
    </w:p>
    <w:p w14:paraId="63CD75D5" w14:textId="77777777" w:rsidR="009425A9"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como informações com vistas ao futuro foram incorporadas na determinação de perdas de crédito esperadas, incluindo o uso de informações macroeconômicas; e</w:t>
      </w:r>
    </w:p>
    <w:p w14:paraId="6379F20A" w14:textId="58417FB7"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alterações nas técnicas de estimativa ou premissas significativas ocorridas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os motivos dessas alterações.</w:t>
      </w:r>
    </w:p>
    <w:p w14:paraId="595010A4" w14:textId="77777777" w:rsidR="009425A9"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explicar as alterações na provisão para perdas e os motivos dessas alterações, a entidade deve fornecer, em forma de tabela, uma conciliação, por classe de instrumentos financeiros, desde o saldo de abertura até o saldo final da provisão para perdas, indicando separadamente as alterações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578EA026" w14:textId="77777777" w:rsidR="009425A9"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da provisão para perdas mensurada por um valor equivalente a perdas de crédito esperadas para 12 meses.</w:t>
      </w:r>
    </w:p>
    <w:p w14:paraId="6F7ABB52" w14:textId="77777777" w:rsidR="009425A9"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b/>
        <w:t>da provisão para perdas mensurada pelo valor equivalente a perdas permanentes de crédito esperadas para:</w:t>
      </w:r>
    </w:p>
    <w:p w14:paraId="351CC8A5" w14:textId="77777777" w:rsidR="009425A9"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instrumentos financeiros para os quais o risco de crédito aumentou significativamente desde o reconhecimento inicial, mas que não são ativos financeiros com problemas de recuperação de crédito;</w:t>
      </w:r>
    </w:p>
    <w:p w14:paraId="5F114AC8" w14:textId="18B4A1BA" w:rsidR="009425A9"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que apresentam problemas de recuperação de crédito na data do </w:t>
      </w:r>
      <w:r w:rsidR="005419DC" w:rsidRPr="007775ED">
        <w:rPr>
          <w:rFonts w:ascii="Times New Roman" w:hAnsi="Times New Roman" w:cs="Times New Roman"/>
          <w:b w:val="0"/>
          <w:bCs/>
          <w:sz w:val="24"/>
          <w:szCs w:val="24"/>
        </w:rPr>
        <w:t xml:space="preserve">balanço </w:t>
      </w:r>
      <w:r w:rsidRPr="007775ED">
        <w:rPr>
          <w:rFonts w:ascii="Times New Roman" w:hAnsi="Times New Roman" w:cs="Times New Roman"/>
          <w:b w:val="0"/>
          <w:bCs/>
          <w:sz w:val="24"/>
          <w:szCs w:val="24"/>
        </w:rPr>
        <w:t xml:space="preserve">(mas que não </w:t>
      </w:r>
      <w:r w:rsidR="00965DAB">
        <w:rPr>
          <w:rFonts w:ascii="Times New Roman" w:hAnsi="Times New Roman" w:cs="Times New Roman"/>
          <w:b w:val="0"/>
          <w:bCs/>
          <w:sz w:val="24"/>
          <w:szCs w:val="24"/>
        </w:rPr>
        <w:t xml:space="preserve">foram </w:t>
      </w:r>
      <w:r w:rsidRPr="007775ED">
        <w:rPr>
          <w:rFonts w:ascii="Times New Roman" w:hAnsi="Times New Roman" w:cs="Times New Roman"/>
          <w:b w:val="0"/>
          <w:bCs/>
          <w:sz w:val="24"/>
          <w:szCs w:val="24"/>
        </w:rPr>
        <w:t>comprados ou originados com problemas de recuperação de crédito); e</w:t>
      </w:r>
    </w:p>
    <w:p w14:paraId="2C74700A" w14:textId="77777777"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contas a receber de clientes, ativos </w:t>
      </w:r>
      <w:r w:rsidR="001563BD" w:rsidRPr="007775ED">
        <w:rPr>
          <w:rFonts w:ascii="Times New Roman" w:hAnsi="Times New Roman" w:cs="Times New Roman"/>
          <w:b w:val="0"/>
          <w:bCs/>
          <w:sz w:val="24"/>
          <w:szCs w:val="24"/>
        </w:rPr>
        <w:t xml:space="preserve">de contrato </w:t>
      </w:r>
      <w:r w:rsidRPr="007775ED">
        <w:rPr>
          <w:rFonts w:ascii="Times New Roman" w:hAnsi="Times New Roman" w:cs="Times New Roman"/>
          <w:b w:val="0"/>
          <w:bCs/>
          <w:sz w:val="24"/>
          <w:szCs w:val="24"/>
        </w:rPr>
        <w:t>ou recebíveis de arrendamento para os quais as provisões para perdas são mensuradas de acordo com o item 5.5.15 do CPC 48.</w:t>
      </w:r>
    </w:p>
    <w:p w14:paraId="5E9A95AC" w14:textId="143E133B"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comprados ou originados com problemas de recuperação de crédito. Além da conciliação, a entidade deve divulgar o valor total das perdas de crédito esperadas não descontadas no reconhecimento inicial sobre ativos financeiros inicialmente reconhecidos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6B6CD600" w14:textId="250F9AEE" w:rsidR="00953DE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compromissos de empréstimo e contratos de garantia financeira, a provisão para perdas deve ser reconhecida. A entidade deve divulgar informações sobre as alterações na provisão para perdas para ativos financeiros separadamente daquelas para compromissos de empréstimo e contratos de garantia financeira. Entretanto, se o instrumento financeiro inclui tanto empréstimo (ou seja, ativo financeiro) quanto componente de compromisso não sacado (ou seja, compromisso de empréstimo) e a entidade não consegue identificar separadamente as perdas de crédito esperadas sobre o componente de compromisso de empréstimo daquelas sobre o componente do ativo financeiro, as perdas de crédito esperadas sobre o compromisso de empréstimo devem ser reconhecidas juntamente com a provisão para perdas para o ativo financeiro. Na medida em que as perdas de crédito esperadas combinadas superam o valor contábil bruto do ativo financeiro, as perdas de crédito esperadas devem ser reconhecidas como provisão.</w:t>
      </w:r>
    </w:p>
    <w:p w14:paraId="495ABB21" w14:textId="68BDDCB3"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Risco de crédito: entidades que concedem financiamento a clientes como atividade de negócios principal</w:t>
      </w:r>
    </w:p>
    <w:p w14:paraId="7914291E" w14:textId="13F0429A" w:rsidR="001563BD"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requisitos de divulgação nos itens 69 a 71 são aplicáveis apenas </w:t>
      </w:r>
      <w:r w:rsidR="006424F5" w:rsidRPr="007775ED">
        <w:rPr>
          <w:rFonts w:ascii="Times New Roman" w:hAnsi="Times New Roman" w:cs="Times New Roman"/>
          <w:b w:val="0"/>
          <w:bCs/>
          <w:sz w:val="24"/>
          <w:szCs w:val="24"/>
        </w:rPr>
        <w:t xml:space="preserve">à </w:t>
      </w:r>
      <w:r w:rsidRPr="007775ED">
        <w:rPr>
          <w:rFonts w:ascii="Times New Roman" w:hAnsi="Times New Roman" w:cs="Times New Roman"/>
          <w:b w:val="0"/>
          <w:bCs/>
          <w:sz w:val="24"/>
          <w:szCs w:val="24"/>
        </w:rPr>
        <w:t>entidade que concede financiamento a clientes como atividade principal, conforme descrito n</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w:t>
      </w:r>
    </w:p>
    <w:p w14:paraId="2AB5B5A2" w14:textId="77777777" w:rsidR="001563BD"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informações que permitam aos usuários das demonstrações contábeis compreenderem e avaliarem:</w:t>
      </w:r>
    </w:p>
    <w:p w14:paraId="00AC9530"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como a entidade determinou se o risco de crédito de instrumentos financeiros aumentou significativamente desde o reconhecimento inicial, incluindo se </w:t>
      </w:r>
      <w:proofErr w:type="gramStart"/>
      <w:r w:rsidRPr="007775ED">
        <w:rPr>
          <w:rFonts w:ascii="Times New Roman" w:hAnsi="Times New Roman" w:cs="Times New Roman"/>
          <w:b w:val="0"/>
          <w:bCs/>
          <w:sz w:val="24"/>
          <w:szCs w:val="24"/>
        </w:rPr>
        <w:t>e</w:t>
      </w:r>
      <w:proofErr w:type="gramEnd"/>
      <w:r w:rsidRPr="007775ED">
        <w:rPr>
          <w:rFonts w:ascii="Times New Roman" w:hAnsi="Times New Roman" w:cs="Times New Roman"/>
          <w:b w:val="0"/>
          <w:bCs/>
          <w:sz w:val="24"/>
          <w:szCs w:val="24"/>
        </w:rPr>
        <w:t xml:space="preserve"> como:</w:t>
      </w:r>
    </w:p>
    <w:p w14:paraId="247427DB" w14:textId="77777777"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instrumentos financeiros são considerados como tendo um baixo risco de crédito de acordo com o item 5.5.10 do CPC 48, incluindo as classes de instrumentos financeiros aos quais eles se aplicam; e</w:t>
      </w:r>
    </w:p>
    <w:p w14:paraId="5BB5C564" w14:textId="77777777"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foi refutada a suposição no item 5.5.11 do CPC 48 de que houve aumento significativo no risco de crédito desde o reconhecimento inicial quando os ativos financeiros estiverem vencidos há mais de 30 dias; e</w:t>
      </w:r>
    </w:p>
    <w:p w14:paraId="2BB79ACE" w14:textId="38FCF7A8" w:rsidR="00953DE8" w:rsidRPr="007775ED" w:rsidRDefault="00953DE8" w:rsidP="00684511">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definições de inadimplência da entidade, incluindo os motivos para a escolha dessas definições.</w:t>
      </w:r>
    </w:p>
    <w:p w14:paraId="2B61F903" w14:textId="77777777" w:rsidR="001563BD"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fornecer explicação sobre como as alterações significativas no valor contábil bruto de instrumentos financeiros durante o período contribuíram para as alterações na provisão para perdas. As informações devem ser fornecidas separadamente para instrumentos financeiros que representam a provisão para perdas conforme indicada no item 66(a) a (c) e devem incluir informações qualitativas e quantitativas pertinentes. Exemplos de alterações no valor contábil bruto de instrumentos financeiros que contribuíram para alterações na provisão para perdas podem incluir</w:t>
      </w:r>
      <w:r w:rsidR="001563BD" w:rsidRPr="007775ED">
        <w:rPr>
          <w:rFonts w:ascii="Times New Roman" w:hAnsi="Times New Roman" w:cs="Times New Roman"/>
          <w:b w:val="0"/>
          <w:bCs/>
          <w:sz w:val="24"/>
          <w:szCs w:val="24"/>
        </w:rPr>
        <w:t>:</w:t>
      </w:r>
    </w:p>
    <w:p w14:paraId="6DE5809A"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alterações decorrentes de instrumentos financeiros originados ou adquiridos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6F19D343" w14:textId="77777777" w:rsidR="001563BD" w:rsidRPr="007775ED" w:rsidRDefault="001563BD"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 xml:space="preserve">modificação dos fluxos de caixa contratuais sobre ativos financeiros que não resultam em </w:t>
      </w:r>
      <w:proofErr w:type="spellStart"/>
      <w:r w:rsidR="00953DE8" w:rsidRPr="007775ED">
        <w:rPr>
          <w:rFonts w:ascii="Times New Roman" w:hAnsi="Times New Roman" w:cs="Times New Roman"/>
          <w:b w:val="0"/>
          <w:bCs/>
          <w:sz w:val="24"/>
          <w:szCs w:val="24"/>
        </w:rPr>
        <w:t>desreconhecimento</w:t>
      </w:r>
      <w:proofErr w:type="spellEnd"/>
      <w:r w:rsidR="00953DE8" w:rsidRPr="007775ED">
        <w:rPr>
          <w:rFonts w:ascii="Times New Roman" w:hAnsi="Times New Roman" w:cs="Times New Roman"/>
          <w:b w:val="0"/>
          <w:bCs/>
          <w:sz w:val="24"/>
          <w:szCs w:val="24"/>
        </w:rPr>
        <w:t xml:space="preserve"> desses ativos financeiros de acordo com o CPC 48;</w:t>
      </w:r>
    </w:p>
    <w:p w14:paraId="16FE07F3"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alterações decorrentes de instrumentos financeiros que foram desreconhecidos (incluindo aqueles que foram baixados)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w:t>
      </w:r>
    </w:p>
    <w:p w14:paraId="4C454308"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mudanças que ocorrem se a provisão para perdas é mensurada pelo valor equivalente a perdas de crédito esperadas para 12 meses ou a perdas permanentes de crédito esperadas.</w:t>
      </w:r>
    </w:p>
    <w:p w14:paraId="6BDB553C" w14:textId="77777777" w:rsidR="001563BD"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por graus de classificação de risco de crédito, o valor contábil bruto de ativos financeiros e a exposição </w:t>
      </w:r>
      <w:proofErr w:type="spellStart"/>
      <w:r w:rsidRPr="007775ED">
        <w:rPr>
          <w:rFonts w:ascii="Times New Roman" w:hAnsi="Times New Roman" w:cs="Times New Roman"/>
          <w:b w:val="0"/>
          <w:bCs/>
          <w:sz w:val="24"/>
          <w:szCs w:val="24"/>
        </w:rPr>
        <w:t>a</w:t>
      </w:r>
      <w:proofErr w:type="spellEnd"/>
      <w:r w:rsidRPr="007775ED">
        <w:rPr>
          <w:rFonts w:ascii="Times New Roman" w:hAnsi="Times New Roman" w:cs="Times New Roman"/>
          <w:b w:val="0"/>
          <w:bCs/>
          <w:sz w:val="24"/>
          <w:szCs w:val="24"/>
        </w:rPr>
        <w:t xml:space="preserve"> risco de crédito em compromissos de empréstimo e contratos de garantia financeira. A entidade deve fornecer essas informações separadamente para instrumentos financeiros:</w:t>
      </w:r>
    </w:p>
    <w:p w14:paraId="07779A7C"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os quais a provisão para perdas é mensurada por um valor equivalente a perdas de crédito esperadas para 12 meses;</w:t>
      </w:r>
    </w:p>
    <w:p w14:paraId="083B0DA1"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os quais a provisão para perdas é mensurada por um valor equivalente a perdas permanentes de crédito esperadas e que são:</w:t>
      </w:r>
    </w:p>
    <w:p w14:paraId="46162B2A" w14:textId="77777777"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instrumentos financeiros para os quais o risco de crédito aumentou significativamente desde o reconhecimento inicial, mas que não são ativos financeiros com problemas de recuperação de crédito;</w:t>
      </w:r>
    </w:p>
    <w:p w14:paraId="1C3C3F7D" w14:textId="015737F4"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financeiros que apresentam problemas de recuperação de crédito na data do </w:t>
      </w:r>
      <w:r w:rsidR="005419DC" w:rsidRPr="007775ED">
        <w:rPr>
          <w:rFonts w:ascii="Times New Roman" w:hAnsi="Times New Roman" w:cs="Times New Roman"/>
          <w:b w:val="0"/>
          <w:bCs/>
          <w:sz w:val="24"/>
          <w:szCs w:val="24"/>
        </w:rPr>
        <w:t xml:space="preserve">balanço </w:t>
      </w:r>
      <w:r w:rsidRPr="007775ED">
        <w:rPr>
          <w:rFonts w:ascii="Times New Roman" w:hAnsi="Times New Roman" w:cs="Times New Roman"/>
          <w:b w:val="0"/>
          <w:bCs/>
          <w:sz w:val="24"/>
          <w:szCs w:val="24"/>
        </w:rPr>
        <w:t>(mas que não foram comprados ou originados com problemas de recuperação de crédito); e</w:t>
      </w:r>
    </w:p>
    <w:p w14:paraId="69E7AD22" w14:textId="77777777" w:rsidR="001563BD"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contas a receber de clientes, </w:t>
      </w:r>
      <w:r w:rsidR="001563BD" w:rsidRPr="007775ED">
        <w:rPr>
          <w:rFonts w:ascii="Times New Roman" w:hAnsi="Times New Roman" w:cs="Times New Roman"/>
          <w:b w:val="0"/>
          <w:bCs/>
          <w:sz w:val="24"/>
          <w:szCs w:val="24"/>
        </w:rPr>
        <w:t>ativos de contrato</w:t>
      </w:r>
      <w:r w:rsidRPr="007775ED">
        <w:rPr>
          <w:rFonts w:ascii="Times New Roman" w:hAnsi="Times New Roman" w:cs="Times New Roman"/>
          <w:b w:val="0"/>
          <w:bCs/>
          <w:sz w:val="24"/>
          <w:szCs w:val="24"/>
        </w:rPr>
        <w:t xml:space="preserve"> ou recebíveis de arrendamento para os quais as provisões para perdas são mensuradas de acordo com o item 5.5.15 do CPC 48.</w:t>
      </w:r>
    </w:p>
    <w:p w14:paraId="5B14CF2F" w14:textId="753413C7"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que sejam ativos financeiros comprados ou originados com problemas de recuperação de crédito.</w:t>
      </w:r>
    </w:p>
    <w:p w14:paraId="485D2F97"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Risco de liquidez</w:t>
      </w:r>
    </w:p>
    <w:p w14:paraId="519D7D2E" w14:textId="77777777" w:rsidR="001563BD" w:rsidRPr="007775ED" w:rsidRDefault="001563BD"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w:t>
      </w:r>
      <w:r w:rsidR="00953DE8" w:rsidRPr="007775ED">
        <w:rPr>
          <w:rFonts w:ascii="Times New Roman" w:hAnsi="Times New Roman" w:cs="Times New Roman"/>
          <w:b w:val="0"/>
          <w:bCs/>
          <w:sz w:val="24"/>
          <w:szCs w:val="24"/>
        </w:rPr>
        <w:t xml:space="preserve"> entidade deve divulgar:</w:t>
      </w:r>
    </w:p>
    <w:p w14:paraId="54E2625D" w14:textId="6C307739"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análise dos vencimento</w:t>
      </w:r>
      <w:r w:rsidR="001563BD"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para passivos financeiros não derivativos (incluindo contratos de garantia financeira) que demonstre os vencimentos contratuais remanescentes.</w:t>
      </w:r>
    </w:p>
    <w:p w14:paraId="710D552D"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análise dos vencimentos para os instrumentos financeiros derivativos passivos. A análise dos vencimentos deve incluir os vencimentos contratuais remanescentes para aqueles passivos financeiros derivativos para os quais o vencimento contratual é essencial para o entendimento do momento de recebimento dos fluxos de caixa (ver item B11B do CPC 40).</w:t>
      </w:r>
    </w:p>
    <w:p w14:paraId="39BDD357" w14:textId="7BA4819D"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de como ela administra o risco de liquidez inerente a (a) e (b).</w:t>
      </w:r>
    </w:p>
    <w:p w14:paraId="4261871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Transferências de ativos financeiros</w:t>
      </w:r>
    </w:p>
    <w:p w14:paraId="0D772E32" w14:textId="77777777" w:rsidR="001563BD"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pode ter transferido ativos financeiros de tal forma que parte ou a totalidade dos ativos financeiros transferidos não se qualifiquem para </w:t>
      </w:r>
      <w:proofErr w:type="spellStart"/>
      <w:r w:rsidRPr="007775ED">
        <w:rPr>
          <w:rFonts w:ascii="Times New Roman" w:hAnsi="Times New Roman" w:cs="Times New Roman"/>
          <w:b w:val="0"/>
          <w:bCs/>
          <w:sz w:val="24"/>
          <w:szCs w:val="24"/>
        </w:rPr>
        <w:t>desreconhecimento</w:t>
      </w:r>
      <w:proofErr w:type="spellEnd"/>
      <w:r w:rsidRPr="007775ED">
        <w:rPr>
          <w:rFonts w:ascii="Times New Roman" w:hAnsi="Times New Roman" w:cs="Times New Roman"/>
          <w:b w:val="0"/>
          <w:bCs/>
          <w:sz w:val="24"/>
          <w:szCs w:val="24"/>
        </w:rPr>
        <w:t>. A entidade deve divulgar, em cada data-base, para cada classe de ativos financeiros transferidos que não são desreconhecidos em sua totalidade:</w:t>
      </w:r>
    </w:p>
    <w:p w14:paraId="4653880A"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dos ativos transferidos;</w:t>
      </w:r>
    </w:p>
    <w:p w14:paraId="3AECBE11" w14:textId="77777777" w:rsidR="001563BD"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dos riscos e benefícios da propriedade aos quais a entidade está exposta; e</w:t>
      </w:r>
    </w:p>
    <w:p w14:paraId="1DA4582A" w14:textId="4A625F3F"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entidade continuar a reconhecer a totalidade dos ativos transferidos, os valores contábeis dos ativos e dos passivos associados.</w:t>
      </w:r>
    </w:p>
    <w:p w14:paraId="44D715C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45 – Divulgação de Participações em Outras Entidades</w:t>
      </w:r>
    </w:p>
    <w:p w14:paraId="6478C981" w14:textId="74AD9303" w:rsidR="00587EC8" w:rsidRPr="007775ED" w:rsidRDefault="00587EC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s itens 5 e 6 do </w:t>
      </w:r>
      <w:r w:rsidR="001D7473" w:rsidRPr="007775ED">
        <w:rPr>
          <w:rFonts w:ascii="Times New Roman" w:hAnsi="Times New Roman" w:cs="Times New Roman"/>
          <w:b w:val="0"/>
          <w:bCs/>
          <w:sz w:val="24"/>
          <w:szCs w:val="24"/>
        </w:rPr>
        <w:t xml:space="preserve">Pronunciamento Técnico </w:t>
      </w:r>
      <w:r w:rsidR="00953DE8" w:rsidRPr="007775ED">
        <w:rPr>
          <w:rFonts w:ascii="Times New Roman" w:hAnsi="Times New Roman" w:cs="Times New Roman"/>
          <w:b w:val="0"/>
          <w:bCs/>
          <w:sz w:val="24"/>
          <w:szCs w:val="24"/>
        </w:rPr>
        <w:t>CPC 45 – Divulgação de Participações em Outras Entidades estabelecem o escopo do CPC 45, ou seja, as participações em outras entidades às quais os requisitos de divulgação do CPC 45 se aplicam. A entidade que aplicar este Pronunciamento Técnico deve aplicar os itens 5 e 6 do CPC 45 para determinar o alcance dos requisitos de divulgação dos itens 75 a 94 deste Pronunciamento Técnico. Entretanto:</w:t>
      </w:r>
    </w:p>
    <w:p w14:paraId="6BF09D48" w14:textId="08CEB611"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referência no item 5(b) do CPC 45 a negócios em conjunto (ou seja, operações em conjunto ou </w:t>
      </w:r>
      <w:proofErr w:type="spellStart"/>
      <w:r w:rsidRPr="007775ED">
        <w:rPr>
          <w:rFonts w:ascii="Times New Roman" w:hAnsi="Times New Roman" w:cs="Times New Roman"/>
          <w:b w:val="0"/>
          <w:bCs/>
          <w:sz w:val="24"/>
          <w:szCs w:val="24"/>
        </w:rPr>
        <w:t>empreendimentos</w:t>
      </w:r>
      <w:proofErr w:type="spellEnd"/>
      <w:r w:rsidRPr="007775ED">
        <w:rPr>
          <w:rFonts w:ascii="Times New Roman" w:hAnsi="Times New Roman" w:cs="Times New Roman"/>
          <w:b w:val="0"/>
          <w:bCs/>
          <w:sz w:val="24"/>
          <w:szCs w:val="24"/>
        </w:rPr>
        <w:t xml:space="preserve"> controlados em conjunto (</w:t>
      </w:r>
      <w:r w:rsidRPr="007775ED">
        <w:rPr>
          <w:rFonts w:ascii="Times New Roman" w:hAnsi="Times New Roman" w:cs="Times New Roman"/>
          <w:b w:val="0"/>
          <w:bCs/>
          <w:i/>
          <w:iCs/>
          <w:sz w:val="24"/>
          <w:szCs w:val="24"/>
        </w:rPr>
        <w:t>joint venture</w:t>
      </w:r>
      <w:r w:rsidR="00587EC8" w:rsidRPr="007775ED">
        <w:rPr>
          <w:rFonts w:ascii="Times New Roman" w:hAnsi="Times New Roman" w:cs="Times New Roman"/>
          <w:b w:val="0"/>
          <w:bCs/>
          <w:i/>
          <w:iCs/>
          <w:sz w:val="24"/>
          <w:szCs w:val="24"/>
        </w:rPr>
        <w:t>s</w:t>
      </w:r>
      <w:r w:rsidRPr="007775ED">
        <w:rPr>
          <w:rFonts w:ascii="Times New Roman" w:hAnsi="Times New Roman" w:cs="Times New Roman"/>
          <w:b w:val="0"/>
          <w:bCs/>
          <w:sz w:val="24"/>
          <w:szCs w:val="24"/>
        </w:rPr>
        <w:t xml:space="preserve">)) devem ser lidas pela entidade como uma referência apenas a </w:t>
      </w:r>
      <w:proofErr w:type="spellStart"/>
      <w:r w:rsidRPr="007775ED">
        <w:rPr>
          <w:rFonts w:ascii="Times New Roman" w:hAnsi="Times New Roman" w:cs="Times New Roman"/>
          <w:b w:val="0"/>
          <w:bCs/>
          <w:sz w:val="24"/>
          <w:szCs w:val="24"/>
        </w:rPr>
        <w:t>empreendimentos</w:t>
      </w:r>
      <w:proofErr w:type="spellEnd"/>
      <w:r w:rsidRPr="007775ED">
        <w:rPr>
          <w:rFonts w:ascii="Times New Roman" w:hAnsi="Times New Roman" w:cs="Times New Roman"/>
          <w:b w:val="0"/>
          <w:bCs/>
          <w:sz w:val="24"/>
          <w:szCs w:val="24"/>
        </w:rPr>
        <w:t xml:space="preserve"> controlados em conjunto;</w:t>
      </w:r>
    </w:p>
    <w:p w14:paraId="46D317EC"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frase “exceto conforme descrito no item B17” no item 5A do CPC 45 será interpretada como “exceto para as divulgações exigidas pelo item 89 deste Pronunciamento Técnico”;</w:t>
      </w:r>
    </w:p>
    <w:p w14:paraId="7D1C3CA9"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referência no item 6(b)(i) do CPC 45 aos requisitos de divulgação nos itens 24 a 31 do CPC 45 será interpretada como uma referência aos itens 92 a 94 deste Pronunciamento Técnico; e</w:t>
      </w:r>
    </w:p>
    <w:p w14:paraId="7AB8A451" w14:textId="6386380E"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referência no item 6(b)(ii) do CPC 45 a “</w:t>
      </w:r>
      <w:r w:rsidR="00771CC3" w:rsidRPr="007775ED">
        <w:rPr>
          <w:rFonts w:ascii="Times New Roman" w:hAnsi="Times New Roman" w:cs="Times New Roman"/>
          <w:b w:val="0"/>
          <w:bCs/>
          <w:sz w:val="24"/>
          <w:szCs w:val="24"/>
        </w:rPr>
        <w:t>este pronunciamento</w:t>
      </w:r>
      <w:r w:rsidRPr="007775ED">
        <w:rPr>
          <w:rFonts w:ascii="Times New Roman" w:hAnsi="Times New Roman" w:cs="Times New Roman"/>
          <w:b w:val="0"/>
          <w:bCs/>
          <w:sz w:val="24"/>
          <w:szCs w:val="24"/>
        </w:rPr>
        <w:t>” será interpretada como uma referência aos itens 82 a 94 deste Pronunciamento Técnico.</w:t>
      </w:r>
    </w:p>
    <w:p w14:paraId="45C03B4C" w14:textId="77777777" w:rsidR="00587EC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informações separadamente para participações em:</w:t>
      </w:r>
    </w:p>
    <w:p w14:paraId="32ACD7CF"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controladas;</w:t>
      </w:r>
    </w:p>
    <w:p w14:paraId="543DA455"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empreendimentos</w:t>
      </w:r>
      <w:proofErr w:type="spellEnd"/>
      <w:r w:rsidRPr="007775ED">
        <w:rPr>
          <w:rFonts w:ascii="Times New Roman" w:hAnsi="Times New Roman" w:cs="Times New Roman"/>
          <w:b w:val="0"/>
          <w:bCs/>
          <w:sz w:val="24"/>
          <w:szCs w:val="24"/>
        </w:rPr>
        <w:t xml:space="preserve"> controlados em conjunto;</w:t>
      </w:r>
    </w:p>
    <w:p w14:paraId="2D2A9AC7"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coligadas; e</w:t>
      </w:r>
    </w:p>
    <w:p w14:paraId="70F932B0" w14:textId="6614205E" w:rsidR="00953DE8" w:rsidRPr="007775ED" w:rsidRDefault="00587EC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entidades estruturadas não consolidadas.</w:t>
      </w:r>
    </w:p>
    <w:p w14:paraId="231A893E"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Participações em controladas</w:t>
      </w:r>
    </w:p>
    <w:p w14:paraId="79C4E21C" w14:textId="42010687" w:rsidR="00587EC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as demonstrações contábeis de controlada utilizadas na elaboração de demonstrações consolidadas forem referentes a uma data ou período diferente do das demonstrações consolidadas (ver itens B92 e B93 </w:t>
      </w:r>
      <w:r w:rsidR="00D47B7E" w:rsidRPr="007775ED">
        <w:rPr>
          <w:rFonts w:ascii="Times New Roman" w:hAnsi="Times New Roman" w:cs="Times New Roman"/>
          <w:b w:val="0"/>
          <w:bCs/>
          <w:sz w:val="24"/>
          <w:szCs w:val="24"/>
        </w:rPr>
        <w:t xml:space="preserve">do </w:t>
      </w:r>
      <w:r w:rsidRPr="007775ED">
        <w:rPr>
          <w:rFonts w:ascii="Times New Roman" w:hAnsi="Times New Roman" w:cs="Times New Roman"/>
          <w:b w:val="0"/>
          <w:bCs/>
          <w:sz w:val="24"/>
          <w:szCs w:val="24"/>
        </w:rPr>
        <w:t>CPC 36), a entidade deve divulgar a data do final do período de reporte das demonstrações contábeis dessa controlada.</w:t>
      </w:r>
    </w:p>
    <w:p w14:paraId="6AA22886" w14:textId="4F2013DA" w:rsidR="00587EC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restrições significativas (por exemplo, restrições legais, contratuais e regulatórias) sobre a sua capacidade de acessar ou usar os ativos e liquidar os passivos do grupo</w:t>
      </w:r>
      <w:r w:rsidR="00C20535" w:rsidRPr="007775ED">
        <w:rPr>
          <w:rFonts w:ascii="Times New Roman" w:hAnsi="Times New Roman" w:cs="Times New Roman"/>
          <w:b w:val="0"/>
          <w:bCs/>
          <w:sz w:val="24"/>
          <w:szCs w:val="24"/>
        </w:rPr>
        <w:t xml:space="preserve"> econômico</w:t>
      </w:r>
      <w:r w:rsidRPr="007775ED">
        <w:rPr>
          <w:rFonts w:ascii="Times New Roman" w:hAnsi="Times New Roman" w:cs="Times New Roman"/>
          <w:b w:val="0"/>
          <w:bCs/>
          <w:sz w:val="24"/>
          <w:szCs w:val="24"/>
        </w:rPr>
        <w:t>, tais como:</w:t>
      </w:r>
    </w:p>
    <w:p w14:paraId="59DC9A71"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aquelas que restringem a capacidade da controladora ou de suas controladas de transferir caixa ou outros ativos para (ou de) outras entidades dentro do grupo econômico; e</w:t>
      </w:r>
    </w:p>
    <w:p w14:paraId="60D5C9DD" w14:textId="30AF8DB8"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garantias ou outras exigências que possam restringir que dividendos e outras distribuições de capital sejam pagos ou que empréstimos e adiantamentos sejam feitos ou pagos a (ou por) outras entidades dentro do grupo econômico.</w:t>
      </w:r>
    </w:p>
    <w:p w14:paraId="6E2A2F50" w14:textId="508A8F03" w:rsidR="00587EC8" w:rsidRPr="007775ED" w:rsidRDefault="00587EC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deve divulgar os termos de quaisquer acordos contratuais que possam exigir que a controladora ou suas controladas forneçam suporte financeiro </w:t>
      </w:r>
      <w:r w:rsidR="006424F5" w:rsidRPr="007775ED">
        <w:rPr>
          <w:rFonts w:ascii="Times New Roman" w:hAnsi="Times New Roman" w:cs="Times New Roman"/>
          <w:b w:val="0"/>
          <w:bCs/>
          <w:sz w:val="24"/>
          <w:szCs w:val="24"/>
        </w:rPr>
        <w:t xml:space="preserve">à </w:t>
      </w:r>
      <w:r w:rsidR="00953DE8" w:rsidRPr="007775ED">
        <w:rPr>
          <w:rFonts w:ascii="Times New Roman" w:hAnsi="Times New Roman" w:cs="Times New Roman"/>
          <w:b w:val="0"/>
          <w:bCs/>
          <w:sz w:val="24"/>
          <w:szCs w:val="24"/>
        </w:rPr>
        <w:t>entidade estruturada consolidada, incluindo eventos ou circunstâncias que possam expor a entidade que reporta informação a uma perda (por exemplo, acordos de liquidez ou gatilhos de classificação de crédito associados a obrigações de comprar ativos da entidade estruturada ou de fornecer suporte financeiro).</w:t>
      </w:r>
    </w:p>
    <w:p w14:paraId="3245BD1C" w14:textId="01BAE9E7" w:rsidR="00587EC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 controladora ou quaisquer de suas controladas tiver, sem ter a obrigação contratual de fazê-lo, fornecido suporte financeiro ou outro </w:t>
      </w:r>
      <w:r w:rsidR="006424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estruturada consolidada (por exemplo, adquirindo ativos da entidade estruturada ou instrumentos emitidos por ela), a entidade deve divulgar:</w:t>
      </w:r>
    </w:p>
    <w:p w14:paraId="025BCCBB"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tipo e valor do suporte fornecido, incluindo situações nas quais a controladora ou suas controladas tenham auxiliado a entidade estruturada na obtenção de suporte financeiro; e</w:t>
      </w:r>
    </w:p>
    <w:p w14:paraId="4C1CDF93" w14:textId="77777777" w:rsidR="00587EC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razões para o fornecimento do suporte.</w:t>
      </w:r>
    </w:p>
    <w:p w14:paraId="44B393F9" w14:textId="765FCE4E" w:rsidR="00587EC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entidade deve divulgar quaisquer intenções atuais de fornecer suporte financeiro ou outro tipo de suporte </w:t>
      </w:r>
      <w:r w:rsidR="006424F5"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estruturada consolidada, incluindo intenções de auxiliar a entidade estruturada a obter suporte financeiro.</w:t>
      </w:r>
    </w:p>
    <w:p w14:paraId="3CCC3F4A" w14:textId="3C643911" w:rsidR="00DE4AEF"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o ganho ou perda, se </w:t>
      </w:r>
      <w:proofErr w:type="gramStart"/>
      <w:r w:rsidRPr="007775ED">
        <w:rPr>
          <w:rFonts w:ascii="Times New Roman" w:hAnsi="Times New Roman" w:cs="Times New Roman"/>
          <w:b w:val="0"/>
          <w:bCs/>
          <w:sz w:val="24"/>
          <w:szCs w:val="24"/>
        </w:rPr>
        <w:t>houver, calculado</w:t>
      </w:r>
      <w:proofErr w:type="gramEnd"/>
      <w:r w:rsidRPr="007775ED">
        <w:rPr>
          <w:rFonts w:ascii="Times New Roman" w:hAnsi="Times New Roman" w:cs="Times New Roman"/>
          <w:b w:val="0"/>
          <w:bCs/>
          <w:sz w:val="24"/>
          <w:szCs w:val="24"/>
        </w:rPr>
        <w:t xml:space="preserve"> de acordo com o item 25 do CPC 36, e:</w:t>
      </w:r>
    </w:p>
    <w:p w14:paraId="53575F67" w14:textId="606034DC" w:rsidR="00DE4AEF"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parcela desse ganho ou perda atribuível à mensuração de qualquer investimento retido na </w:t>
      </w:r>
      <w:proofErr w:type="spellStart"/>
      <w:r w:rsidRPr="007775ED">
        <w:rPr>
          <w:rFonts w:ascii="Times New Roman" w:hAnsi="Times New Roman" w:cs="Times New Roman"/>
          <w:b w:val="0"/>
          <w:bCs/>
          <w:sz w:val="24"/>
          <w:szCs w:val="24"/>
        </w:rPr>
        <w:t>ex-</w:t>
      </w:r>
      <w:r w:rsidR="00D247D8" w:rsidRPr="007775ED">
        <w:rPr>
          <w:rFonts w:ascii="Times New Roman" w:hAnsi="Times New Roman" w:cs="Times New Roman"/>
          <w:b w:val="0"/>
          <w:bCs/>
          <w:sz w:val="24"/>
          <w:szCs w:val="24"/>
        </w:rPr>
        <w:t>controlad</w:t>
      </w:r>
      <w:r w:rsidR="00D247D8">
        <w:rPr>
          <w:rFonts w:ascii="Times New Roman" w:hAnsi="Times New Roman" w:cs="Times New Roman"/>
          <w:b w:val="0"/>
          <w:bCs/>
          <w:sz w:val="24"/>
          <w:szCs w:val="24"/>
        </w:rPr>
        <w:t>a</w:t>
      </w:r>
      <w:proofErr w:type="spellEnd"/>
      <w:r w:rsidRPr="007775ED">
        <w:rPr>
          <w:rFonts w:ascii="Times New Roman" w:hAnsi="Times New Roman" w:cs="Times New Roman"/>
          <w:b w:val="0"/>
          <w:bCs/>
          <w:sz w:val="24"/>
          <w:szCs w:val="24"/>
        </w:rPr>
        <w:t>, pelo seu valor justo na data em que o controle é perdido; e</w:t>
      </w:r>
    </w:p>
    <w:p w14:paraId="5F5A873B" w14:textId="73C1228D"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rubricas da demonstração do resultado na qual o ganho ou a perda estiver reconhecido (se não apresentado separadamente).</w:t>
      </w:r>
    </w:p>
    <w:p w14:paraId="2F02C59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Condição de entidade de investimento</w:t>
      </w:r>
    </w:p>
    <w:p w14:paraId="0E5D8409" w14:textId="5E0F619B" w:rsidR="00DE4AEF"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 controladora se qualificar como sendo uma entidade de investimento de acordo com o item 27 </w:t>
      </w:r>
      <w:r w:rsidR="00D47B7E" w:rsidRPr="007775ED">
        <w:rPr>
          <w:rFonts w:ascii="Times New Roman" w:hAnsi="Times New Roman" w:cs="Times New Roman"/>
          <w:b w:val="0"/>
          <w:bCs/>
          <w:sz w:val="24"/>
          <w:szCs w:val="24"/>
        </w:rPr>
        <w:t xml:space="preserve">do </w:t>
      </w:r>
      <w:r w:rsidRPr="007775ED">
        <w:rPr>
          <w:rFonts w:ascii="Times New Roman" w:hAnsi="Times New Roman" w:cs="Times New Roman"/>
          <w:b w:val="0"/>
          <w:bCs/>
          <w:sz w:val="24"/>
          <w:szCs w:val="24"/>
        </w:rPr>
        <w:t>CPC 36 e não possui uma ou mais das características típicas de uma entidade de investimento (ver item 28 do CPC 36), ela deve divulgar as suas razões para concluir que ainda assim é definida como entidade de investimento.</w:t>
      </w:r>
    </w:p>
    <w:p w14:paraId="175B6EBD" w14:textId="77777777" w:rsidR="00DE4AEF"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se tornar ou deixar de ser entidade de investimento, a entidade deve divulgar a mudança da condição de entidade de investimento e as razões para a mudança. Além disso, a entidade que se tornar entidade de investimento deve divulgar o efeito da mudança de condição sobre as demonstrações contábeis para o período apresentado, incluindo:</w:t>
      </w:r>
    </w:p>
    <w:p w14:paraId="4A595377" w14:textId="77777777" w:rsidR="00DE4AEF"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justo total, na data da mudança de condição, das controladas que deixaram de ser consolidadas;</w:t>
      </w:r>
    </w:p>
    <w:p w14:paraId="39E6310B" w14:textId="0F206F46" w:rsidR="00DE4AEF"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ganho ou a perda total, se </w:t>
      </w:r>
      <w:proofErr w:type="gramStart"/>
      <w:r w:rsidRPr="007775ED">
        <w:rPr>
          <w:rFonts w:ascii="Times New Roman" w:hAnsi="Times New Roman" w:cs="Times New Roman"/>
          <w:b w:val="0"/>
          <w:bCs/>
          <w:sz w:val="24"/>
          <w:szCs w:val="24"/>
        </w:rPr>
        <w:t>houver, calculado</w:t>
      </w:r>
      <w:proofErr w:type="gramEnd"/>
      <w:r w:rsidRPr="007775ED">
        <w:rPr>
          <w:rFonts w:ascii="Times New Roman" w:hAnsi="Times New Roman" w:cs="Times New Roman"/>
          <w:b w:val="0"/>
          <w:bCs/>
          <w:sz w:val="24"/>
          <w:szCs w:val="24"/>
        </w:rPr>
        <w:t xml:space="preserve"> de acordo com o item B101 do CPC 36; e</w:t>
      </w:r>
    </w:p>
    <w:p w14:paraId="34441249" w14:textId="0D7E1B33" w:rsidR="00953DE8"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rubrica(s) da demonstração do resultado nas quais o ganho ou a perda for reconhecida (se não apresentada separadamente).</w:t>
      </w:r>
    </w:p>
    <w:p w14:paraId="327E3E1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Participações em controladas não consolidadas (entidades de investimento)</w:t>
      </w:r>
    </w:p>
    <w:p w14:paraId="6A3A1210" w14:textId="6A597C7C"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 investimento que, de acordo com o CPC 36, seja obrigada a aplicar a exceção à consolidação e, em decorrência disso, contabilize seu investimento em controlada ao valor justo por meio do resultado deve divulgar esse fato.</w:t>
      </w:r>
    </w:p>
    <w:p w14:paraId="345E28D3" w14:textId="77777777"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 investimento deve divulgar:</w:t>
      </w:r>
    </w:p>
    <w:p w14:paraId="6C64ABFC" w14:textId="77777777"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e extensão de quaisquer restrições significativas (por exemplo, resultantes de acordos de empréstimo, requisitos regulatóri</w:t>
      </w:r>
      <w:r w:rsidR="007F7786" w:rsidRPr="007775ED">
        <w:rPr>
          <w:rFonts w:ascii="Times New Roman" w:hAnsi="Times New Roman" w:cs="Times New Roman"/>
          <w:b w:val="0"/>
          <w:bCs/>
          <w:sz w:val="24"/>
          <w:szCs w:val="24"/>
        </w:rPr>
        <w:t>o</w:t>
      </w:r>
      <w:r w:rsidRPr="007775ED">
        <w:rPr>
          <w:rFonts w:ascii="Times New Roman" w:hAnsi="Times New Roman" w:cs="Times New Roman"/>
          <w:b w:val="0"/>
          <w:bCs/>
          <w:sz w:val="24"/>
          <w:szCs w:val="24"/>
        </w:rPr>
        <w:t>s ou acordos contratuais) sobre a capacidade de controlada não consolidada de transferir recursos à entidade de investimento na forma de dividendos em dinheiro ou de pagar empréstimos ou adiantamentos feitos à controladora não consolidada pela entidade de investimento; e</w:t>
      </w:r>
    </w:p>
    <w:p w14:paraId="0EEECE23" w14:textId="77777777"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quaisquer compromissos ou intenções atuais de fornecer suporte financeiro ou outro a uma controlada não consolidada, incluindo compromissos ou intenções de auxiliar a controlada na obtenção de suporte financeiro</w:t>
      </w:r>
      <w:r w:rsidR="007F7786" w:rsidRPr="007775ED">
        <w:rPr>
          <w:rFonts w:ascii="Times New Roman" w:hAnsi="Times New Roman" w:cs="Times New Roman"/>
          <w:b w:val="0"/>
          <w:bCs/>
          <w:sz w:val="24"/>
          <w:szCs w:val="24"/>
        </w:rPr>
        <w:t>.</w:t>
      </w:r>
    </w:p>
    <w:p w14:paraId="66295AB5" w14:textId="77777777"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durante o período das demonstrações contábeis, a entidade de investimento ou quaisquer de suas controladas tiver, sem ter a obrigação contratual de fazê-lo, fornecido suporte financeiro ou outro tipo de suporte a uma controlada não consolidada (por exemplo, adquirindo ativos da controlada ou instrumentos emitidos por ela ou auxiliando-a na obtenção de suporte financeiro), a entidade deve divulgar:</w:t>
      </w:r>
    </w:p>
    <w:p w14:paraId="7927200E" w14:textId="77777777"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tipo e o valor do suporte fornecido a cada controlada não consolidada; e</w:t>
      </w:r>
    </w:p>
    <w:p w14:paraId="6351CE2F" w14:textId="77777777"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razões para o fornecimento do suporte.</w:t>
      </w:r>
    </w:p>
    <w:p w14:paraId="7AE0D853" w14:textId="18FBDD5C" w:rsidR="00953DE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 investimento deve divulgar os termos de quaisquer acordos contratuais que poderiam exigir que a entidade ou suas controladas não consolidadas fornecessem suporte financeiro a uma entidade não consolidada, controlada e estruturada, incluindo eventos ou circunstâncias que poderiam expor a entidade que está divulgando suas demonstrações contábeis a uma perda (por exemplo, acordos de liquidez ou gatilhos de classificação de crédito associados a obrigações de comprar ativos da entidade estruturada ou de fornecer suporte financeiro).</w:t>
      </w:r>
    </w:p>
    <w:p w14:paraId="1ED7EC67"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Participações em empreendimentos em conjunto e coligadas</w:t>
      </w:r>
    </w:p>
    <w:p w14:paraId="7E345DD4" w14:textId="3A0077D1"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empreendimento controlado em conjunto e coligada que seja material para a entidade que reporta a informação:</w:t>
      </w:r>
    </w:p>
    <w:p w14:paraId="5F619D69" w14:textId="77777777"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investimento no empreendimento controlado em conjunto ou na coligada é mensurado usando-se o método de equivalência patrimonial ou o valor justo; e</w:t>
      </w:r>
    </w:p>
    <w:p w14:paraId="310BCD7D" w14:textId="65179C8D" w:rsidR="007F7786"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o investimento em empreendimento </w:t>
      </w:r>
      <w:r w:rsidR="00C20535" w:rsidRPr="007775ED">
        <w:rPr>
          <w:rFonts w:ascii="Times New Roman" w:hAnsi="Times New Roman" w:cs="Times New Roman"/>
          <w:b w:val="0"/>
          <w:bCs/>
          <w:sz w:val="24"/>
          <w:szCs w:val="24"/>
        </w:rPr>
        <w:t xml:space="preserve">controlado </w:t>
      </w:r>
      <w:r w:rsidRPr="007775ED">
        <w:rPr>
          <w:rFonts w:ascii="Times New Roman" w:hAnsi="Times New Roman" w:cs="Times New Roman"/>
          <w:b w:val="0"/>
          <w:bCs/>
          <w:sz w:val="24"/>
          <w:szCs w:val="24"/>
        </w:rPr>
        <w:t>em conjunto ou em coligada for contabilizado usando-se o método de equivalência patrimonial, o valor justo de seu investimento no empreendimento controlado em conjunto ou na coligada, se houver preço de mercado cotado para o investimento.</w:t>
      </w:r>
    </w:p>
    <w:p w14:paraId="3A15E116" w14:textId="6C598C67"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de modo agregado, o valor contábil de suas participações em todos os empreendimentos controlados em conjunto ou em coligadas individualmente materiais que sejam contabilizadas usando o método de equivalência patrimonial. A entidade deve divulgar também, separadamente, o valor agregado de sua parcela dos seguintes itens referentes a esses empreendimentos controlados em conjunto ou essas coligadas:</w:t>
      </w:r>
    </w:p>
    <w:p w14:paraId="634BC9DF" w14:textId="0943BFD5" w:rsidR="007F7786" w:rsidRPr="007775ED" w:rsidRDefault="00E374E1"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lucro ou prejuízo de operações em continuidade;</w:t>
      </w:r>
      <w:r w:rsidR="00953DE8" w:rsidRPr="007775ED">
        <w:rPr>
          <w:rFonts w:ascii="Times New Roman" w:hAnsi="Times New Roman" w:cs="Times New Roman"/>
          <w:b w:val="0"/>
          <w:bCs/>
          <w:sz w:val="24"/>
          <w:szCs w:val="24"/>
        </w:rPr>
        <w:t xml:space="preserve"> e</w:t>
      </w:r>
    </w:p>
    <w:p w14:paraId="22EB0AB0" w14:textId="196F7310" w:rsidR="007F7786" w:rsidRPr="007775ED" w:rsidRDefault="00E374E1"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lucro ou prejuízo após tributos sobre o lucro </w:t>
      </w:r>
      <w:r w:rsidR="00953DE8" w:rsidRPr="007775ED">
        <w:rPr>
          <w:rFonts w:ascii="Times New Roman" w:hAnsi="Times New Roman" w:cs="Times New Roman"/>
          <w:b w:val="0"/>
          <w:bCs/>
          <w:sz w:val="24"/>
          <w:szCs w:val="24"/>
        </w:rPr>
        <w:t>de operações descontinuadas.</w:t>
      </w:r>
    </w:p>
    <w:p w14:paraId="38CD9AD4" w14:textId="77777777" w:rsidR="007F7786"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 investimento não precisa fornecer as divulgações requeridas pelos itens 88 e 89.</w:t>
      </w:r>
    </w:p>
    <w:p w14:paraId="3B2BD3A9" w14:textId="63811888" w:rsidR="00953DE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entidade deve divulgar o total de compromissos assumidos, mas não reconhecidos na data de reporte (incluindo sua parcela de compromissos assumidos em conjunto com outros investidores que tenham o controle conjunto de empreendimento controlado em conjunto), em relação às suas participações em empreendimentos controlados em conjunto. Compromissos são aqueles que podem dar origem a uma saída futura de caixa ou de outros recursos.</w:t>
      </w:r>
    </w:p>
    <w:p w14:paraId="1B63D895" w14:textId="0F91787B"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Participações em entidades estruturadas não consolidadas</w:t>
      </w:r>
    </w:p>
    <w:p w14:paraId="34C0CD8A" w14:textId="77777777" w:rsidR="00B255EC"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durante o período de reporte, a entidade tiver, sem ter a obrigação contratual de fazê-lo, fornecido suporte financeiro ou outro a uma entidade estruturada não consolidada na qual anteriormente teve, ou atualmente tenha participação (por exemplo, compra de ativos da entidade estruturada ou instrumentos emitidos por ela), a entidade deve divulgar</w:t>
      </w:r>
      <w:r w:rsidR="00B255EC" w:rsidRPr="007775ED">
        <w:rPr>
          <w:rFonts w:ascii="Times New Roman" w:hAnsi="Times New Roman" w:cs="Times New Roman"/>
          <w:b w:val="0"/>
          <w:bCs/>
          <w:sz w:val="24"/>
          <w:szCs w:val="24"/>
        </w:rPr>
        <w:t>:</w:t>
      </w:r>
    </w:p>
    <w:p w14:paraId="612BDB9F" w14:textId="77777777"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tipo e valor do suporte fornecido, incluindo situações nas quais a entidade tenha auxiliado a entidade estruturada na obtenção de suporte financeiro; e</w:t>
      </w:r>
    </w:p>
    <w:p w14:paraId="499043AF" w14:textId="77777777"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razões para o fornecimento do suporte.</w:t>
      </w:r>
    </w:p>
    <w:p w14:paraId="76EF8FA4" w14:textId="77777777" w:rsidR="00B255EC"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quaisquer intenções atuais de fornecer suporte financeiro ou outro tipo de suporte a uma entidade estruturada não consolidada, incluindo intenções de auxiliar a entidade estruturada a obter suporte financeiro.</w:t>
      </w:r>
    </w:p>
    <w:p w14:paraId="6C96A91F" w14:textId="248E0200" w:rsidR="00953DE8"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 investimento não precisa fornecer as divulgações exigidas pelos itens 92 e 93 para a entidade estruturada não consolidada que ela controle e para a qual ela apresente as divulgações exigidas pelos itens 84 a 87.</w:t>
      </w:r>
    </w:p>
    <w:p w14:paraId="6AE30B10"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46 – Mensuração do Valor Justo</w:t>
      </w:r>
    </w:p>
    <w:p w14:paraId="4C1C4BF8" w14:textId="77777777" w:rsidR="00B255EC"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classe de ativos e passivos (ver item 94 do CPC 46 para informações sobre a determinação de classes adequadas de ativos e passivos) mensurados ao valor justo (incluindo mensurações com base no valor justo dentro do alcance do CPC 46) no balanço patrimonial após o reconhecimento inicial:</w:t>
      </w:r>
    </w:p>
    <w:p w14:paraId="1EBD67C4" w14:textId="65D8D12F"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mensurações do valor justo recorrentes e não recorrentes, </w:t>
      </w:r>
      <w:r w:rsidR="00D57FBE">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mensuração do valor justo ao final do período das demonstrações contábeis;</w:t>
      </w:r>
    </w:p>
    <w:p w14:paraId="252E55A0" w14:textId="77777777"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mensurações do valor justo recorrentes e não recorrentes, o nível da hierarquia de valor justo no qual as mensurações do valor justo sejam classificadas em sua totalidade (Nível 1, 2 ou 3);</w:t>
      </w:r>
    </w:p>
    <w:p w14:paraId="59216615" w14:textId="77777777"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mensurações do valor justo recorrentes e não recorrentes classificadas no Nível 2 e no Nível 3 da hierarquia de valor justo, uma descrição da(s) técnica(s) de avaliação e as informações (</w:t>
      </w:r>
      <w:r w:rsidRPr="007775ED">
        <w:rPr>
          <w:rFonts w:ascii="Times New Roman" w:hAnsi="Times New Roman" w:cs="Times New Roman"/>
          <w:b w:val="0"/>
          <w:bCs/>
          <w:i/>
          <w:iCs/>
          <w:sz w:val="24"/>
          <w:szCs w:val="24"/>
        </w:rPr>
        <w:t>inputs</w:t>
      </w:r>
      <w:r w:rsidRPr="007775ED">
        <w:rPr>
          <w:rFonts w:ascii="Times New Roman" w:hAnsi="Times New Roman" w:cs="Times New Roman"/>
          <w:b w:val="0"/>
          <w:bCs/>
          <w:sz w:val="24"/>
          <w:szCs w:val="24"/>
        </w:rPr>
        <w:t>) utilizadas na mensuração do valor justo; e</w:t>
      </w:r>
    </w:p>
    <w:p w14:paraId="7677D1EC" w14:textId="77777777" w:rsidR="00B255EC" w:rsidRPr="007775ED" w:rsidRDefault="00953DE8" w:rsidP="007775ED">
      <w:pPr>
        <w:pStyle w:val="IASBSectionTitle1NonInd"/>
        <w:numPr>
          <w:ilvl w:val="1"/>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mensurações do valor justo recorrentes classificadas no Nível 3 da hierarquia de valor justo:</w:t>
      </w:r>
    </w:p>
    <w:p w14:paraId="5F168E24" w14:textId="7F57D178" w:rsidR="00B255EC"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ganhos ou perdas totais para o período, reconhecidos no resultado, e a(s) rubrica(s) no resultado na(s) qual(is) esses ganhos ou perdas são reconhecidos; </w:t>
      </w:r>
      <w:r w:rsidR="00B255EC" w:rsidRPr="007775ED">
        <w:rPr>
          <w:rFonts w:ascii="Times New Roman" w:hAnsi="Times New Roman" w:cs="Times New Roman"/>
          <w:b w:val="0"/>
          <w:bCs/>
          <w:sz w:val="24"/>
          <w:szCs w:val="24"/>
        </w:rPr>
        <w:t>e</w:t>
      </w:r>
    </w:p>
    <w:p w14:paraId="6758BCC6" w14:textId="77777777" w:rsidR="00B255EC" w:rsidRPr="007775ED" w:rsidRDefault="00953DE8" w:rsidP="007775ED">
      <w:pPr>
        <w:pStyle w:val="IASBSectionTitle1NonInd"/>
        <w:numPr>
          <w:ilvl w:val="2"/>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ganhos ou perdas totais para o período, reconhecidos em outros resultados abrangentes, e a(s) rubrica(s) em outros resultados abrangentes na(s) qual(is) esses ganhos ou perdas são reconhecidos.</w:t>
      </w:r>
    </w:p>
    <w:p w14:paraId="5D2F7E0C" w14:textId="77777777" w:rsidR="00B255EC"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tomar uma decisão de política contábil para utilizar a exceção do item 48 do CPC 46, ela deve divulgar esse fato.</w:t>
      </w:r>
    </w:p>
    <w:p w14:paraId="23C592E0" w14:textId="77777777" w:rsidR="00B255EC" w:rsidRPr="007775ED" w:rsidRDefault="00953DE8" w:rsidP="007775ED">
      <w:pPr>
        <w:pStyle w:val="IASBSectionTitle1NonInd"/>
        <w:numPr>
          <w:ilvl w:val="0"/>
          <w:numId w:val="33"/>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apresentar as divulgações quantitativas exigidas pelo item 95 em formato tabular, salvo se outro formato for mais apropriado.</w:t>
      </w:r>
    </w:p>
    <w:p w14:paraId="3EE4EC25" w14:textId="77777777" w:rsidR="00B255EC" w:rsidRPr="007775ED" w:rsidRDefault="00B255EC" w:rsidP="007775ED">
      <w:pPr>
        <w:pStyle w:val="IASBSectionTitle1NonInd"/>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98 a 102. Não utilizado.</w:t>
      </w:r>
    </w:p>
    <w:p w14:paraId="60A2788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47 – Receita de Contrato com Cliente</w:t>
      </w:r>
    </w:p>
    <w:p w14:paraId="53F796A8"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Contratos com clientes</w:t>
      </w:r>
    </w:p>
    <w:p w14:paraId="5C5B984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Desagregação da receita</w:t>
      </w:r>
    </w:p>
    <w:p w14:paraId="512429D6" w14:textId="77777777" w:rsidR="00B255EC"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desagregar receitas reconhecidas de contratos com clientes em categorias que descrevam como a natureza, o valor, a época e a incerteza das receitas dos fluxos de caixa são </w:t>
      </w:r>
      <w:proofErr w:type="gramStart"/>
      <w:r w:rsidRPr="007775ED">
        <w:rPr>
          <w:rFonts w:ascii="Times New Roman" w:hAnsi="Times New Roman" w:cs="Times New Roman"/>
          <w:b w:val="0"/>
          <w:bCs/>
          <w:sz w:val="24"/>
          <w:szCs w:val="24"/>
        </w:rPr>
        <w:t>afetados</w:t>
      </w:r>
      <w:proofErr w:type="gramEnd"/>
      <w:r w:rsidRPr="007775ED">
        <w:rPr>
          <w:rFonts w:ascii="Times New Roman" w:hAnsi="Times New Roman" w:cs="Times New Roman"/>
          <w:b w:val="0"/>
          <w:bCs/>
          <w:sz w:val="24"/>
          <w:szCs w:val="24"/>
        </w:rPr>
        <w:t xml:space="preserve"> por fatores econômicos. Exemplos de categorias que podem ser apropriadas incluem:</w:t>
      </w:r>
    </w:p>
    <w:p w14:paraId="736CA9C4"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tipo de bem ou serviço (por exemplo, importantes linhas de produtos);</w:t>
      </w:r>
    </w:p>
    <w:p w14:paraId="1A95AFB1"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região geográfica (por exemplo, país ou região);</w:t>
      </w:r>
    </w:p>
    <w:p w14:paraId="3ECDD78F"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mercado ou tipo de cliente (por exemplo, clientes governamentais e não governamentais);</w:t>
      </w:r>
    </w:p>
    <w:p w14:paraId="67E8AA41" w14:textId="77777777" w:rsidR="00B255EC" w:rsidRPr="007775ED" w:rsidRDefault="00B255EC"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tipo de contrato (por exemplo, contratos de preço fixo e contratos de tempo e materiais);</w:t>
      </w:r>
    </w:p>
    <w:p w14:paraId="442E8A2F"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duração do contrato (por exemplo, contratos de curto e de longo prazo);</w:t>
      </w:r>
    </w:p>
    <w:p w14:paraId="68171D72"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época de transferência de bens ou serviços (por exemplo, receita de bens ou serviços transferida a clientes em momento específico no tempo e receita de bens ou serviços transferida ao longo do tempo); e</w:t>
      </w:r>
    </w:p>
    <w:p w14:paraId="3231F1F1"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canais de vendas (por exemplo, bens vendidos diretamente a clientes e bens vendidos por meio de intermediários).</w:t>
      </w:r>
    </w:p>
    <w:p w14:paraId="2003E03E" w14:textId="0A44B091"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Além disso, a entidade deve divulgar informações suficientes para permitir aos usuários de demonstrações contábeis </w:t>
      </w:r>
      <w:r w:rsidR="00B255EC" w:rsidRPr="007775ED">
        <w:rPr>
          <w:rFonts w:ascii="Times New Roman" w:hAnsi="Times New Roman" w:cs="Times New Roman"/>
          <w:b w:val="0"/>
          <w:bCs/>
          <w:sz w:val="24"/>
          <w:szCs w:val="24"/>
        </w:rPr>
        <w:t>compreenderem</w:t>
      </w:r>
      <w:r w:rsidRPr="007775ED">
        <w:rPr>
          <w:rFonts w:ascii="Times New Roman" w:hAnsi="Times New Roman" w:cs="Times New Roman"/>
          <w:b w:val="0"/>
          <w:bCs/>
          <w:sz w:val="24"/>
          <w:szCs w:val="24"/>
        </w:rPr>
        <w:t xml:space="preserve"> a relação entre a divulgação de receitas desagregadas (de acordo com o item 103) e informações sobre receitas que sejam divulgadas para cada segmento reportável se a entidade aplicar o CPC 22.</w:t>
      </w:r>
    </w:p>
    <w:p w14:paraId="4FBE75F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Saldo do contrato</w:t>
      </w:r>
    </w:p>
    <w:p w14:paraId="7A84777E" w14:textId="77777777" w:rsidR="00B255EC"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06EA63D4"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saldos inicial e final de recebíveis, ativos de contrato e passivos de contrato provenientes de contratos com clientes, se não forem de outro modo apresentados ou divulgados separadamente;</w:t>
      </w:r>
    </w:p>
    <w:p w14:paraId="6E5CA6BE" w14:textId="77777777" w:rsidR="00B255EC"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receitas reconhecidas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que foram incluídas no saldo de passivos de contrato no início do período; e</w:t>
      </w:r>
    </w:p>
    <w:p w14:paraId="5B9E42C6" w14:textId="767E8260"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receitas reconhecidas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provenientes de obrigações de performance satisfeitas (ou parcialmente satisfeitas) em períodos anteriores (por exemplo, alterações no preço da transação).</w:t>
      </w:r>
    </w:p>
    <w:p w14:paraId="61749D10"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Perdas por redução ao valor recuperável</w:t>
      </w:r>
    </w:p>
    <w:p w14:paraId="51BA67AC" w14:textId="115556BC"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menos que apresentadas separadamente na demonstração do resultado abrangente de acordo com outros Pronunciamentos Técnicos do CPC,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divulgará quaisquer perdas por redução ao valor recuperável reconhecidas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(de acordo com o CPC 48) sobre quaisquer recebíveis ou ativos de contrato provenientes de contratos da entidade com clientes, as quais a entidade deve divulgar separadamente das perdas por redução ao valor recuperável de outros contratos.</w:t>
      </w:r>
    </w:p>
    <w:p w14:paraId="77280AC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Obrigação de performance</w:t>
      </w:r>
    </w:p>
    <w:p w14:paraId="0151E5BE" w14:textId="77777777" w:rsidR="00B255EC" w:rsidRPr="007775ED" w:rsidRDefault="00B255EC"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deve divulgar informações sobre suas obrigações de performance em contratos com clientes, incluindo a descrição:</w:t>
      </w:r>
    </w:p>
    <w:p w14:paraId="7AE86BAA"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entidade normalmente satisfaz às suas obrigações de performance (por exemplo, por ocasião da remessa, por ocasião da entrega, conforme os serviços sejam prestados ou por ocasião da conclusão dos serviços), incluindo quando as obrigações de performance são satisfeitas conforme onde há o faturamento, mas não há a entrega (</w:t>
      </w:r>
      <w:proofErr w:type="spellStart"/>
      <w:r w:rsidRPr="007775ED">
        <w:rPr>
          <w:rFonts w:ascii="Times New Roman" w:hAnsi="Times New Roman" w:cs="Times New Roman"/>
          <w:b w:val="0"/>
          <w:bCs/>
          <w:i/>
          <w:iCs/>
          <w:sz w:val="24"/>
          <w:szCs w:val="24"/>
        </w:rPr>
        <w:t>bill-and-hold</w:t>
      </w:r>
      <w:proofErr w:type="spellEnd"/>
      <w:r w:rsidRPr="007775ED">
        <w:rPr>
          <w:rFonts w:ascii="Times New Roman" w:hAnsi="Times New Roman" w:cs="Times New Roman"/>
          <w:b w:val="0"/>
          <w:bCs/>
          <w:sz w:val="24"/>
          <w:szCs w:val="24"/>
        </w:rPr>
        <w:t>);</w:t>
      </w:r>
    </w:p>
    <w:p w14:paraId="2D1289D4"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termos de pagamento significativos (por exemplo, se o pagamento é normalmente devido, se o contrato tem componente de financiamento significativo, se o valor da contraprestação é variável e se a estimativa da contraprestação variável é normalmente restrita de acordo com os itens 56 a 58);</w:t>
      </w:r>
    </w:p>
    <w:p w14:paraId="6346880F"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obrigações de devolução, de restituição e outras obrigações similares; e </w:t>
      </w:r>
    </w:p>
    <w:p w14:paraId="63A9F7B4" w14:textId="725C8AD2"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tipos de garantias e obrigações relacionadas.</w:t>
      </w:r>
    </w:p>
    <w:p w14:paraId="0A90A1F0" w14:textId="28B8E1E6"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Preço de transação alocado às obrigações de </w:t>
      </w:r>
      <w:r w:rsidR="00A53571" w:rsidRPr="007775ED">
        <w:rPr>
          <w:rFonts w:ascii="Times New Roman" w:hAnsi="Times New Roman" w:cs="Times New Roman"/>
          <w:b w:val="0"/>
          <w:bCs/>
          <w:i/>
          <w:iCs/>
          <w:sz w:val="24"/>
          <w:szCs w:val="24"/>
        </w:rPr>
        <w:t xml:space="preserve">performance </w:t>
      </w:r>
      <w:r w:rsidRPr="007775ED">
        <w:rPr>
          <w:rFonts w:ascii="Times New Roman" w:hAnsi="Times New Roman" w:cs="Times New Roman"/>
          <w:b w:val="0"/>
          <w:bCs/>
          <w:i/>
          <w:iCs/>
          <w:sz w:val="24"/>
          <w:szCs w:val="24"/>
        </w:rPr>
        <w:t>remanescentes</w:t>
      </w:r>
    </w:p>
    <w:p w14:paraId="71A34CD9" w14:textId="77777777" w:rsidR="00A53571"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50DC3E77"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total do preço da transação alocado às obrigações de performance que não se encontram satisfeitas (ou parcialmente satisfeitas) ao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w:t>
      </w:r>
    </w:p>
    <w:p w14:paraId="3FB96420"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explicação de quando a entidade espera reconhecer como receita o valor divulgado de acordo com o item (a), o qual a entidade deve divulgar:</w:t>
      </w:r>
    </w:p>
    <w:p w14:paraId="48F26416" w14:textId="77777777" w:rsidR="00A53571"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em uma base quantitativa utilizando as faixas de tempo que seriam as mais apropriadas para a duração das obrigações de performance restantes; ou</w:t>
      </w:r>
    </w:p>
    <w:p w14:paraId="57139FAA" w14:textId="77777777" w:rsidR="00A53571"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utilizando informações qualitativas.</w:t>
      </w:r>
    </w:p>
    <w:p w14:paraId="7831241D" w14:textId="04D20A72" w:rsidR="00A53571"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Como expediente prático, a entidade não precisa divulgar as informações do item 108 para uma obrigação de performance se for atendida uma das condições a seguir:</w:t>
      </w:r>
    </w:p>
    <w:p w14:paraId="77A112F0" w14:textId="77777777" w:rsidR="00A53571"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obrigação de performance for parte de contrato que possui a duração original prevista de um ano ou menos; ou</w:t>
      </w:r>
    </w:p>
    <w:p w14:paraId="29E9145D" w14:textId="06BF77CC"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reconhecer receitas provenientes da satisfação da obrigação de performance de acordo com o item B16 do </w:t>
      </w:r>
      <w:r w:rsidR="001D7473"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47</w:t>
      </w:r>
      <w:r w:rsidR="001D7473" w:rsidRPr="007775ED">
        <w:rPr>
          <w:rFonts w:ascii="Times New Roman" w:hAnsi="Times New Roman" w:cs="Times New Roman"/>
          <w:b w:val="0"/>
          <w:bCs/>
          <w:sz w:val="24"/>
          <w:szCs w:val="24"/>
        </w:rPr>
        <w:t xml:space="preserve"> – Receita de Contrato com Cliente</w:t>
      </w:r>
      <w:r w:rsidRPr="007775ED">
        <w:rPr>
          <w:rFonts w:ascii="Times New Roman" w:hAnsi="Times New Roman" w:cs="Times New Roman"/>
          <w:b w:val="0"/>
          <w:bCs/>
          <w:sz w:val="24"/>
          <w:szCs w:val="24"/>
        </w:rPr>
        <w:t>.</w:t>
      </w:r>
    </w:p>
    <w:p w14:paraId="6DBEF78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Julgamentos significativos na aplicação do CPC 47</w:t>
      </w:r>
    </w:p>
    <w:p w14:paraId="522A5171" w14:textId="633A8C89" w:rsidR="00953DE8" w:rsidRPr="007775ED" w:rsidRDefault="00A53571"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deve divulgar os julgamentos, e as mudanças nos julgamentos, feitos ao aplicar o CPC 47 que afetem significativamente a determinação do valor e época de receitas provenientes de contratos com clientes.</w:t>
      </w:r>
    </w:p>
    <w:p w14:paraId="3C832D0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Determinação da época de satisfação de obrigações de performance</w:t>
      </w:r>
    </w:p>
    <w:p w14:paraId="0F640CC4" w14:textId="7D49448A" w:rsidR="00953DE8" w:rsidRPr="007775ED" w:rsidRDefault="00A53571"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w:t>
      </w:r>
      <w:r w:rsidR="00953DE8" w:rsidRPr="007775ED">
        <w:rPr>
          <w:rFonts w:ascii="Times New Roman" w:hAnsi="Times New Roman" w:cs="Times New Roman"/>
          <w:b w:val="0"/>
          <w:bCs/>
          <w:sz w:val="24"/>
          <w:szCs w:val="24"/>
        </w:rPr>
        <w:t>ara obrigações de performance que uma entidade satisfaça ao longo do tempo, a entidade deve divulgar os métodos utilizados para reconhecer receitas (por exemplo, descrição dos métodos de produto ou métodos de insumo utilizados e como esses métodos são aplicados).</w:t>
      </w:r>
    </w:p>
    <w:p w14:paraId="0C4A61C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Determinação do preço da transação e dos valores alocados a obrigações de performance</w:t>
      </w:r>
    </w:p>
    <w:p w14:paraId="1C967121" w14:textId="20D34E6F" w:rsidR="00953DE8" w:rsidRPr="007775ED" w:rsidRDefault="00A53571"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deve divulgar informações sobre métodos, informações e premissas utilizados para avaliar se a estimativa de contraprestação variável é restrita.</w:t>
      </w:r>
    </w:p>
    <w:p w14:paraId="527EC44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Ativos reconhecidos a partir dos custos para obter ou cumprir um contrato com cliente</w:t>
      </w:r>
    </w:p>
    <w:p w14:paraId="6C048416" w14:textId="77777777" w:rsidR="00714F47" w:rsidRPr="007775ED" w:rsidRDefault="00A53571"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deve divulgar:</w:t>
      </w:r>
    </w:p>
    <w:p w14:paraId="4B3A6FBB"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saldos finais de ativos reconhecidos a partir dos custos incorridos para obter ou cumprir contrato com cliente (de acordo com o item 91 ou 95 do CPC 47), por categoria principal de ativo (por exemplo, custos para obter contratos com clientes, custos pré-contrato e custos de formação); e</w:t>
      </w:r>
    </w:p>
    <w:p w14:paraId="2B1B402F" w14:textId="331F1A23"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de amortização e de quaisquer perdas por recuperação ao valor recuperável reconhecidas no período do relatório.</w:t>
      </w:r>
    </w:p>
    <w:p w14:paraId="4F7A1CA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Expedientes práticos</w:t>
      </w:r>
    </w:p>
    <w:p w14:paraId="1AAAC4E8" w14:textId="5AC93941" w:rsidR="00953DE8" w:rsidRPr="007775ED" w:rsidRDefault="00714F47"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w:t>
      </w:r>
      <w:r w:rsidR="00953DE8" w:rsidRPr="007775ED">
        <w:rPr>
          <w:rFonts w:ascii="Times New Roman" w:hAnsi="Times New Roman" w:cs="Times New Roman"/>
          <w:b w:val="0"/>
          <w:bCs/>
          <w:sz w:val="24"/>
          <w:szCs w:val="24"/>
        </w:rPr>
        <w:t xml:space="preserve"> entidade escolher utilizar o expediente prático do item 63 do CPC 47 (sobre a existência de um componente de financiamento significativo) ou do item 94 do CPC 47 (sobre custos incrementais de obtenção de contrato), a entidade deve divulgar esse fato.</w:t>
      </w:r>
    </w:p>
    <w:p w14:paraId="2450CAA1" w14:textId="3041482F"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06 – Arrendamentos</w:t>
      </w:r>
    </w:p>
    <w:p w14:paraId="4A7A4DDE"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Arrendatários</w:t>
      </w:r>
    </w:p>
    <w:p w14:paraId="617B7674" w14:textId="77777777" w:rsidR="00714F47"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arrendatário deve divulgar os seguintes valores para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660DEF58"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encargos de depreciação para ativos de direito de uso por classe de ativo subjacente;</w:t>
      </w:r>
    </w:p>
    <w:p w14:paraId="099E680A"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despesas de juros sobre passivos de arrendamento.</w:t>
      </w:r>
    </w:p>
    <w:p w14:paraId="2DCB9441" w14:textId="5D536166"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despesa referente a arrendamentos de curto prazo contabilizada aplicando o item 6 do </w:t>
      </w:r>
      <w:r w:rsidR="004F413D"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 xml:space="preserve">CPC 06 </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Arrendamentos. Essa despesa não precisa incluir a despesa referente a arrendamentos com prazo do arrendamento de um mês ou menos.</w:t>
      </w:r>
    </w:p>
    <w:p w14:paraId="35C4E729" w14:textId="62CC5C98"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 referente a arrendamentos de ativos de baixo valor contabilizada aplicando o item 6 do CPC 06. Essa despesa não deve incluir a despesa referente a arrendamentos de curto prazo de ativos de baixo valor incluída no item (c).</w:t>
      </w:r>
    </w:p>
    <w:p w14:paraId="188FCED5"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 referente a pagamentos variáveis de arrendamento não incluída na mensuração de passivos de arrendamento.</w:t>
      </w:r>
    </w:p>
    <w:p w14:paraId="43973F89"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saídas de caixa totais para arrendamentos.</w:t>
      </w:r>
    </w:p>
    <w:p w14:paraId="4832BAF0"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adições a ativos de direito de uso.</w:t>
      </w:r>
    </w:p>
    <w:p w14:paraId="5A63F71A"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ganhos ou perdas resultantes de transações de venda e </w:t>
      </w:r>
      <w:proofErr w:type="spellStart"/>
      <w:r w:rsidRPr="007775ED">
        <w:rPr>
          <w:rFonts w:ascii="Times New Roman" w:hAnsi="Times New Roman" w:cs="Times New Roman"/>
          <w:b w:val="0"/>
          <w:bCs/>
          <w:sz w:val="24"/>
          <w:szCs w:val="24"/>
        </w:rPr>
        <w:t>retroarrendamento</w:t>
      </w:r>
      <w:proofErr w:type="spellEnd"/>
      <w:r w:rsidRPr="007775ED">
        <w:rPr>
          <w:rFonts w:ascii="Times New Roman" w:hAnsi="Times New Roman" w:cs="Times New Roman"/>
          <w:b w:val="0"/>
          <w:bCs/>
          <w:sz w:val="24"/>
          <w:szCs w:val="24"/>
        </w:rPr>
        <w:t xml:space="preserve"> (</w:t>
      </w:r>
      <w:proofErr w:type="spellStart"/>
      <w:r w:rsidRPr="007775ED">
        <w:rPr>
          <w:rFonts w:ascii="Times New Roman" w:hAnsi="Times New Roman" w:cs="Times New Roman"/>
          <w:b w:val="0"/>
          <w:bCs/>
          <w:i/>
          <w:iCs/>
          <w:sz w:val="24"/>
          <w:szCs w:val="24"/>
        </w:rPr>
        <w:t>leaseback</w:t>
      </w:r>
      <w:proofErr w:type="spellEnd"/>
      <w:r w:rsidRPr="007775ED">
        <w:rPr>
          <w:rFonts w:ascii="Times New Roman" w:hAnsi="Times New Roman" w:cs="Times New Roman"/>
          <w:b w:val="0"/>
          <w:bCs/>
          <w:sz w:val="24"/>
          <w:szCs w:val="24"/>
        </w:rPr>
        <w:t>).</w:t>
      </w:r>
    </w:p>
    <w:p w14:paraId="4C51AE2E"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de ativos de direito de uso ao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por classe de ativo subjacente.</w:t>
      </w:r>
    </w:p>
    <w:p w14:paraId="2098B6C2" w14:textId="55092B8D" w:rsidR="00714F47"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arrendatário deve divulgar o valor de seus compromissos de arrendamento para arrendamentos de curto prazo contabilizados aplicando o item 6 do CPC 06 se a carteira de arrendamentos de curto prazo com a qual está comprometido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for diferente da carteira de arrendamentos de curto prazo ao qual se refere a despesa de arrendamentos de curto prazo divulgada aplicando o item 115(c)</w:t>
      </w:r>
      <w:r w:rsidR="00714F47" w:rsidRPr="007775ED">
        <w:rPr>
          <w:rFonts w:ascii="Times New Roman" w:hAnsi="Times New Roman" w:cs="Times New Roman"/>
          <w:b w:val="0"/>
          <w:bCs/>
          <w:sz w:val="24"/>
          <w:szCs w:val="24"/>
        </w:rPr>
        <w:t>.</w:t>
      </w:r>
    </w:p>
    <w:p w14:paraId="77A33300" w14:textId="4763495F" w:rsidR="00714F47" w:rsidRPr="007775ED" w:rsidRDefault="00714F47"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 xml:space="preserve">Se os ativos de direito de uso atenderem à definição de propriedade para investimento, o arrendatário deve aplicar os requisitos de divulgação do </w:t>
      </w:r>
      <w:r w:rsidR="004F413D" w:rsidRPr="007775ED">
        <w:rPr>
          <w:rFonts w:ascii="Times New Roman" w:hAnsi="Times New Roman" w:cs="Times New Roman"/>
          <w:b w:val="0"/>
          <w:bCs/>
          <w:sz w:val="24"/>
          <w:szCs w:val="24"/>
        </w:rPr>
        <w:t xml:space="preserve">Pronunciamento Técnico </w:t>
      </w:r>
      <w:r w:rsidR="00953DE8" w:rsidRPr="007775ED">
        <w:rPr>
          <w:rFonts w:ascii="Times New Roman" w:hAnsi="Times New Roman" w:cs="Times New Roman"/>
          <w:b w:val="0"/>
          <w:bCs/>
          <w:sz w:val="24"/>
          <w:szCs w:val="24"/>
        </w:rPr>
        <w:t xml:space="preserve">CPC 28 </w:t>
      </w:r>
      <w:r w:rsidR="004F413D"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Propriedade</w:t>
      </w:r>
      <w:r w:rsidR="004F413D"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para Investimento. Nesse caso, o arrendatário não precisa fornecer as divulgações especificadas no item 115(a), 115(g) ou 115(i) para esses ativos de direito de uso.</w:t>
      </w:r>
    </w:p>
    <w:p w14:paraId="619AA36F" w14:textId="48C67119" w:rsidR="00714F47" w:rsidRPr="007775ED" w:rsidRDefault="00A16927"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w:t>
      </w:r>
      <w:r w:rsidR="00953DE8" w:rsidRPr="007775ED">
        <w:rPr>
          <w:rFonts w:ascii="Times New Roman" w:hAnsi="Times New Roman" w:cs="Times New Roman"/>
          <w:b w:val="0"/>
          <w:bCs/>
          <w:sz w:val="24"/>
          <w:szCs w:val="24"/>
        </w:rPr>
        <w:t xml:space="preserve">e o arrendatário mensurar ativos de direito de uso a valores reavaliados aplicando o </w:t>
      </w:r>
      <w:r w:rsidR="004F413D" w:rsidRPr="007775ED">
        <w:rPr>
          <w:rFonts w:ascii="Times New Roman" w:hAnsi="Times New Roman" w:cs="Times New Roman"/>
          <w:b w:val="0"/>
          <w:bCs/>
          <w:sz w:val="24"/>
          <w:szCs w:val="24"/>
        </w:rPr>
        <w:t xml:space="preserve">Pronunciamento Técnico </w:t>
      </w:r>
      <w:r w:rsidR="00953DE8" w:rsidRPr="007775ED">
        <w:rPr>
          <w:rFonts w:ascii="Times New Roman" w:hAnsi="Times New Roman" w:cs="Times New Roman"/>
          <w:b w:val="0"/>
          <w:bCs/>
          <w:sz w:val="24"/>
          <w:szCs w:val="24"/>
        </w:rPr>
        <w:t>CPC 27</w:t>
      </w:r>
      <w:r w:rsidR="004F413D" w:rsidRPr="007775ED">
        <w:rPr>
          <w:rFonts w:ascii="Times New Roman" w:hAnsi="Times New Roman" w:cs="Times New Roman"/>
          <w:b w:val="0"/>
          <w:bCs/>
          <w:sz w:val="24"/>
          <w:szCs w:val="24"/>
        </w:rPr>
        <w:t xml:space="preserve"> – Ativo Imobilizado</w:t>
      </w:r>
      <w:r w:rsidR="00953DE8" w:rsidRPr="007775ED">
        <w:rPr>
          <w:rFonts w:ascii="Times New Roman" w:hAnsi="Times New Roman" w:cs="Times New Roman"/>
          <w:b w:val="0"/>
          <w:bCs/>
          <w:sz w:val="24"/>
          <w:szCs w:val="24"/>
        </w:rPr>
        <w:t xml:space="preserve">, se permitido por </w:t>
      </w:r>
      <w:r w:rsidR="005A09B2" w:rsidRPr="007775ED">
        <w:rPr>
          <w:rFonts w:ascii="Times New Roman" w:hAnsi="Times New Roman" w:cs="Times New Roman"/>
          <w:b w:val="0"/>
          <w:bCs/>
          <w:sz w:val="24"/>
          <w:szCs w:val="24"/>
        </w:rPr>
        <w:t>L</w:t>
      </w:r>
      <w:r w:rsidR="00953DE8" w:rsidRPr="007775ED">
        <w:rPr>
          <w:rFonts w:ascii="Times New Roman" w:hAnsi="Times New Roman" w:cs="Times New Roman"/>
          <w:b w:val="0"/>
          <w:bCs/>
          <w:sz w:val="24"/>
          <w:szCs w:val="24"/>
        </w:rPr>
        <w:t>ei, o arrendatário deve divulgar as informações exigidas pelo item 202 para esses ativos de direito de uso.</w:t>
      </w:r>
    </w:p>
    <w:p w14:paraId="0EED35D4" w14:textId="7E1BF6A9" w:rsidR="005A09B2" w:rsidRPr="007775ED" w:rsidRDefault="005A09B2" w:rsidP="007775ED">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118A</w:t>
      </w:r>
      <w:r w:rsidR="00965DAB">
        <w:rPr>
          <w:rFonts w:ascii="Times New Roman" w:hAnsi="Times New Roman" w:cs="Times New Roman"/>
          <w:b w:val="0"/>
          <w:bCs/>
          <w:sz w:val="24"/>
          <w:szCs w:val="24"/>
        </w:rPr>
        <w:t>.</w:t>
      </w:r>
      <w:r w:rsidRPr="007775ED">
        <w:rPr>
          <w:rFonts w:ascii="Times New Roman" w:hAnsi="Times New Roman" w:cs="Times New Roman"/>
          <w:b w:val="0"/>
          <w:bCs/>
          <w:sz w:val="24"/>
          <w:szCs w:val="24"/>
        </w:rPr>
        <w:tab/>
        <w:t>A reavaliação de bens tangíveis e intangíveis não é permitida devido às disposições contidas na Lei n.º 11.638/2007, que alterou a Lei n.º 6.404/1976.</w:t>
      </w:r>
    </w:p>
    <w:p w14:paraId="7CB63CB0" w14:textId="77777777" w:rsidR="00714F47"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 arrendatário deve divulgar uma análise de vencimento de passivos de arrendamento aplicando o item 72 separadamente das análises de vencimento de outros passivos financeiros.</w:t>
      </w:r>
    </w:p>
    <w:p w14:paraId="07C2193F" w14:textId="77777777" w:rsidR="00714F47"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arrendatário deve divulgar informações qualitativas ou quantitativas sobre:</w:t>
      </w:r>
    </w:p>
    <w:p w14:paraId="6682E16E"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das atividades de arrendamento do arrendatário;</w:t>
      </w:r>
    </w:p>
    <w:p w14:paraId="7CED36A2"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fluxos de saída de caixa futuros aos quais o arrendatário está potencialmente exposto que não estão refletidos na mensuração de passivos de arrendamento, incluindo exposição decorrente de:</w:t>
      </w:r>
    </w:p>
    <w:p w14:paraId="0AB8ED9C" w14:textId="77777777" w:rsidR="00714F47"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pagamentos variáveis de arrendamento; </w:t>
      </w:r>
    </w:p>
    <w:p w14:paraId="5D6B48E0" w14:textId="77777777" w:rsidR="00714F47"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opções de prorrogação e opções de rescisão;</w:t>
      </w:r>
    </w:p>
    <w:p w14:paraId="77A96EA7" w14:textId="77777777" w:rsidR="00714F47"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garantias de valor residual; e</w:t>
      </w:r>
    </w:p>
    <w:p w14:paraId="6DEEB2F1" w14:textId="77777777" w:rsidR="00714F47" w:rsidRPr="007775ED" w:rsidRDefault="00714F47"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arrendamentos ainda não iniciados com os quais o arrendatário está comprometido;</w:t>
      </w:r>
    </w:p>
    <w:p w14:paraId="30150021" w14:textId="77777777" w:rsidR="00714F47" w:rsidRPr="007775ED" w:rsidRDefault="00953DE8" w:rsidP="00684511">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restrições ou acordos impostos por arrendamentos; e</w:t>
      </w:r>
    </w:p>
    <w:p w14:paraId="369065C6" w14:textId="30B2B833" w:rsidR="00953DE8" w:rsidRPr="007775ED" w:rsidRDefault="00953DE8" w:rsidP="00684511">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transações de venda e </w:t>
      </w:r>
      <w:proofErr w:type="spellStart"/>
      <w:r w:rsidRPr="007775ED">
        <w:rPr>
          <w:rFonts w:ascii="Times New Roman" w:hAnsi="Times New Roman" w:cs="Times New Roman"/>
          <w:b w:val="0"/>
          <w:bCs/>
          <w:sz w:val="24"/>
          <w:szCs w:val="24"/>
        </w:rPr>
        <w:t>retroarrendamento</w:t>
      </w:r>
      <w:proofErr w:type="spellEnd"/>
      <w:r w:rsidRPr="007775ED">
        <w:rPr>
          <w:rFonts w:ascii="Times New Roman" w:hAnsi="Times New Roman" w:cs="Times New Roman"/>
          <w:b w:val="0"/>
          <w:bCs/>
          <w:sz w:val="24"/>
          <w:szCs w:val="24"/>
        </w:rPr>
        <w:t>.</w:t>
      </w:r>
    </w:p>
    <w:p w14:paraId="5C9D39E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Arrendadores</w:t>
      </w:r>
    </w:p>
    <w:p w14:paraId="615737D8" w14:textId="77777777" w:rsidR="00714F47" w:rsidRPr="007775ED" w:rsidRDefault="00714F47"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 arrendador deve divulgar informações qualitativas ou quantitativas sobre:</w:t>
      </w:r>
    </w:p>
    <w:p w14:paraId="07A246D6"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das atividades de arrendamento do arrendador.</w:t>
      </w:r>
    </w:p>
    <w:p w14:paraId="62ED5DF6" w14:textId="120C944F"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como o arrendador gerencia o risco associado a quaisquer direitos que possui em ativos subjacentes. Particularmente, o arrendador deve divulgar sua estratégia de gerenciamento de risco para os direitos que possui em ativos subjacentes, incluindo quaisquer meios pelos quais o arrendador reduz esse risco. Esses meios podem incluir, por exemplo, acordos de recompra, garantias de valor residual ou recebimentos variáveis de arrendamento para uso além dos limites especificados.</w:t>
      </w:r>
    </w:p>
    <w:p w14:paraId="473A9E2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Arrendamento financeiro</w:t>
      </w:r>
    </w:p>
    <w:p w14:paraId="36B9F5E1" w14:textId="77777777" w:rsidR="00714F47"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arrendador deve divulgar:</w:t>
      </w:r>
    </w:p>
    <w:p w14:paraId="717946C6" w14:textId="77777777" w:rsidR="00714F47"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análise de vencimento dos valores do arrendamento a receber, mostrando os valores do arrendamento não descontados a serem recebidos:</w:t>
      </w:r>
    </w:p>
    <w:p w14:paraId="489B2F3E" w14:textId="57964618" w:rsidR="00714F47"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até um ano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w:t>
      </w:r>
    </w:p>
    <w:p w14:paraId="580933DD" w14:textId="4CFF3538" w:rsidR="00714F47"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entre um e cinco anos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 e</w:t>
      </w:r>
    </w:p>
    <w:p w14:paraId="755EE5EE" w14:textId="36F7AA4B"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após cinco anos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 e</w:t>
      </w:r>
    </w:p>
    <w:p w14:paraId="154F1D41"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conciliação entre os recebimentos do arrendamento não descontados ao investimento líquido no arrendamento. A conciliação deve identificar a receita financeira não auferida referente aos valores do arrendamento a receber e qualquer valor residual não garantido descontado.</w:t>
      </w:r>
    </w:p>
    <w:p w14:paraId="1F4B3E12" w14:textId="79ED07BF"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arrendador deve divulgar a receita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referente a recebimentos variáveis de arrendamento não incluída na mensuração do investimento líquido no arrendamento;</w:t>
      </w:r>
    </w:p>
    <w:p w14:paraId="24990CC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Arrendamento operacional</w:t>
      </w:r>
    </w:p>
    <w:p w14:paraId="1476250D"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arrendador deve divulgar a análise de vencimento de recebimentos do arrendamento, mostrando os valores do arrendamento não descontados a serem recebidos:</w:t>
      </w:r>
    </w:p>
    <w:p w14:paraId="5F16DFBE" w14:textId="190C8CFB"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até um ano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w:t>
      </w:r>
    </w:p>
    <w:p w14:paraId="73A1D9FF" w14:textId="062013E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entre um e cinco anos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 e</w:t>
      </w:r>
    </w:p>
    <w:p w14:paraId="0F345788" w14:textId="25073789"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após cinco anos a partir da data do </w:t>
      </w:r>
      <w:r w:rsidR="005419DC" w:rsidRPr="007775ED">
        <w:rPr>
          <w:rFonts w:ascii="Times New Roman" w:hAnsi="Times New Roman" w:cs="Times New Roman"/>
          <w:b w:val="0"/>
          <w:bCs/>
          <w:sz w:val="24"/>
          <w:szCs w:val="24"/>
        </w:rPr>
        <w:t>balanço</w:t>
      </w:r>
      <w:r w:rsidRPr="007775ED">
        <w:rPr>
          <w:rFonts w:ascii="Times New Roman" w:hAnsi="Times New Roman" w:cs="Times New Roman"/>
          <w:b w:val="0"/>
          <w:bCs/>
          <w:sz w:val="24"/>
          <w:szCs w:val="24"/>
        </w:rPr>
        <w:t>.</w:t>
      </w:r>
    </w:p>
    <w:p w14:paraId="70116A90"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arrendador deve divulgar a receita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referente a recebimentos variáveis de arrendamento que não dependem de um índice ou uma taxa.</w:t>
      </w:r>
    </w:p>
    <w:p w14:paraId="67055822" w14:textId="06A7D7E0"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arrendador deve aplicar os requisitos de divulgação dos itens 200 a 202, 250 a 256 e 263 a 275 para ativos sujeitos a arrendamentos operacionais.</w:t>
      </w:r>
    </w:p>
    <w:p w14:paraId="5312F521" w14:textId="333CFBF8"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do CPC 06 que continuam aplicáveis</w:t>
      </w:r>
    </w:p>
    <w:p w14:paraId="1952D898" w14:textId="62B84BE9" w:rsidR="00953DE8" w:rsidRPr="007775ED" w:rsidRDefault="006E6079"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w:t>
      </w:r>
      <w:r w:rsidR="00953DE8" w:rsidRPr="007775ED">
        <w:rPr>
          <w:rFonts w:ascii="Times New Roman" w:hAnsi="Times New Roman" w:cs="Times New Roman"/>
          <w:b w:val="0"/>
          <w:bCs/>
          <w:sz w:val="24"/>
          <w:szCs w:val="24"/>
        </w:rPr>
        <w:t xml:space="preserve"> arrendatário deve aplicar os requisitos de divulgação do item 47 do CPC 06.</w:t>
      </w:r>
    </w:p>
    <w:p w14:paraId="1A4BFE63" w14:textId="1612FA4F" w:rsidR="00953DE8" w:rsidRPr="007775ED" w:rsidRDefault="006E6079"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51</w:t>
      </w:r>
      <w:r w:rsidR="00953DE8" w:rsidRPr="007775ED">
        <w:rPr>
          <w:rFonts w:ascii="Times New Roman" w:hAnsi="Times New Roman" w:cs="Times New Roman"/>
          <w:sz w:val="24"/>
          <w:szCs w:val="24"/>
        </w:rPr>
        <w:t xml:space="preserve"> – Apresentação e Divulgação </w:t>
      </w:r>
      <w:r w:rsidRPr="007775ED">
        <w:rPr>
          <w:rFonts w:ascii="Times New Roman" w:hAnsi="Times New Roman" w:cs="Times New Roman"/>
          <w:sz w:val="24"/>
          <w:szCs w:val="24"/>
        </w:rPr>
        <w:t xml:space="preserve">nas </w:t>
      </w:r>
      <w:r w:rsidR="00953DE8" w:rsidRPr="007775ED">
        <w:rPr>
          <w:rFonts w:ascii="Times New Roman" w:hAnsi="Times New Roman" w:cs="Times New Roman"/>
          <w:sz w:val="24"/>
          <w:szCs w:val="24"/>
        </w:rPr>
        <w:t>Demonstrações Contábeis</w:t>
      </w:r>
    </w:p>
    <w:p w14:paraId="706AD429"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Identificação das demonstrações contábeis</w:t>
      </w:r>
    </w:p>
    <w:p w14:paraId="71CB162D"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identificar claramente cada demonstração contábil primária e as notas explicativas. Além disso, a entidade deve divulgar de forma destacada e repetidas quando necessário para a devida compreensão da informação apresentada:</w:t>
      </w:r>
    </w:p>
    <w:p w14:paraId="553AD436"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nome da entidade às quais as demonstrações contábeis dizem respeito ou outro meio que permita sua identificação, bem como qualquer alteração que possa ter ocorrido nessa identificação desde o término do período anterior;</w:t>
      </w:r>
    </w:p>
    <w:p w14:paraId="2DE2C0FD"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as demonstrações contábeis se referem a uma entidade individual ou a um grupo de entidades;</w:t>
      </w:r>
    </w:p>
    <w:p w14:paraId="62F4676C"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data do fim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ou do período abrangido pelas demonstrações contábeis;</w:t>
      </w:r>
    </w:p>
    <w:p w14:paraId="6206FD7B"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moeda de apresentação, tal como definido no Pronunciamento Técnico CPC 02 – Efeitos das Mudanças nas Taxas de Câmbio e Conversão de Demonstrações Contábeis; e</w:t>
      </w:r>
    </w:p>
    <w:p w14:paraId="113E3B62" w14:textId="0FF81BE6"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 nível de arredondamento usado na apresentação dos valores nas demonstrações contábeis (ver item B11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w:t>
      </w:r>
    </w:p>
    <w:p w14:paraId="1B78E1B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Mudança na política contábil, demonstração retrospectiva ou reclassificação</w:t>
      </w:r>
    </w:p>
    <w:p w14:paraId="0652C625"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apresentação, divulgação ou classificação de itens nas demonstrações contábeis forem modificadas, os montantes apresentados para fins comparativos devem ser reclassificados, a menos que a reclassificação seja impraticável. Quando os montantes apresentados para fins comparativos são reclassificados, a entidade deve divulgar:</w:t>
      </w:r>
    </w:p>
    <w:p w14:paraId="07061D5F"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 reclassificação;</w:t>
      </w:r>
    </w:p>
    <w:p w14:paraId="473DACA4"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de cada item ou classe de itens que foi reclassificado; e</w:t>
      </w:r>
    </w:p>
    <w:p w14:paraId="0E9F2074"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razão para a reclassificação.</w:t>
      </w:r>
    </w:p>
    <w:p w14:paraId="3DB2FCEE"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for impraticável reclassificar montantes apresentados para fins comparativos, a entidade deve divulgar:</w:t>
      </w:r>
    </w:p>
    <w:p w14:paraId="3F5C1C2E"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razão para não reclassificar os montantes; e</w:t>
      </w:r>
    </w:p>
    <w:p w14:paraId="4B4D392A"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dos ajustes que teriam sido feitos se os montantes tivessem sido reclassificados.</w:t>
      </w:r>
    </w:p>
    <w:p w14:paraId="7F191E7D" w14:textId="54CADF0A"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w:t>
      </w:r>
      <w:r w:rsidR="006E6079"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é obrigada a apresentar um terceiro balanço patrimonial aplicando o item 37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ela divulgará as informações exigidas pelos itens 129 e 130, 178 a 181 e 186. Contudo, não precisa fornecer as respectivas notas explicativas ao balanço patrimonial no início do período anterior.</w:t>
      </w:r>
    </w:p>
    <w:p w14:paraId="01B38B9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Demonstração do resultado </w:t>
      </w:r>
    </w:p>
    <w:p w14:paraId="5FFEBBCD" w14:textId="16DC9AAF"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Entidades com principais atividades de negócios </w:t>
      </w:r>
      <w:r w:rsidR="007369D9" w:rsidRPr="007775ED">
        <w:rPr>
          <w:rFonts w:ascii="Times New Roman" w:hAnsi="Times New Roman" w:cs="Times New Roman"/>
          <w:b w:val="0"/>
          <w:bCs/>
          <w:i/>
          <w:iCs/>
          <w:sz w:val="24"/>
          <w:szCs w:val="24"/>
        </w:rPr>
        <w:t>principais especificadas</w:t>
      </w:r>
    </w:p>
    <w:p w14:paraId="36C7E3A6" w14:textId="1451AB98"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w:t>
      </w:r>
    </w:p>
    <w:p w14:paraId="2F305093"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investe em ativos como atividade de negócios principal, ela deve divulgar esse fato.</w:t>
      </w:r>
    </w:p>
    <w:p w14:paraId="6410B592"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concede financiamento a clientes como atividade de negócios principal, ela deve divulgar esse fato.</w:t>
      </w:r>
    </w:p>
    <w:p w14:paraId="0F88181D" w14:textId="4CED0ED1"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identifica um resultado diferente da sua avaliação sobre se investe em ativos ou concede financiamento a clientes como atividade de negócios principal (ver item B41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ela deve divulgar:</w:t>
      </w:r>
    </w:p>
    <w:p w14:paraId="51C9A182"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fato de que o resultado da avaliação foi alterado e a data da alteração.</w:t>
      </w:r>
    </w:p>
    <w:p w14:paraId="1A025155" w14:textId="53D78FD6" w:rsidR="00953DE8"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e classificação de itens de receitas e despesas antes e depois da data da alteração no resultado da avaliação no período corrente e o valor e classificação no período anterior dos itens em relação aos quais a classificação foi alterada devido à alteração do resultado da avaliação, a menos que seja impraticável fazê-lo. Se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não divulgar as informações porque é impraticável fazê-lo, a entidade divulgará esse fato.</w:t>
      </w:r>
    </w:p>
    <w:p w14:paraId="65F6E0C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Apresentação e divulgação de despesas classificadas na categoria operacional</w:t>
      </w:r>
    </w:p>
    <w:p w14:paraId="0D7D5475" w14:textId="77777777"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que apresenta uma ou mais rubricas compreendendo despesas classificadas por função na categoria operacional da demonstração do resultado também deve divulgar em uma única nota explicativa:</w:t>
      </w:r>
    </w:p>
    <w:p w14:paraId="086D5A39"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o</w:t>
      </w:r>
      <w:proofErr w:type="spellEnd"/>
      <w:r w:rsidRPr="007775ED">
        <w:rPr>
          <w:rFonts w:ascii="Times New Roman" w:hAnsi="Times New Roman" w:cs="Times New Roman"/>
          <w:b w:val="0"/>
          <w:bCs/>
          <w:sz w:val="24"/>
          <w:szCs w:val="24"/>
        </w:rPr>
        <w:t xml:space="preserve"> total de cada um dos seguintes itens:</w:t>
      </w:r>
    </w:p>
    <w:p w14:paraId="2B9161C7"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depreciação, incluindo os montantes que devem ser divulgados pelos itens 115(a), 200(e)(</w:t>
      </w:r>
      <w:proofErr w:type="spellStart"/>
      <w:r w:rsidRPr="007775ED">
        <w:rPr>
          <w:rFonts w:ascii="Times New Roman" w:hAnsi="Times New Roman" w:cs="Times New Roman"/>
          <w:b w:val="0"/>
          <w:bCs/>
          <w:sz w:val="24"/>
          <w:szCs w:val="24"/>
        </w:rPr>
        <w:t>vii</w:t>
      </w:r>
      <w:proofErr w:type="spellEnd"/>
      <w:r w:rsidRPr="007775ED">
        <w:rPr>
          <w:rFonts w:ascii="Times New Roman" w:hAnsi="Times New Roman" w:cs="Times New Roman"/>
          <w:b w:val="0"/>
          <w:bCs/>
          <w:sz w:val="24"/>
          <w:szCs w:val="24"/>
        </w:rPr>
        <w:t>) e 271(d)(</w:t>
      </w:r>
      <w:proofErr w:type="spellStart"/>
      <w:r w:rsidRPr="007775ED">
        <w:rPr>
          <w:rFonts w:ascii="Times New Roman" w:hAnsi="Times New Roman" w:cs="Times New Roman"/>
          <w:b w:val="0"/>
          <w:bCs/>
          <w:sz w:val="24"/>
          <w:szCs w:val="24"/>
        </w:rPr>
        <w:t>iv</w:t>
      </w:r>
      <w:proofErr w:type="spellEnd"/>
      <w:r w:rsidRPr="007775ED">
        <w:rPr>
          <w:rFonts w:ascii="Times New Roman" w:hAnsi="Times New Roman" w:cs="Times New Roman"/>
          <w:b w:val="0"/>
          <w:bCs/>
          <w:sz w:val="24"/>
          <w:szCs w:val="24"/>
        </w:rPr>
        <w:t>);</w:t>
      </w:r>
    </w:p>
    <w:p w14:paraId="2D3935C5"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amortização, incluindo o montante que deve ser divulgado pelo item 263(e)(vi);</w:t>
      </w:r>
    </w:p>
    <w:p w14:paraId="66239276" w14:textId="5F7E0EF2"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benefícios aos empregados, incluindo o montante de benefícios a empregados reconhecido por entidade que aplica o </w:t>
      </w:r>
      <w:r w:rsidR="00D47B7E"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 xml:space="preserve">CPC 33 – Benefícios a Empregados e o valor por serviços recebidos de empregados reconhecidos por uma entidade que aplica </w:t>
      </w:r>
      <w:r w:rsidR="00437FA2" w:rsidRPr="007775ED">
        <w:rPr>
          <w:rFonts w:ascii="Times New Roman" w:hAnsi="Times New Roman" w:cs="Times New Roman"/>
          <w:b w:val="0"/>
          <w:bCs/>
          <w:sz w:val="24"/>
          <w:szCs w:val="24"/>
        </w:rPr>
        <w:t xml:space="preserve">o </w:t>
      </w:r>
      <w:r w:rsidR="004F413D" w:rsidRPr="007775ED">
        <w:rPr>
          <w:rFonts w:ascii="Times New Roman" w:hAnsi="Times New Roman" w:cs="Times New Roman"/>
          <w:b w:val="0"/>
          <w:bCs/>
          <w:sz w:val="24"/>
          <w:szCs w:val="24"/>
        </w:rPr>
        <w:t xml:space="preserve">Pronunciamento Técnico </w:t>
      </w:r>
      <w:r w:rsidR="00437FA2" w:rsidRPr="007775ED">
        <w:rPr>
          <w:rFonts w:ascii="Times New Roman" w:hAnsi="Times New Roman" w:cs="Times New Roman"/>
          <w:b w:val="0"/>
          <w:bCs/>
          <w:sz w:val="24"/>
          <w:szCs w:val="24"/>
        </w:rPr>
        <w:t>CPC</w:t>
      </w:r>
      <w:r w:rsidRPr="007775ED">
        <w:rPr>
          <w:rFonts w:ascii="Times New Roman" w:hAnsi="Times New Roman" w:cs="Times New Roman"/>
          <w:b w:val="0"/>
          <w:bCs/>
          <w:sz w:val="24"/>
          <w:szCs w:val="24"/>
        </w:rPr>
        <w:t xml:space="preserve"> 10 – Pagamento Baseado em Ações;</w:t>
      </w:r>
    </w:p>
    <w:p w14:paraId="22EBDE94"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perdas por redução ao valor recuperável e reversões de perdas por redução ao valor recuperável, compreendendo os valores que devem ser divulgados pelo item 250(a) e (b); e</w:t>
      </w:r>
    </w:p>
    <w:p w14:paraId="667AD00F"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reduções e reversões de reduções dos estoques, incluindo os valores que devem ser divulgados pelo item 164(d) e (e); e</w:t>
      </w:r>
    </w:p>
    <w:p w14:paraId="429B1561" w14:textId="77777777" w:rsidR="006E6079"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total indicado em (a)(i) a (v):</w:t>
      </w:r>
    </w:p>
    <w:p w14:paraId="29D394BC"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referente a cada rubrica da categoria operacional (ver item 136); e</w:t>
      </w:r>
    </w:p>
    <w:p w14:paraId="7F28D36A" w14:textId="77777777" w:rsidR="006E6079" w:rsidRPr="007775ED" w:rsidRDefault="00953DE8" w:rsidP="007775ED">
      <w:pPr>
        <w:pStyle w:val="IASBSectionTitle1NonInd"/>
        <w:numPr>
          <w:ilvl w:val="2"/>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lista de quaisquer rubricas fora da categoria operacional que também inclua valores relativos ao total.</w:t>
      </w:r>
    </w:p>
    <w:p w14:paraId="20CD37B5" w14:textId="388566DD" w:rsidR="006E6079"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item 41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xml:space="preserve"> exige que a entidade desagregue itens para fornecer informações materiais. Contudo,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que aplique o item 133 está isenta de divulgar:</w:t>
      </w:r>
    </w:p>
    <w:p w14:paraId="6362CAA5" w14:textId="7777777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relação às rubricas de função apresentadas na categoria operacional da demonstração do resultado – informações desagregadas sobre os valores de despesas com base na natureza incluídas em cada rubrica, além dos valores especificados no item 133; e</w:t>
      </w:r>
    </w:p>
    <w:p w14:paraId="7A38830D" w14:textId="12AC311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relação às despesas com base na natureza especificamente exigidas por um</w:t>
      </w:r>
      <w:r w:rsidR="00A52DD6" w:rsidRPr="007775ED">
        <w:rPr>
          <w:rFonts w:ascii="Times New Roman" w:hAnsi="Times New Roman" w:cs="Times New Roman"/>
          <w:b w:val="0"/>
          <w:bCs/>
          <w:sz w:val="24"/>
          <w:szCs w:val="24"/>
        </w:rPr>
        <w:t xml:space="preserve"> Pronunciamento, Interpretação ou Orientação do CPC </w:t>
      </w:r>
      <w:r w:rsidRPr="007775ED">
        <w:rPr>
          <w:rFonts w:ascii="Times New Roman" w:hAnsi="Times New Roman" w:cs="Times New Roman"/>
          <w:b w:val="0"/>
          <w:bCs/>
          <w:sz w:val="24"/>
          <w:szCs w:val="24"/>
        </w:rPr>
        <w:t>a serem divulgadas nas notas explicativas – informações desagregadas sobre os valores das despesas incluídas em cada rubrica de função apresentada na categoria operacional da demonstração do resultado, além dos valores especificados no item 133.</w:t>
      </w:r>
    </w:p>
    <w:p w14:paraId="5FAFA98A" w14:textId="7FF52279"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isenção no item 134 refere-se à desagregação das despesas operacionais. Contudo, não isenta uma entidade de aplicar requisitos de divulgação específicos relativos a essas despesas neste Pronunciamento Técnico.</w:t>
      </w:r>
    </w:p>
    <w:p w14:paraId="71080C4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Uso de características de natureza e função</w:t>
      </w:r>
    </w:p>
    <w:p w14:paraId="641A6031" w14:textId="326730A8" w:rsidR="00793506" w:rsidRPr="007775ED" w:rsidRDefault="00793506"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apresentará despesas por natureza ou, aplicando o item 133, divulgará algumas despesas por natureza. Os valores apresentados ou divulgados não precisam ser os valores reconhecidos como despesa do período. Podem incluir valores que tenham sido reconhecidos como parte do valor contábil de um ativo. Se </w:t>
      </w:r>
      <w:r w:rsidR="00FA283A"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w:t>
      </w:r>
    </w:p>
    <w:p w14:paraId="10BCA3F7" w14:textId="79EFC7CE"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apresenta valores que não são os valores reconhecidos como despesa no período, ela apresentará também uma rubrica adicional para a alteração no valor contábil dos ativos afetados. Por exemplo, aplicando o item 39 do </w:t>
      </w:r>
      <w:r w:rsidR="004F413D"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 xml:space="preserve">CPC 16 – Estoques,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pode apresentar uma rubrica para alterações nos inventários de produtos acabados e produtos em elaboração.</w:t>
      </w:r>
    </w:p>
    <w:p w14:paraId="1C4D5939" w14:textId="2CBE046D"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divulga, aplicando o item 133(b), valores que não são os valores reconhecidos como uma despesa no período, a entidade deve dar uma explicação qualitativa desse fato, identificando os ativos envolvidos.</w:t>
      </w:r>
    </w:p>
    <w:p w14:paraId="5E649D39"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Balanço Patrimonial</w:t>
      </w:r>
    </w:p>
    <w:p w14:paraId="54F0726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Direito de diferir liquidação por pelo menos doze meses</w:t>
      </w:r>
    </w:p>
    <w:p w14:paraId="5950E9CC" w14:textId="7BA4F0D1" w:rsidR="00793506"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Ao aplicar os itens 101 e 102 e B96 a B103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xml:space="preserv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pode classificar passivos decorrentes de acordos de empréstimo como não circulantes quando o direito da entidade de diferir a liquidação desses passivos estiver sujeito ao cumprimento, pela entidade, dos acordos no prazo de 12 meses após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(ver item B100(b)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Nessas situações, a entidade deve divulgar:</w:t>
      </w:r>
    </w:p>
    <w:p w14:paraId="4EED653F" w14:textId="7777777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sobre os acordos (incluindo a natureza dos acordos e quando a entidade é obrigada a cumpri-los) e o valor contábil dos passivos correspondentes.</w:t>
      </w:r>
    </w:p>
    <w:p w14:paraId="05391C85" w14:textId="5A356EED"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fatos e circunstâncias, se existirem, que indiquem que a entidade pode ter dificuldade em cumprir os acordos – por exemplo, a entidade agiu durante ou após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para evitar ou mitigar </w:t>
      </w:r>
      <w:proofErr w:type="gramStart"/>
      <w:r w:rsidRPr="007775ED">
        <w:rPr>
          <w:rFonts w:ascii="Times New Roman" w:hAnsi="Times New Roman" w:cs="Times New Roman"/>
          <w:b w:val="0"/>
          <w:bCs/>
          <w:sz w:val="24"/>
          <w:szCs w:val="24"/>
        </w:rPr>
        <w:t>uma potencial</w:t>
      </w:r>
      <w:proofErr w:type="gramEnd"/>
      <w:r w:rsidRPr="007775ED">
        <w:rPr>
          <w:rFonts w:ascii="Times New Roman" w:hAnsi="Times New Roman" w:cs="Times New Roman"/>
          <w:b w:val="0"/>
          <w:bCs/>
          <w:sz w:val="24"/>
          <w:szCs w:val="24"/>
        </w:rPr>
        <w:t xml:space="preserve"> violação. Esses fatos e circunstâncias podem também incluir o fato de a entidade não ter cumprido os acordos se tivessem que ser avaliados quanto ao cumprimento com base nas circunstâncias da entidade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7B07C10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Demonstração das mutações do patrimônio líquido</w:t>
      </w:r>
    </w:p>
    <w:p w14:paraId="73860C67" w14:textId="4D191925" w:rsidR="00953DE8"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apresentar, na demonstração das mutações do patrimônio líquido ou divulgará nas notas explicativas, o valor dos dividendos reconhecidos como distribuições aos sócios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o correspondente valor de dividendos por ação.</w:t>
      </w:r>
    </w:p>
    <w:p w14:paraId="7896AED8"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Notas Explicativas</w:t>
      </w:r>
    </w:p>
    <w:p w14:paraId="47BE962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Estrutura</w:t>
      </w:r>
    </w:p>
    <w:p w14:paraId="74F7B10F" w14:textId="77777777" w:rsidR="00793506"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nas notas explicativas:</w:t>
      </w:r>
    </w:p>
    <w:p w14:paraId="6D1DD3BE" w14:textId="7777777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acerca da base para a elaboração das demonstrações contábeis (ver itens 20 e 173 a 175) e das políticas contábeis específicas utilizadas (ver itens 176 e 177);</w:t>
      </w:r>
    </w:p>
    <w:p w14:paraId="73049586" w14:textId="7777777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informações requeridas por este Pronunciamento Técnico que não tenha sido apresentada nas demonstrações contábeis primárias; e</w:t>
      </w:r>
    </w:p>
    <w:p w14:paraId="56890C8E" w14:textId="1B83077E"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informações que não estejam apresentadas nas demonstrações contábeis primárias, mas que sejam necessárias para a compreensão de qualquer uma delas (ver item 20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w:t>
      </w:r>
    </w:p>
    <w:p w14:paraId="5BD75141" w14:textId="3656F64D" w:rsidR="00793506"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na medida do praticável, deve apresentar as notas explicativas de forma sistemática (ver item B112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 Ao determinar um modo sistemático, a entidade deve considerar o efeito sobre a compreensibilidade e a comparabilidade de suas demonstrações contábeis. A entidade deve fazer uma referência cruzada de cada item das demonstrações contábeis primárias com quaisquer informações correspondentes nas notas explicativas. Se os valores divulgados nas notas explicativas estiverem incluídos em uma ou mais rubricas nas demonstrações contábeis primárias, a entidade deve divulgar na nota explicativa a(s) rubrica(s) em que os valores estão incluídos.</w:t>
      </w:r>
    </w:p>
    <w:p w14:paraId="2E2CE5C1" w14:textId="77777777" w:rsidR="00793506" w:rsidRPr="007775ED" w:rsidRDefault="00953DE8" w:rsidP="007775ED">
      <w:pPr>
        <w:pStyle w:val="IASBSectionTitle1NonInd"/>
        <w:numPr>
          <w:ilvl w:val="0"/>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não divulgado em nenhum outro local entre as informações publicadas com as demonstrações contábeis, a entidade deve divulgar nas notas explicativas:</w:t>
      </w:r>
    </w:p>
    <w:p w14:paraId="1F034B79" w14:textId="77777777" w:rsidR="00793506"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domicílio e a forma jurídica da entidade, o seu país de registro e o endereço da sede registrada (ou o local principal de negócios, se diferente da sede registrada); e</w:t>
      </w:r>
    </w:p>
    <w:p w14:paraId="1620AC97" w14:textId="73690575" w:rsidR="00953DE8" w:rsidRPr="007775ED" w:rsidRDefault="00953DE8" w:rsidP="007775ED">
      <w:pPr>
        <w:pStyle w:val="IASBSectionTitle1NonInd"/>
        <w:numPr>
          <w:ilvl w:val="1"/>
          <w:numId w:val="31"/>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descrição da natureza das operações da entidade e das suas principais atividades.</w:t>
      </w:r>
    </w:p>
    <w:p w14:paraId="769A83CF" w14:textId="24581C3B" w:rsidR="005B4210" w:rsidRPr="007775ED" w:rsidRDefault="005B4210" w:rsidP="00684511">
      <w:pPr>
        <w:pStyle w:val="IASBSectionTitle1NonInd"/>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 xml:space="preserve">142 </w:t>
      </w:r>
      <w:r w:rsidR="008E781A">
        <w:rPr>
          <w:rFonts w:ascii="Times New Roman" w:hAnsi="Times New Roman" w:cs="Times New Roman"/>
          <w:b w:val="0"/>
          <w:bCs/>
          <w:sz w:val="24"/>
          <w:szCs w:val="24"/>
        </w:rPr>
        <w:t>a</w:t>
      </w:r>
      <w:r>
        <w:rPr>
          <w:rFonts w:ascii="Times New Roman" w:hAnsi="Times New Roman" w:cs="Times New Roman"/>
          <w:b w:val="0"/>
          <w:bCs/>
          <w:sz w:val="24"/>
          <w:szCs w:val="24"/>
        </w:rPr>
        <w:t xml:space="preserve"> 159. Excluídos.</w:t>
      </w:r>
    </w:p>
    <w:p w14:paraId="3CA06B2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Outras divulgações</w:t>
      </w:r>
    </w:p>
    <w:p w14:paraId="1FDCAD4B" w14:textId="77777777" w:rsidR="003118BB"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apresentar no balanço patrimonial ou demonstração das mutações do patrimônio líquido ou divulgar nas notas explicativas:</w:t>
      </w:r>
    </w:p>
    <w:p w14:paraId="2A066BF0" w14:textId="77777777" w:rsidR="003118BB"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classe de ações do capital:</w:t>
      </w:r>
    </w:p>
    <w:p w14:paraId="0E056E21"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quantidade de ações autorizadas;</w:t>
      </w:r>
    </w:p>
    <w:p w14:paraId="22573491"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quantidade de ações subscritas e inteiramente integralizadas, e subscritas, mas não integralizadas;</w:t>
      </w:r>
    </w:p>
    <w:p w14:paraId="69A0DFC6" w14:textId="6E0ED096"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nominal por ação, ou a </w:t>
      </w:r>
      <w:r w:rsidR="009169A2" w:rsidRPr="007775ED">
        <w:rPr>
          <w:rFonts w:ascii="Times New Roman" w:hAnsi="Times New Roman" w:cs="Times New Roman"/>
          <w:b w:val="0"/>
          <w:bCs/>
          <w:sz w:val="24"/>
          <w:szCs w:val="24"/>
        </w:rPr>
        <w:t>informa</w:t>
      </w:r>
      <w:r w:rsidR="009169A2">
        <w:rPr>
          <w:rFonts w:ascii="Times New Roman" w:hAnsi="Times New Roman" w:cs="Times New Roman"/>
          <w:b w:val="0"/>
          <w:bCs/>
          <w:sz w:val="24"/>
          <w:szCs w:val="24"/>
        </w:rPr>
        <w:t>ção de</w:t>
      </w:r>
      <w:r w:rsidR="009169A2"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que as ações não têm valor nominal;</w:t>
      </w:r>
    </w:p>
    <w:p w14:paraId="493ADC7D"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conciliação (informações comparativas não são requeridas) da quantidade de ações em circulação no início e no fim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611D9D77"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direitos, preferências e restrições associados a essa classe de ações, incluindo restrições na distribuição de dividendos e no reembolso de capital;</w:t>
      </w:r>
    </w:p>
    <w:p w14:paraId="569C3AC8"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ações ou quotas da entidade mantidas pela própria entidade ou por controladas ou coligadas; e</w:t>
      </w:r>
    </w:p>
    <w:p w14:paraId="70D57E35" w14:textId="77777777" w:rsidR="003118BB"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ações reservadas para emissão em função de opções e contratos para a venda de ações, incluindo os prazos e respectivos montantes; e</w:t>
      </w:r>
    </w:p>
    <w:p w14:paraId="18A484DB" w14:textId="77777777" w:rsidR="003118BB"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da natureza e da finalidade de cada reserva dentro do patrimônio líquido.</w:t>
      </w:r>
    </w:p>
    <w:p w14:paraId="504081E5" w14:textId="77777777" w:rsidR="003F64A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sem capital representado por ações, tal como uma sociedade de responsabilidade limitada ou um </w:t>
      </w:r>
      <w:proofErr w:type="spellStart"/>
      <w:r w:rsidRPr="007775ED">
        <w:rPr>
          <w:rFonts w:ascii="Times New Roman" w:hAnsi="Times New Roman" w:cs="Times New Roman"/>
          <w:b w:val="0"/>
          <w:bCs/>
          <w:i/>
          <w:iCs/>
          <w:sz w:val="24"/>
          <w:szCs w:val="24"/>
        </w:rPr>
        <w:t>truste</w:t>
      </w:r>
      <w:r w:rsidR="003118BB" w:rsidRPr="007775ED">
        <w:rPr>
          <w:rFonts w:ascii="Times New Roman" w:hAnsi="Times New Roman" w:cs="Times New Roman"/>
          <w:b w:val="0"/>
          <w:bCs/>
          <w:i/>
          <w:iCs/>
          <w:sz w:val="24"/>
          <w:szCs w:val="24"/>
        </w:rPr>
        <w:t>e</w:t>
      </w:r>
      <w:proofErr w:type="spellEnd"/>
      <w:r w:rsidRPr="007775ED">
        <w:rPr>
          <w:rFonts w:ascii="Times New Roman" w:hAnsi="Times New Roman" w:cs="Times New Roman"/>
          <w:b w:val="0"/>
          <w:bCs/>
          <w:sz w:val="24"/>
          <w:szCs w:val="24"/>
        </w:rPr>
        <w:t>, deve divulgar informação equivalente à exigida no item 160(a), mostrando as alterações durante o período em cada categoria de participação no patrimônio líquido e os direitos, preferências e restrições associados a cada categoria de instrumento patrimonial.</w:t>
      </w:r>
    </w:p>
    <w:p w14:paraId="64860E6C" w14:textId="77777777" w:rsidR="003F64A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nas notas explicativas:</w:t>
      </w:r>
    </w:p>
    <w:p w14:paraId="7B88A408" w14:textId="77777777" w:rsidR="003F64A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de dividendos propostos ou declarados antes que as demonstrações contábeis sejam autorizadas para emissão, porém não reconhecidos como uma distribuição aos sócios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 o correspondente valor por ação; e</w:t>
      </w:r>
    </w:p>
    <w:p w14:paraId="63AE783A" w14:textId="60997E21" w:rsidR="00953DE8" w:rsidRPr="007775ED" w:rsidRDefault="003F64AD"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 </w:t>
      </w:r>
      <w:r w:rsidR="00953DE8" w:rsidRPr="007775ED">
        <w:rPr>
          <w:rFonts w:ascii="Times New Roman" w:hAnsi="Times New Roman" w:cs="Times New Roman"/>
          <w:b w:val="0"/>
          <w:bCs/>
          <w:sz w:val="24"/>
          <w:szCs w:val="24"/>
        </w:rPr>
        <w:t>o valor de quaisquer dividendos preferenciais acumulados não reconhecidos.</w:t>
      </w:r>
    </w:p>
    <w:p w14:paraId="374724EF" w14:textId="1DF9A250"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w:t>
      </w:r>
      <w:r w:rsidR="00437FA2" w:rsidRPr="007775ED">
        <w:rPr>
          <w:rFonts w:ascii="Times New Roman" w:hAnsi="Times New Roman" w:cs="Times New Roman"/>
          <w:b w:val="0"/>
          <w:bCs/>
          <w:i/>
          <w:iCs/>
          <w:sz w:val="24"/>
          <w:szCs w:val="24"/>
        </w:rPr>
        <w:t>o CPC</w:t>
      </w:r>
      <w:r w:rsidR="006E6079" w:rsidRPr="007775ED">
        <w:rPr>
          <w:rFonts w:ascii="Times New Roman" w:hAnsi="Times New Roman" w:cs="Times New Roman"/>
          <w:b w:val="0"/>
          <w:bCs/>
          <w:i/>
          <w:iCs/>
          <w:sz w:val="24"/>
          <w:szCs w:val="24"/>
        </w:rPr>
        <w:t xml:space="preserve"> 51</w:t>
      </w:r>
      <w:r w:rsidRPr="007775ED">
        <w:rPr>
          <w:rFonts w:ascii="Times New Roman" w:hAnsi="Times New Roman" w:cs="Times New Roman"/>
          <w:b w:val="0"/>
          <w:bCs/>
          <w:i/>
          <w:iCs/>
          <w:sz w:val="24"/>
          <w:szCs w:val="24"/>
        </w:rPr>
        <w:t xml:space="preserve"> que continuam aplicáveis</w:t>
      </w:r>
    </w:p>
    <w:p w14:paraId="3F60B2D3" w14:textId="46D7FA84" w:rsidR="00953DE8" w:rsidRPr="007775ED" w:rsidRDefault="003F64AD"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aplicará os requisitos de divulgação nos itens 19, 20, 28, 41, 42, 43, 82, 90, 92, B8, B11, B14, B26(b) e B28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00953DE8" w:rsidRPr="007775ED">
        <w:rPr>
          <w:rFonts w:ascii="Times New Roman" w:hAnsi="Times New Roman" w:cs="Times New Roman"/>
          <w:b w:val="0"/>
          <w:bCs/>
          <w:sz w:val="24"/>
          <w:szCs w:val="24"/>
        </w:rPr>
        <w:t>.</w:t>
      </w:r>
      <w:r w:rsidR="003236B2">
        <w:rPr>
          <w:rFonts w:ascii="Times New Roman" w:hAnsi="Times New Roman" w:cs="Times New Roman"/>
          <w:b w:val="0"/>
          <w:bCs/>
          <w:sz w:val="24"/>
          <w:szCs w:val="24"/>
        </w:rPr>
        <w:t xml:space="preserve"> </w:t>
      </w:r>
      <w:r w:rsidR="003236B2" w:rsidRPr="003236B2">
        <w:rPr>
          <w:rFonts w:ascii="Times New Roman" w:hAnsi="Times New Roman" w:cs="Times New Roman"/>
          <w:b w:val="0"/>
          <w:bCs/>
          <w:sz w:val="24"/>
          <w:szCs w:val="24"/>
        </w:rPr>
        <w:t>Se a entidade utilizar medidas de desempenho definidas pela administração, conforme identificadas nos itens 117 a 120 do CPC 51, deve também fornecer as divulgações exigidas pelos itens 121 a 125, B132 e B134 a B142 do CPC 51.</w:t>
      </w:r>
    </w:p>
    <w:p w14:paraId="7BB925DC" w14:textId="2942C030"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16 – Estoques</w:t>
      </w:r>
    </w:p>
    <w:p w14:paraId="399135F0" w14:textId="77777777" w:rsidR="00C300F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54308645"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políticas contábeis adotadas na mensuração dos estoques, incluindo formas e critérios de valoração utilizados;</w:t>
      </w:r>
    </w:p>
    <w:p w14:paraId="72832CF8"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total escriturado em estoques e o valor registrado em outras contas apropriadas para a entidade;</w:t>
      </w:r>
    </w:p>
    <w:p w14:paraId="7C993AE6"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de estoques reconhecido como despesa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3821EC33"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qualquer redução de estoques reconhecida no resultado do período, de acordo com o item 34 do CPC 16;</w:t>
      </w:r>
    </w:p>
    <w:p w14:paraId="0CE14B1C"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toda reversão de qualquer redução do valor dos estoques reconhecida no resultado do período, de acordo com o item 34 do CPC 16; e</w:t>
      </w:r>
    </w:p>
    <w:p w14:paraId="08EC8C31" w14:textId="5C6AEBB4"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escriturado de estoques dados como penhor de garantia a passivos.</w:t>
      </w:r>
    </w:p>
    <w:p w14:paraId="75CAEAB8" w14:textId="6C688D1D"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03 – Demonstração dos Fluxos de Caixa</w:t>
      </w:r>
    </w:p>
    <w:p w14:paraId="049B9A85"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Transação que não envolve caixa ou equivalentes de caixa</w:t>
      </w:r>
    </w:p>
    <w:p w14:paraId="60839597" w14:textId="4C21DF88"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Transações de investimento e financiamento que não envolvem o uso de caixa ou equivalentes de caixa devem ser excluídas da demonstração dos fluxos de caixa. A entidade deve divulgar essas transações nas notas explicativas às demonstrações contábeis, de modo que forneçam todas as informações relevantes sobre essas atividades de investimento e financiamento.</w:t>
      </w:r>
    </w:p>
    <w:p w14:paraId="330EA15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Alteração do passivo decorrente de atividade de financiamento</w:t>
      </w:r>
    </w:p>
    <w:p w14:paraId="23625654" w14:textId="77777777" w:rsidR="00C300F2" w:rsidRPr="007775ED" w:rsidRDefault="00C300F2"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deve divulgar conciliação entre a abertura e o fechamento de saldos no balanço patrimonial para passivos decorrentes de atividades de financiamento, incluindo:</w:t>
      </w:r>
    </w:p>
    <w:p w14:paraId="5F6F2EFE"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alterações dos fluxos de caixa de financiamento;</w:t>
      </w:r>
    </w:p>
    <w:p w14:paraId="50CE022E"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alterações decorrentes da obtenção ou perda de controle de controladas ou outros negócios;</w:t>
      </w:r>
    </w:p>
    <w:p w14:paraId="0D21AB98"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efeito das alterações nas taxas de câmbio;</w:t>
      </w:r>
    </w:p>
    <w:p w14:paraId="655B8365"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alterações nos valores justos; e</w:t>
      </w:r>
    </w:p>
    <w:p w14:paraId="514F2836" w14:textId="6F4FD998"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alterações.</w:t>
      </w:r>
    </w:p>
    <w:p w14:paraId="64C68A3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Acordo de financiamento de fornecedores</w:t>
      </w:r>
    </w:p>
    <w:p w14:paraId="58F88360" w14:textId="7BD85D7F" w:rsidR="00C300F2"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Excluído.</w:t>
      </w:r>
    </w:p>
    <w:p w14:paraId="50B3A904" w14:textId="3687D7A2" w:rsidR="00C300F2"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FC554B">
        <w:rPr>
          <w:rFonts w:ascii="Times New Roman" w:hAnsi="Times New Roman" w:cs="Times New Roman"/>
          <w:b w:val="0"/>
          <w:bCs/>
          <w:sz w:val="24"/>
          <w:szCs w:val="24"/>
        </w:rPr>
        <w:t xml:space="preserve">A entidade deve divulgar, de forma agregada, em relação aos seus acordos de financiamento de </w:t>
      </w:r>
      <w:proofErr w:type="gramStart"/>
      <w:r w:rsidRPr="00FC554B">
        <w:rPr>
          <w:rFonts w:ascii="Times New Roman" w:hAnsi="Times New Roman" w:cs="Times New Roman"/>
          <w:b w:val="0"/>
          <w:bCs/>
          <w:sz w:val="24"/>
          <w:szCs w:val="24"/>
        </w:rPr>
        <w:t>fornecedores:</w:t>
      </w:r>
      <w:r w:rsidR="00953DE8" w:rsidRPr="007775ED">
        <w:rPr>
          <w:rFonts w:ascii="Times New Roman" w:hAnsi="Times New Roman" w:cs="Times New Roman"/>
          <w:b w:val="0"/>
          <w:bCs/>
          <w:sz w:val="24"/>
          <w:szCs w:val="24"/>
        </w:rPr>
        <w:t>:</w:t>
      </w:r>
      <w:proofErr w:type="gramEnd"/>
    </w:p>
    <w:p w14:paraId="7C1E580B"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termos e as condições dos acordos (por exemplo, prazos de pagamento estendidos e cauções ou garantias fornecidas). Entretanto, a entidade deverá divulgar separadamente os termos e as condições de acordos que tenham termos e condições diferentes.</w:t>
      </w:r>
    </w:p>
    <w:p w14:paraId="255C3DB1"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no início e no encerramento do período de reporte:</w:t>
      </w:r>
    </w:p>
    <w:p w14:paraId="60F2B2B2" w14:textId="77777777" w:rsidR="00C300F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valores contábeis e as rubricas associadas apresentadas no balanço patrimonial da entidade, dos passivos financeiros que fazem parte de um acordo de financiamento de fornecedores.</w:t>
      </w:r>
    </w:p>
    <w:p w14:paraId="007E0006" w14:textId="77777777" w:rsidR="00C300F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valores contábeis, e rubricas associadas, dos passivos financeiros divulgados de acordo com o item (i) acima para os quais os fornecedores já receberam o pagamento dos financiadores.</w:t>
      </w:r>
    </w:p>
    <w:p w14:paraId="53FCA026" w14:textId="7E0BC3DE" w:rsidR="00C300F2" w:rsidRPr="007775ED" w:rsidRDefault="00FC554B"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excluído.</w:t>
      </w:r>
    </w:p>
    <w:p w14:paraId="57DAC580" w14:textId="2E38CC26"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tipo e o efeito de alterações não caixa nos valores contábeis dos passivos financeiros divulgados de acordo com o item (b)(i). Exemplos de alterações não caixa incluem o efeito de combinações de negócios, variações cambiais ou outras transações que não requerem o uso de caixa ou equivalentes de caixa (ver item 165).</w:t>
      </w:r>
    </w:p>
    <w:p w14:paraId="7ED7A5B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Componentes de caixa e equivalentes de caixa</w:t>
      </w:r>
    </w:p>
    <w:p w14:paraId="631BCFC5" w14:textId="77777777" w:rsidR="00C300F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os componentes de caixa e equivalentes de caixa e deve apresentar uma conciliação dos montantes em sua demonstração dos fluxos de caixa com os respectivos itens apresentados no balanço patrimonial.</w:t>
      </w:r>
    </w:p>
    <w:p w14:paraId="4B0EE597" w14:textId="20393172"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função da variedade de práticas de gestão de caixa e de produtos bancários ao redor do mundo, e com vistas a atentar para o CPC 23, a entidade deve divulgar a política que adota na determinação da composição do caixa e equivalentes de caixa.</w:t>
      </w:r>
    </w:p>
    <w:p w14:paraId="158A9FEF"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Outras divulgações</w:t>
      </w:r>
    </w:p>
    <w:p w14:paraId="022651A5" w14:textId="05038D10"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acompanhados de comentário da administração, os saldos significativos de caixa e equivalentes de caixa mantidos pela entidade que não estejam disponíveis para uso pelo grupo</w:t>
      </w:r>
      <w:r w:rsidR="00C20535" w:rsidRPr="007775ED">
        <w:rPr>
          <w:rFonts w:ascii="Times New Roman" w:hAnsi="Times New Roman" w:cs="Times New Roman"/>
          <w:b w:val="0"/>
          <w:bCs/>
          <w:sz w:val="24"/>
          <w:szCs w:val="24"/>
        </w:rPr>
        <w:t xml:space="preserve"> econômico</w:t>
      </w:r>
      <w:r w:rsidRPr="007775ED">
        <w:rPr>
          <w:rFonts w:ascii="Times New Roman" w:hAnsi="Times New Roman" w:cs="Times New Roman"/>
          <w:b w:val="0"/>
          <w:bCs/>
          <w:sz w:val="24"/>
          <w:szCs w:val="24"/>
        </w:rPr>
        <w:t>.</w:t>
      </w:r>
    </w:p>
    <w:p w14:paraId="1316D4CD" w14:textId="04C430B0"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 de divulgação do CPC 03 que continua aplicável</w:t>
      </w:r>
    </w:p>
    <w:p w14:paraId="6DEE763E" w14:textId="323A7938"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aplicar o requisito de divulgação do item 36 do CPC 03.</w:t>
      </w:r>
    </w:p>
    <w:p w14:paraId="703B1B16" w14:textId="1B8E443F" w:rsidR="00953DE8" w:rsidRPr="007775ED" w:rsidRDefault="00820A39"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23 - Base de Preparação das Demonstrações Contábeis</w:t>
      </w:r>
    </w:p>
    <w:p w14:paraId="268B10D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Políticas contábeis</w:t>
      </w:r>
    </w:p>
    <w:p w14:paraId="401270C2" w14:textId="4E6DDA90"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Apresentação justa e em conformidade com </w:t>
      </w:r>
      <w:r w:rsidR="005706F5" w:rsidRPr="007775ED">
        <w:rPr>
          <w:rFonts w:ascii="Times New Roman" w:hAnsi="Times New Roman" w:cs="Times New Roman"/>
          <w:b w:val="0"/>
          <w:bCs/>
          <w:i/>
          <w:iCs/>
          <w:sz w:val="24"/>
          <w:szCs w:val="24"/>
        </w:rPr>
        <w:t>os Pronunciamentos Técnicos do CPC</w:t>
      </w:r>
    </w:p>
    <w:p w14:paraId="1158BF1E" w14:textId="77777777" w:rsidR="00C300F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 entidade não aplicar um requisito de </w:t>
      </w:r>
      <w:r w:rsidR="00C300F2" w:rsidRPr="007775ED">
        <w:rPr>
          <w:rFonts w:ascii="Times New Roman" w:hAnsi="Times New Roman" w:cs="Times New Roman"/>
          <w:b w:val="0"/>
          <w:bCs/>
          <w:sz w:val="24"/>
          <w:szCs w:val="24"/>
        </w:rPr>
        <w:t xml:space="preserve">um Pronunciamento técnico, Interpretação ou Orientação do CPC </w:t>
      </w:r>
      <w:r w:rsidRPr="007775ED">
        <w:rPr>
          <w:rFonts w:ascii="Times New Roman" w:hAnsi="Times New Roman" w:cs="Times New Roman"/>
          <w:b w:val="0"/>
          <w:bCs/>
          <w:sz w:val="24"/>
          <w:szCs w:val="24"/>
        </w:rPr>
        <w:t>de acordo com o item 6E do CPC 23, ela divulgará:</w:t>
      </w:r>
    </w:p>
    <w:p w14:paraId="73F23993"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que a administração concluiu que 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apresentam adequadamente a posição financeira, o desempenho financeiro e os fluxos de caixa da entidade;</w:t>
      </w:r>
    </w:p>
    <w:p w14:paraId="08264D90" w14:textId="77777777" w:rsidR="00C300F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que cumpriu </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xml:space="preserve"> aplicáveis, exceto pela não aplicação de um requisito específico para obter uma apresentação adequada;</w:t>
      </w:r>
    </w:p>
    <w:p w14:paraId="3F827E96" w14:textId="77777777" w:rsidR="00F247C0" w:rsidRPr="007775ED" w:rsidRDefault="00953DE8" w:rsidP="003236B2">
      <w:pPr>
        <w:pStyle w:val="IASBSectionTitle1NonInd"/>
        <w:numPr>
          <w:ilvl w:val="1"/>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título </w:t>
      </w:r>
      <w:r w:rsidR="00C300F2" w:rsidRPr="007775ED">
        <w:rPr>
          <w:rFonts w:ascii="Times New Roman" w:hAnsi="Times New Roman" w:cs="Times New Roman"/>
          <w:b w:val="0"/>
          <w:bCs/>
          <w:sz w:val="24"/>
          <w:szCs w:val="24"/>
        </w:rPr>
        <w:t xml:space="preserve">do </w:t>
      </w:r>
      <w:r w:rsidR="00F247C0" w:rsidRPr="007775ED">
        <w:rPr>
          <w:rFonts w:ascii="Times New Roman" w:hAnsi="Times New Roman" w:cs="Times New Roman"/>
          <w:b w:val="0"/>
          <w:bCs/>
          <w:sz w:val="24"/>
          <w:szCs w:val="24"/>
        </w:rPr>
        <w:t xml:space="preserve">Pronunciamento técnico, Interpretação ou Orientação do CPC </w:t>
      </w:r>
      <w:r w:rsidRPr="007775ED">
        <w:rPr>
          <w:rFonts w:ascii="Times New Roman" w:hAnsi="Times New Roman" w:cs="Times New Roman"/>
          <w:b w:val="0"/>
          <w:bCs/>
          <w:sz w:val="24"/>
          <w:szCs w:val="24"/>
        </w:rPr>
        <w:t>que a entidade não aplicou, a natureza dessa não aplicação, incluindo o tratamento que</w:t>
      </w:r>
      <w:r w:rsidR="00F247C0" w:rsidRPr="007775ED">
        <w:rPr>
          <w:rFonts w:ascii="Times New Roman" w:hAnsi="Times New Roman" w:cs="Times New Roman"/>
          <w:b w:val="0"/>
          <w:bCs/>
          <w:sz w:val="24"/>
          <w:szCs w:val="24"/>
        </w:rPr>
        <w:t xml:space="preserve"> o Pronunciamento técnico, Interpretação ou Orientação do CPC </w:t>
      </w:r>
      <w:r w:rsidRPr="007775ED">
        <w:rPr>
          <w:rFonts w:ascii="Times New Roman" w:hAnsi="Times New Roman" w:cs="Times New Roman"/>
          <w:b w:val="0"/>
          <w:bCs/>
          <w:sz w:val="24"/>
          <w:szCs w:val="24"/>
        </w:rPr>
        <w:t xml:space="preserve">exigiria, a razão pela qual esse tratamento seria inadequado ao entrar em conflito com o objetivo das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definido na Estrutura Conceitual para Relatório Financeiro (</w:t>
      </w:r>
      <w:r w:rsidR="00F247C0" w:rsidRPr="007775ED">
        <w:rPr>
          <w:rFonts w:ascii="Times New Roman" w:hAnsi="Times New Roman" w:cs="Times New Roman"/>
          <w:b w:val="0"/>
          <w:bCs/>
          <w:sz w:val="24"/>
          <w:szCs w:val="24"/>
        </w:rPr>
        <w:t>CPC 00</w:t>
      </w:r>
      <w:r w:rsidRPr="007775ED">
        <w:rPr>
          <w:rFonts w:ascii="Times New Roman" w:hAnsi="Times New Roman" w:cs="Times New Roman"/>
          <w:b w:val="0"/>
          <w:bCs/>
          <w:sz w:val="24"/>
          <w:szCs w:val="24"/>
        </w:rPr>
        <w:t>) e o tratamento adotado; e</w:t>
      </w:r>
    </w:p>
    <w:p w14:paraId="396E721E" w14:textId="77777777" w:rsidR="00F247C0" w:rsidRPr="007775ED" w:rsidRDefault="00953DE8" w:rsidP="003236B2">
      <w:pPr>
        <w:pStyle w:val="IASBSectionTitle1NonInd"/>
        <w:numPr>
          <w:ilvl w:val="1"/>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cada período apresentado, o efeito financeiro da não aplicação em cada item nas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que teria sido reconhecido caso tivesse cumprido o requisito.</w:t>
      </w:r>
    </w:p>
    <w:p w14:paraId="593C0C63" w14:textId="1A66C318" w:rsidR="00F247C0" w:rsidRPr="007775ED" w:rsidRDefault="00953DE8" w:rsidP="003236B2">
      <w:pPr>
        <w:pStyle w:val="IASBSectionTitle1NonInd"/>
        <w:numPr>
          <w:ilvl w:val="0"/>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Quando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não aplicar um requisito de um</w:t>
      </w:r>
      <w:r w:rsidR="00F247C0" w:rsidRPr="007775ED">
        <w:rPr>
          <w:rFonts w:ascii="Times New Roman" w:hAnsi="Times New Roman" w:cs="Times New Roman"/>
          <w:b w:val="0"/>
          <w:bCs/>
          <w:sz w:val="24"/>
          <w:szCs w:val="24"/>
        </w:rPr>
        <w:t xml:space="preserve"> Pronunciamento técnico, Interpretação ou Orientação do CPC </w:t>
      </w:r>
      <w:r w:rsidRPr="007775ED">
        <w:rPr>
          <w:rFonts w:ascii="Times New Roman" w:hAnsi="Times New Roman" w:cs="Times New Roman"/>
          <w:b w:val="0"/>
          <w:bCs/>
          <w:sz w:val="24"/>
          <w:szCs w:val="24"/>
        </w:rPr>
        <w:t xml:space="preserve">em um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anterior e essa não aplicação afetar os valores reconhecidos nas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do período corrente, ela fará as divulgações estabelecidas nos itens 173(c)–173(d).</w:t>
      </w:r>
    </w:p>
    <w:p w14:paraId="54723AA0" w14:textId="77777777" w:rsidR="00F247C0" w:rsidRPr="007775ED" w:rsidRDefault="00953DE8" w:rsidP="003236B2">
      <w:pPr>
        <w:pStyle w:val="IASBSectionTitle1NonInd"/>
        <w:numPr>
          <w:ilvl w:val="0"/>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circunstâncias extremamente raras em que a administração concluir que o cumprimento de um requisito contido em um</w:t>
      </w:r>
      <w:r w:rsidR="00F247C0" w:rsidRPr="007775ED">
        <w:rPr>
          <w:rFonts w:ascii="Times New Roman" w:hAnsi="Times New Roman" w:cs="Times New Roman"/>
          <w:b w:val="0"/>
          <w:bCs/>
          <w:sz w:val="24"/>
          <w:szCs w:val="24"/>
        </w:rPr>
        <w:t xml:space="preserve"> Pronunciamento técnico, Interpretação ou Orientação do CPC </w:t>
      </w:r>
      <w:r w:rsidRPr="007775ED">
        <w:rPr>
          <w:rFonts w:ascii="Times New Roman" w:hAnsi="Times New Roman" w:cs="Times New Roman"/>
          <w:b w:val="0"/>
          <w:bCs/>
          <w:sz w:val="24"/>
          <w:szCs w:val="24"/>
        </w:rPr>
        <w:t xml:space="preserve">é inadequado por entrar em conflito com o objetivo das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definidas na Estrutura Conceitual, mas a estrutura conceitual regulatória pertinente proibir a não aplicação do requisito, a entidade reduzirá, na máxima extensão possível, os aspectos inadequados identificados no cumprimento, divulgando:</w:t>
      </w:r>
    </w:p>
    <w:p w14:paraId="3C2B1867" w14:textId="77777777" w:rsidR="00F247C0" w:rsidRPr="007775ED" w:rsidRDefault="00953DE8" w:rsidP="003236B2">
      <w:pPr>
        <w:pStyle w:val="IASBSectionTitle1NonInd"/>
        <w:numPr>
          <w:ilvl w:val="1"/>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título </w:t>
      </w:r>
      <w:r w:rsidR="00F247C0" w:rsidRPr="007775ED">
        <w:rPr>
          <w:rFonts w:ascii="Times New Roman" w:hAnsi="Times New Roman" w:cs="Times New Roman"/>
          <w:b w:val="0"/>
          <w:bCs/>
          <w:sz w:val="24"/>
          <w:szCs w:val="24"/>
        </w:rPr>
        <w:t xml:space="preserve">do Pronunciamento técnico, Interpretação ou Orientação do CPC </w:t>
      </w:r>
      <w:r w:rsidRPr="007775ED">
        <w:rPr>
          <w:rFonts w:ascii="Times New Roman" w:hAnsi="Times New Roman" w:cs="Times New Roman"/>
          <w:b w:val="0"/>
          <w:bCs/>
          <w:sz w:val="24"/>
          <w:szCs w:val="24"/>
        </w:rPr>
        <w:t xml:space="preserve">em questão, a natureza do requisito e a razão pela qual a administração concluiu que o cumprimento desse requisito é inadequado nas circunstâncias por entrar em conflito com o objetivo das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estabelecido na Estrutura Conceitual; e</w:t>
      </w:r>
    </w:p>
    <w:p w14:paraId="1C5FB9FA" w14:textId="09E1F2C5" w:rsidR="00953DE8" w:rsidRPr="007775ED" w:rsidRDefault="00953DE8" w:rsidP="003236B2">
      <w:pPr>
        <w:pStyle w:val="IASBSectionTitle1NonInd"/>
        <w:numPr>
          <w:ilvl w:val="1"/>
          <w:numId w:val="34"/>
        </w:numPr>
        <w:pBdr>
          <w:bottom w:val="none" w:sz="0" w:space="0" w:color="auto"/>
        </w:pBdr>
        <w:spacing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para cada período apresentado, os ajustes de cada rubrica nas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que a administração concluiu serem necessários para obter uma apresentação adequada.</w:t>
      </w:r>
    </w:p>
    <w:p w14:paraId="1F6E5AC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de seleção e aplicação de políticas contábeis</w:t>
      </w:r>
    </w:p>
    <w:p w14:paraId="208707C7" w14:textId="25659DBC" w:rsidR="00F247C0" w:rsidRPr="007775ED" w:rsidRDefault="00FA283A"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divulgará informações materiais de política contábil.</w:t>
      </w:r>
    </w:p>
    <w:p w14:paraId="1A4FA81C" w14:textId="6DFA7282" w:rsidR="00F247C0" w:rsidRPr="007775ED" w:rsidRDefault="00FA283A"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divulgará, juntamente com suas informações materiais de política contábil ou outras notas explicativas, os julgamentos, separados daqueles que envolvem estimativas (ver item 182), que a administração fez no processo de aplicação das políticas contábeis da entidade e que tiveram o efeito mais significativo sobre os valores reconhecidos nas </w:t>
      </w:r>
      <w:r w:rsidR="006E6079" w:rsidRPr="007775ED">
        <w:rPr>
          <w:rFonts w:ascii="Times New Roman" w:hAnsi="Times New Roman" w:cs="Times New Roman"/>
          <w:b w:val="0"/>
          <w:bCs/>
          <w:sz w:val="24"/>
          <w:szCs w:val="24"/>
        </w:rPr>
        <w:t>demonstrações contábeis</w:t>
      </w:r>
      <w:r w:rsidR="00953DE8" w:rsidRPr="007775ED">
        <w:rPr>
          <w:rFonts w:ascii="Times New Roman" w:hAnsi="Times New Roman" w:cs="Times New Roman"/>
          <w:b w:val="0"/>
          <w:bCs/>
          <w:sz w:val="24"/>
          <w:szCs w:val="24"/>
        </w:rPr>
        <w:t xml:space="preserve">. Exemplos de julgamentos que </w:t>
      </w: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entidade pode ser obrigada a divulgar incluem como a administração determina:</w:t>
      </w:r>
    </w:p>
    <w:p w14:paraId="054CC632"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classes apropriadas de ativos e passivos para as quais são fornecidas divulgações sobre mensurações do valor justo.</w:t>
      </w:r>
    </w:p>
    <w:p w14:paraId="5D258329"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que a entidade possui o controle de outra entidade;</w:t>
      </w:r>
    </w:p>
    <w:p w14:paraId="6CAF4BAA"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que a entidade possui o controle conjunto de um negócio ou influência significativa sobre outra entidade;</w:t>
      </w:r>
    </w:p>
    <w:p w14:paraId="6D2CF211" w14:textId="527F6242"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tipo de negócio em conjunto (ou seja, operação em conjunto ou empreendimento </w:t>
      </w:r>
      <w:r w:rsidR="00C20535" w:rsidRPr="007775ED">
        <w:rPr>
          <w:rFonts w:ascii="Times New Roman" w:hAnsi="Times New Roman" w:cs="Times New Roman"/>
          <w:b w:val="0"/>
          <w:bCs/>
          <w:sz w:val="24"/>
          <w:szCs w:val="24"/>
        </w:rPr>
        <w:t xml:space="preserve">controlado </w:t>
      </w:r>
      <w:r w:rsidRPr="007775ED">
        <w:rPr>
          <w:rFonts w:ascii="Times New Roman" w:hAnsi="Times New Roman" w:cs="Times New Roman"/>
          <w:b w:val="0"/>
          <w:bCs/>
          <w:sz w:val="24"/>
          <w:szCs w:val="24"/>
        </w:rPr>
        <w:t>em conjunto) quando o negócio tiver sido estruturado por meio de um veículo separado; e</w:t>
      </w:r>
    </w:p>
    <w:p w14:paraId="37B9EB41" w14:textId="102EC44A"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é uma entidade de investimento.</w:t>
      </w:r>
    </w:p>
    <w:p w14:paraId="7282F759"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de mudanças nas políticas contábeis</w:t>
      </w:r>
    </w:p>
    <w:p w14:paraId="4B045A9C" w14:textId="77777777" w:rsidR="00F247C0"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Quando a adoção inicial de Pronunciamento, Interpretação ou Orientação tiver efeitos no período corrente ou em qualquer período anterior, exceto se for impraticável determinar o montante a ser ajustado, ou puder ter efeitos em períodos futuros, a entidade deve divulgar:</w:t>
      </w:r>
    </w:p>
    <w:p w14:paraId="048E4846" w14:textId="665C578F"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título d</w:t>
      </w:r>
      <w:r w:rsidR="00F247C0" w:rsidRPr="007775ED">
        <w:rPr>
          <w:rFonts w:ascii="Times New Roman" w:hAnsi="Times New Roman" w:cs="Times New Roman"/>
          <w:b w:val="0"/>
          <w:bCs/>
          <w:sz w:val="24"/>
          <w:szCs w:val="24"/>
        </w:rPr>
        <w:t>o Pronunciamento técnico, Interpretação ou Orientação do CPC</w:t>
      </w:r>
      <w:r w:rsidRPr="007775ED">
        <w:rPr>
          <w:rFonts w:ascii="Times New Roman" w:hAnsi="Times New Roman" w:cs="Times New Roman"/>
          <w:b w:val="0"/>
          <w:bCs/>
          <w:sz w:val="24"/>
          <w:szCs w:val="24"/>
        </w:rPr>
        <w:t>;</w:t>
      </w:r>
    </w:p>
    <w:p w14:paraId="519500FE"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aplicável, que a mudança na política contábil é feita de acordo com as disposições da aplicação inicial do </w:t>
      </w:r>
      <w:r w:rsidR="00F247C0" w:rsidRPr="007775ED">
        <w:rPr>
          <w:rFonts w:ascii="Times New Roman" w:hAnsi="Times New Roman" w:cs="Times New Roman"/>
          <w:b w:val="0"/>
          <w:bCs/>
          <w:sz w:val="24"/>
          <w:szCs w:val="24"/>
        </w:rPr>
        <w:t>Pronunciamento técnico, Interpretação ou Orientação do CPC</w:t>
      </w:r>
      <w:r w:rsidRPr="007775ED">
        <w:rPr>
          <w:rFonts w:ascii="Times New Roman" w:hAnsi="Times New Roman" w:cs="Times New Roman"/>
          <w:b w:val="0"/>
          <w:bCs/>
          <w:sz w:val="24"/>
          <w:szCs w:val="24"/>
        </w:rPr>
        <w:t>;</w:t>
      </w:r>
    </w:p>
    <w:p w14:paraId="0BB405AB"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 mudança na política contábil;</w:t>
      </w:r>
    </w:p>
    <w:p w14:paraId="55FBF487"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aplicável, uma descrição das disposições transitórias na adoção inicial;</w:t>
      </w:r>
    </w:p>
    <w:p w14:paraId="42D0A5B9"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aplicável, as disposições transitórias que possam ter um efeito em futuros períodos;</w:t>
      </w:r>
    </w:p>
    <w:p w14:paraId="496D564D"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dos ajustes para o período corrente e para cada período anterior apresentado, até ao ponto em que seja praticável:</w:t>
      </w:r>
    </w:p>
    <w:p w14:paraId="74D676C7" w14:textId="77777777" w:rsidR="00F247C0"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item afetado da demonstração contábil; e</w:t>
      </w:r>
    </w:p>
    <w:p w14:paraId="784F8C71" w14:textId="0B287071" w:rsidR="00F247C0"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CPC 41 se aplicar à entidade, para resultados por ação básicos e diluídos.;</w:t>
      </w:r>
    </w:p>
    <w:p w14:paraId="41BADDD9" w14:textId="77777777" w:rsidR="00F247C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do ajuste relacionado com períodos anteriores aos apresentados, até ao ponto em que seja praticável; e</w:t>
      </w:r>
    </w:p>
    <w:p w14:paraId="52AF0E3E" w14:textId="5BBCD5CF"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aplicação retrospectiva exigida pelo item 19(a) ou 19(b) do CPC 23 for impraticável para um período anterior em particular, ou para períodos anteriores aos apresentados, as circunstâncias que levaram à existência dessa condição e uma descrição de como e desde quando a política contábil tem sido aplicada.</w:t>
      </w:r>
    </w:p>
    <w:p w14:paraId="20C245C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As demonstrações contábeis de períodos subsequentes não precisam repetir essas divulgações.</w:t>
      </w:r>
    </w:p>
    <w:p w14:paraId="36C425EE" w14:textId="77777777" w:rsidR="00B54BA0" w:rsidRPr="007775ED" w:rsidRDefault="00B54BA0"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w:t>
      </w:r>
      <w:r w:rsidR="00953DE8" w:rsidRPr="007775ED">
        <w:rPr>
          <w:rFonts w:ascii="Times New Roman" w:hAnsi="Times New Roman" w:cs="Times New Roman"/>
          <w:b w:val="0"/>
          <w:bCs/>
          <w:sz w:val="24"/>
          <w:szCs w:val="24"/>
        </w:rPr>
        <w:t>uando uma mudança voluntária na política contábil tiver efeito no período corrente ou qualquer período anterior, exceto se for impraticável determinar o montante a ser ajustado, ou puder ter efeitos em períodos futuros, a entidade deve divulgar:</w:t>
      </w:r>
    </w:p>
    <w:p w14:paraId="4E5D4849" w14:textId="77777777" w:rsidR="00B54BA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 mudança na política contábil;</w:t>
      </w:r>
    </w:p>
    <w:p w14:paraId="4DAB800A" w14:textId="77777777" w:rsidR="00B54BA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razões pelas quais a aplicação da nova política contábil proporciona informação confiável e mais relevante;</w:t>
      </w:r>
    </w:p>
    <w:p w14:paraId="23EC7883" w14:textId="77777777" w:rsidR="00B54BA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do ajuste para o período corrente e para cada período anterior apresentado, até o ponto em que seja praticável:</w:t>
      </w:r>
    </w:p>
    <w:p w14:paraId="5CFD5346" w14:textId="77777777" w:rsidR="00B54BA0"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item afetado da demonstração contábil; e</w:t>
      </w:r>
    </w:p>
    <w:p w14:paraId="0AD31A30" w14:textId="296E6410" w:rsidR="00B54BA0"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CPC 41</w:t>
      </w:r>
      <w:r w:rsidR="00B54BA0"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se aplicar à entidade, para resultados por ação básicos e diluídos.</w:t>
      </w:r>
    </w:p>
    <w:p w14:paraId="374580A6" w14:textId="77777777" w:rsidR="00B54BA0"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 montante do ajuste relacionado com períodos anteriores aos apresentados, até ao ponto em que seja praticável; e</w:t>
      </w:r>
    </w:p>
    <w:p w14:paraId="44E0A47B"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circunstâncias que levaram à existência dessa condição e uma descrição de como e desde quando a política contábil tem sido aplicada, se a aplicação retrospectiva for impraticável para um período anterior em particular, ou para períodos anteriores aos apresentados.</w:t>
      </w:r>
    </w:p>
    <w:p w14:paraId="67EFC8DB" w14:textId="77777777"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entidade não adotar antecipadamente novo Pronunciamento, Interpretação ou Orientação já emitido, mas ainda não com aplicação obrigatória, a entidade deve divulgar:</w:t>
      </w:r>
    </w:p>
    <w:p w14:paraId="0569446A"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tal fato; e</w:t>
      </w:r>
    </w:p>
    <w:p w14:paraId="1F3DF08C"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informação disponível ou razoavelmente estimável que seja relevante para avaliar o possível impacto da aplicação do novo Pronunciamento</w:t>
      </w:r>
      <w:r w:rsidR="0021013E" w:rsidRPr="007775ED">
        <w:rPr>
          <w:rFonts w:ascii="Times New Roman" w:hAnsi="Times New Roman" w:cs="Times New Roman"/>
          <w:b w:val="0"/>
          <w:bCs/>
          <w:sz w:val="24"/>
          <w:szCs w:val="24"/>
        </w:rPr>
        <w:t xml:space="preserve"> Técnico</w:t>
      </w:r>
      <w:r w:rsidRPr="007775ED">
        <w:rPr>
          <w:rFonts w:ascii="Times New Roman" w:hAnsi="Times New Roman" w:cs="Times New Roman"/>
          <w:b w:val="0"/>
          <w:bCs/>
          <w:sz w:val="24"/>
          <w:szCs w:val="24"/>
        </w:rPr>
        <w:t xml:space="preserve">, Interpretação ou Orientação </w:t>
      </w:r>
      <w:r w:rsidR="0021013E" w:rsidRPr="007775ED">
        <w:rPr>
          <w:rFonts w:ascii="Times New Roman" w:hAnsi="Times New Roman" w:cs="Times New Roman"/>
          <w:b w:val="0"/>
          <w:bCs/>
          <w:sz w:val="24"/>
          <w:szCs w:val="24"/>
        </w:rPr>
        <w:t xml:space="preserve">do CPC </w:t>
      </w:r>
      <w:r w:rsidRPr="007775ED">
        <w:rPr>
          <w:rFonts w:ascii="Times New Roman" w:hAnsi="Times New Roman" w:cs="Times New Roman"/>
          <w:b w:val="0"/>
          <w:bCs/>
          <w:sz w:val="24"/>
          <w:szCs w:val="24"/>
        </w:rPr>
        <w:t>nas demonstrações contábeis da entidade no período da aplicação inicial.</w:t>
      </w:r>
    </w:p>
    <w:p w14:paraId="30ADF4EF" w14:textId="157544A9"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Ao cumprir o item 180, </w:t>
      </w:r>
      <w:r w:rsidR="00FA283A" w:rsidRPr="007775ED">
        <w:rPr>
          <w:rFonts w:ascii="Times New Roman" w:hAnsi="Times New Roman" w:cs="Times New Roman"/>
          <w:b w:val="0"/>
          <w:bCs/>
          <w:sz w:val="24"/>
          <w:szCs w:val="24"/>
        </w:rPr>
        <w:t>a</w:t>
      </w:r>
      <w:r w:rsidRPr="007775ED">
        <w:rPr>
          <w:rFonts w:ascii="Times New Roman" w:hAnsi="Times New Roman" w:cs="Times New Roman"/>
          <w:b w:val="0"/>
          <w:bCs/>
          <w:sz w:val="24"/>
          <w:szCs w:val="24"/>
        </w:rPr>
        <w:t xml:space="preserve"> entidade considera divulgar:</w:t>
      </w:r>
    </w:p>
    <w:p w14:paraId="0C41A9A9"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título do novo Pronunciamento</w:t>
      </w:r>
      <w:r w:rsidR="0021013E" w:rsidRPr="007775ED">
        <w:rPr>
          <w:rFonts w:ascii="Times New Roman" w:hAnsi="Times New Roman" w:cs="Times New Roman"/>
          <w:b w:val="0"/>
          <w:bCs/>
          <w:sz w:val="24"/>
          <w:szCs w:val="24"/>
        </w:rPr>
        <w:t xml:space="preserve"> Técnico</w:t>
      </w:r>
      <w:r w:rsidRPr="007775ED">
        <w:rPr>
          <w:rFonts w:ascii="Times New Roman" w:hAnsi="Times New Roman" w:cs="Times New Roman"/>
          <w:b w:val="0"/>
          <w:bCs/>
          <w:sz w:val="24"/>
          <w:szCs w:val="24"/>
        </w:rPr>
        <w:t>, Interpretação ou Orientação</w:t>
      </w:r>
      <w:r w:rsidR="0021013E" w:rsidRPr="007775ED">
        <w:rPr>
          <w:rFonts w:ascii="Times New Roman" w:hAnsi="Times New Roman" w:cs="Times New Roman"/>
          <w:b w:val="0"/>
          <w:bCs/>
          <w:sz w:val="24"/>
          <w:szCs w:val="24"/>
        </w:rPr>
        <w:t xml:space="preserve"> do CPC</w:t>
      </w:r>
      <w:r w:rsidRPr="007775ED">
        <w:rPr>
          <w:rFonts w:ascii="Times New Roman" w:hAnsi="Times New Roman" w:cs="Times New Roman"/>
          <w:b w:val="0"/>
          <w:bCs/>
          <w:sz w:val="24"/>
          <w:szCs w:val="24"/>
        </w:rPr>
        <w:t>;</w:t>
      </w:r>
    </w:p>
    <w:p w14:paraId="7ED5A481"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da mudança ou das mudanças iminentes na política contábil;</w:t>
      </w:r>
    </w:p>
    <w:p w14:paraId="1F7020E9"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data em que é exigida a aplicação do Pronunciamento</w:t>
      </w:r>
      <w:r w:rsidR="0021013E" w:rsidRPr="007775ED">
        <w:rPr>
          <w:rFonts w:ascii="Times New Roman" w:hAnsi="Times New Roman" w:cs="Times New Roman"/>
          <w:b w:val="0"/>
          <w:bCs/>
          <w:sz w:val="24"/>
          <w:szCs w:val="24"/>
        </w:rPr>
        <w:t xml:space="preserve"> Técnico</w:t>
      </w:r>
      <w:r w:rsidRPr="007775ED">
        <w:rPr>
          <w:rFonts w:ascii="Times New Roman" w:hAnsi="Times New Roman" w:cs="Times New Roman"/>
          <w:b w:val="0"/>
          <w:bCs/>
          <w:sz w:val="24"/>
          <w:szCs w:val="24"/>
        </w:rPr>
        <w:t>, Interpretação ou Orientação</w:t>
      </w:r>
      <w:r w:rsidR="0021013E" w:rsidRPr="007775ED">
        <w:rPr>
          <w:rFonts w:ascii="Times New Roman" w:hAnsi="Times New Roman" w:cs="Times New Roman"/>
          <w:b w:val="0"/>
          <w:bCs/>
          <w:sz w:val="24"/>
          <w:szCs w:val="24"/>
        </w:rPr>
        <w:t xml:space="preserve"> do CPC</w:t>
      </w:r>
      <w:r w:rsidRPr="007775ED">
        <w:rPr>
          <w:rFonts w:ascii="Times New Roman" w:hAnsi="Times New Roman" w:cs="Times New Roman"/>
          <w:b w:val="0"/>
          <w:bCs/>
          <w:sz w:val="24"/>
          <w:szCs w:val="24"/>
        </w:rPr>
        <w:t>;</w:t>
      </w:r>
    </w:p>
    <w:p w14:paraId="233B183D"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data em que planeja aplicar inicialmente o Pronunciamento</w:t>
      </w:r>
      <w:r w:rsidR="0021013E" w:rsidRPr="007775ED">
        <w:rPr>
          <w:rFonts w:ascii="Times New Roman" w:hAnsi="Times New Roman" w:cs="Times New Roman"/>
          <w:b w:val="0"/>
          <w:bCs/>
          <w:sz w:val="24"/>
          <w:szCs w:val="24"/>
        </w:rPr>
        <w:t xml:space="preserve"> Técnico</w:t>
      </w:r>
      <w:r w:rsidRPr="007775ED">
        <w:rPr>
          <w:rFonts w:ascii="Times New Roman" w:hAnsi="Times New Roman" w:cs="Times New Roman"/>
          <w:b w:val="0"/>
          <w:bCs/>
          <w:sz w:val="24"/>
          <w:szCs w:val="24"/>
        </w:rPr>
        <w:t>, Interpretação ou Orientação</w:t>
      </w:r>
      <w:r w:rsidR="0021013E" w:rsidRPr="007775ED">
        <w:rPr>
          <w:rFonts w:ascii="Times New Roman" w:hAnsi="Times New Roman" w:cs="Times New Roman"/>
          <w:b w:val="0"/>
          <w:bCs/>
          <w:sz w:val="24"/>
          <w:szCs w:val="24"/>
        </w:rPr>
        <w:t xml:space="preserve"> do CPC</w:t>
      </w:r>
      <w:r w:rsidRPr="007775ED">
        <w:rPr>
          <w:rFonts w:ascii="Times New Roman" w:hAnsi="Times New Roman" w:cs="Times New Roman"/>
          <w:b w:val="0"/>
          <w:bCs/>
          <w:sz w:val="24"/>
          <w:szCs w:val="24"/>
        </w:rPr>
        <w:t>; e</w:t>
      </w:r>
    </w:p>
    <w:p w14:paraId="1DB8E60C"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w:t>
      </w:r>
    </w:p>
    <w:p w14:paraId="74E6EBBF" w14:textId="77777777" w:rsidR="0021013E"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a</w:t>
      </w:r>
      <w:proofErr w:type="spellEnd"/>
      <w:r w:rsidRPr="007775ED">
        <w:rPr>
          <w:rFonts w:ascii="Times New Roman" w:hAnsi="Times New Roman" w:cs="Times New Roman"/>
          <w:b w:val="0"/>
          <w:bCs/>
          <w:sz w:val="24"/>
          <w:szCs w:val="24"/>
        </w:rPr>
        <w:t xml:space="preserve"> avaliação do impacto que se espera que a aplicação inicial do Pronunciamento</w:t>
      </w:r>
      <w:r w:rsidR="0021013E" w:rsidRPr="007775ED">
        <w:rPr>
          <w:rFonts w:ascii="Times New Roman" w:hAnsi="Times New Roman" w:cs="Times New Roman"/>
          <w:b w:val="0"/>
          <w:bCs/>
          <w:sz w:val="24"/>
          <w:szCs w:val="24"/>
        </w:rPr>
        <w:t xml:space="preserve"> Técnico</w:t>
      </w:r>
      <w:r w:rsidRPr="007775ED">
        <w:rPr>
          <w:rFonts w:ascii="Times New Roman" w:hAnsi="Times New Roman" w:cs="Times New Roman"/>
          <w:b w:val="0"/>
          <w:bCs/>
          <w:sz w:val="24"/>
          <w:szCs w:val="24"/>
        </w:rPr>
        <w:t xml:space="preserve">, Interpretação ou Orientação </w:t>
      </w:r>
      <w:r w:rsidR="0021013E" w:rsidRPr="007775ED">
        <w:rPr>
          <w:rFonts w:ascii="Times New Roman" w:hAnsi="Times New Roman" w:cs="Times New Roman"/>
          <w:b w:val="0"/>
          <w:bCs/>
          <w:sz w:val="24"/>
          <w:szCs w:val="24"/>
        </w:rPr>
        <w:t xml:space="preserve">do CPC </w:t>
      </w:r>
      <w:r w:rsidRPr="007775ED">
        <w:rPr>
          <w:rFonts w:ascii="Times New Roman" w:hAnsi="Times New Roman" w:cs="Times New Roman"/>
          <w:b w:val="0"/>
          <w:bCs/>
          <w:sz w:val="24"/>
          <w:szCs w:val="24"/>
        </w:rPr>
        <w:t>tenha nas demonstrações contábeis da entidade; ou</w:t>
      </w:r>
    </w:p>
    <w:p w14:paraId="5664926B" w14:textId="59EEE6C3" w:rsidR="00953DE8"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esse impacto não for conhecido ou razoavelmente estimável, da explicação acerca dessa impossibilidade.</w:t>
      </w:r>
    </w:p>
    <w:p w14:paraId="6B51E91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de fontes de incerteza na estimativa</w:t>
      </w:r>
    </w:p>
    <w:p w14:paraId="5C779ED2" w14:textId="573B7CBB" w:rsidR="0021013E" w:rsidRPr="007775ED" w:rsidRDefault="00FA283A"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 xml:space="preserve">entidade divulgará informações sobre as premissas que fizer sobre o futuro e outras fontes importantes de incerteza na estimativa no final do </w:t>
      </w:r>
      <w:r w:rsidR="005706F5" w:rsidRPr="007775ED">
        <w:rPr>
          <w:rFonts w:ascii="Times New Roman" w:hAnsi="Times New Roman" w:cs="Times New Roman"/>
          <w:b w:val="0"/>
          <w:bCs/>
          <w:sz w:val="24"/>
          <w:szCs w:val="24"/>
        </w:rPr>
        <w:t>período de reporte</w:t>
      </w:r>
      <w:r w:rsidR="00953DE8" w:rsidRPr="007775ED">
        <w:rPr>
          <w:rFonts w:ascii="Times New Roman" w:hAnsi="Times New Roman" w:cs="Times New Roman"/>
          <w:b w:val="0"/>
          <w:bCs/>
          <w:sz w:val="24"/>
          <w:szCs w:val="24"/>
        </w:rPr>
        <w:t>, que possuam um risco significativo de resultar em um ajuste material nos valores contábeis de ativos e passivos dentro do próximo exercício financeiro. Em relação a esses ativos e passivos, as notas explicativas incluirão detalhes de:</w:t>
      </w:r>
    </w:p>
    <w:p w14:paraId="42183AEC"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sua natureza; e</w:t>
      </w:r>
    </w:p>
    <w:p w14:paraId="7A80B507"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seu valor contábil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54983B5A" w14:textId="601E03B2"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As divulgações do item 31A não são exigidas para ativos e passivos com um risco significativo de que seus valores contábeis possam mudar significativamente dentro do próximo exercício financeiro se,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eles forem mensurados ao valor justo com base em um preço cotado em um mercado ativo para um ativo ou passivo idêntico. Esses valores justos poderiam mudar significativamente dentro do próximo exercício financeiro, porém essas mudanças não se originariam de premissas ou outras fontes de incerteza na estimativa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6F29D677"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Mudanças nas estimativas contábeis</w:t>
      </w:r>
    </w:p>
    <w:p w14:paraId="72392ACD" w14:textId="77777777"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 natureza e o montante de uma mudança em uma estimativa contábil que tenha efeito no período corrente ou que se espera que tenha um efeito em períodos subsequentes, salvo quando a divulgação do efeito de períodos subsequentes for impraticável.</w:t>
      </w:r>
    </w:p>
    <w:p w14:paraId="5CD745BB" w14:textId="20337C6D"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montante do efeito em períodos subsequentes não for divulgado pelo fato de sua estimativa ser impraticável, a entidade deve divulgar tal fato.</w:t>
      </w:r>
    </w:p>
    <w:p w14:paraId="499AED1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Erros</w:t>
      </w:r>
    </w:p>
    <w:p w14:paraId="50AD53FF" w14:textId="09A69F20"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Ao aplicar o item 42 do CPC 23,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deve divulgar:</w:t>
      </w:r>
    </w:p>
    <w:p w14:paraId="7AE59265"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do erro de período anterior;</w:t>
      </w:r>
    </w:p>
    <w:p w14:paraId="056EDBC1"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da retificação para cada período anterior apresentado, na medida em que seja praticável:</w:t>
      </w:r>
    </w:p>
    <w:p w14:paraId="6D5A3F29" w14:textId="77777777" w:rsidR="0021013E"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item afetado da demonstração contábil; e</w:t>
      </w:r>
    </w:p>
    <w:p w14:paraId="1960FF9A" w14:textId="77777777" w:rsidR="0021013E"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CPC 41</w:t>
      </w:r>
      <w:r w:rsidR="0021013E"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se aplicar à entidade, para resultados por ação básicos e diluídos;</w:t>
      </w:r>
    </w:p>
    <w:p w14:paraId="3FA99AE2"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da retificação no início do período anterior mais antigo apresentado; e</w:t>
      </w:r>
    </w:p>
    <w:p w14:paraId="4B7FC232" w14:textId="452BE2D3"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circunstâncias que levaram à existência dessa condição e uma descrição de como e a partir de quando o erro foi corrigido, se a reapresentação retrospectiva for impraticável para um período anterior em particular.</w:t>
      </w:r>
    </w:p>
    <w:p w14:paraId="7F49E542"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no CPC 23 que continuam aplicáveis</w:t>
      </w:r>
    </w:p>
    <w:p w14:paraId="50ED00CC" w14:textId="5672F120"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aplicar os requisitos de divulgação nos itens 6A, 6C(c) e 6K do CPC 23.</w:t>
      </w:r>
    </w:p>
    <w:p w14:paraId="2F447AA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24 – Evento subsequente</w:t>
      </w:r>
    </w:p>
    <w:p w14:paraId="71218199"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Data de autorização para emissão</w:t>
      </w:r>
    </w:p>
    <w:p w14:paraId="2D75C83D" w14:textId="0DA7AB67"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 data em que foi concedida a autorização para emissão das demonstrações contábeis e quem forneceu tal autorização. Se os sócios da entidade ou outros tiverem o poder de alterar as demonstrações contábeis após sua emissão, a entidade deve divulgar esse fato.</w:t>
      </w:r>
    </w:p>
    <w:p w14:paraId="1A8F972A" w14:textId="7FED94D5"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Atualização de divulgação sobre condições no fi</w:t>
      </w:r>
      <w:r w:rsidR="00693EC7" w:rsidRPr="007775ED">
        <w:rPr>
          <w:rFonts w:ascii="Times New Roman" w:hAnsi="Times New Roman" w:cs="Times New Roman"/>
          <w:b w:val="0"/>
          <w:bCs/>
          <w:i/>
          <w:iCs/>
          <w:sz w:val="24"/>
          <w:szCs w:val="24"/>
        </w:rPr>
        <w:t>m</w:t>
      </w:r>
      <w:r w:rsidRPr="007775ED">
        <w:rPr>
          <w:rFonts w:ascii="Times New Roman" w:hAnsi="Times New Roman" w:cs="Times New Roman"/>
          <w:b w:val="0"/>
          <w:bCs/>
          <w:i/>
          <w:iCs/>
          <w:sz w:val="24"/>
          <w:szCs w:val="24"/>
        </w:rPr>
        <w:t xml:space="preserve"> do </w:t>
      </w:r>
      <w:r w:rsidR="005706F5" w:rsidRPr="007775ED">
        <w:rPr>
          <w:rFonts w:ascii="Times New Roman" w:hAnsi="Times New Roman" w:cs="Times New Roman"/>
          <w:b w:val="0"/>
          <w:bCs/>
          <w:i/>
          <w:iCs/>
          <w:sz w:val="24"/>
          <w:szCs w:val="24"/>
        </w:rPr>
        <w:t>período de reporte</w:t>
      </w:r>
    </w:p>
    <w:p w14:paraId="11A6F948" w14:textId="72F74DDB"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Se a entidade, após o período a que se referem as demonstrações contábeis, receber informações sobre condições que existiam até aquela data, deve atualizar a divulgação que se relaciona a essas condições, à luz das novas informações.</w:t>
      </w:r>
    </w:p>
    <w:p w14:paraId="4DB5FC86" w14:textId="43149B2D"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Eventos após o </w:t>
      </w:r>
      <w:r w:rsidR="005706F5" w:rsidRPr="007775ED">
        <w:rPr>
          <w:rFonts w:ascii="Times New Roman" w:hAnsi="Times New Roman" w:cs="Times New Roman"/>
          <w:b w:val="0"/>
          <w:bCs/>
          <w:i/>
          <w:iCs/>
          <w:sz w:val="24"/>
          <w:szCs w:val="24"/>
        </w:rPr>
        <w:t>período de reporte</w:t>
      </w:r>
      <w:r w:rsidRPr="007775ED">
        <w:rPr>
          <w:rFonts w:ascii="Times New Roman" w:hAnsi="Times New Roman" w:cs="Times New Roman"/>
          <w:b w:val="0"/>
          <w:bCs/>
          <w:i/>
          <w:iCs/>
          <w:sz w:val="24"/>
          <w:szCs w:val="24"/>
        </w:rPr>
        <w:t xml:space="preserve"> que não originam ajustes</w:t>
      </w:r>
    </w:p>
    <w:p w14:paraId="2E4C6494" w14:textId="77777777"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as seguintes informações para cada categoria significativa de eventos subsequentes ao período contábil a que se referem as demonstrações contábeis que não originam ajustes:</w:t>
      </w:r>
    </w:p>
    <w:p w14:paraId="3D2EBBA5"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do evento; e</w:t>
      </w:r>
    </w:p>
    <w:p w14:paraId="38A3FC5C"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estimativa de seu efeito financeiro ou uma declaração de que tal estimativa não pode ser feita.</w:t>
      </w:r>
    </w:p>
    <w:p w14:paraId="140AF918" w14:textId="77777777" w:rsidR="0021013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Exemplos de eventos subsequentes ao período contábil a que se referem as demonstrações contábeis que não originam ajustes, os quais normalmente resultam em divulgação:</w:t>
      </w:r>
    </w:p>
    <w:p w14:paraId="7697B421" w14:textId="5873BDE4"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combinação de negócios importante após o período contábil a que se referem as demonstrações contábeis (o CPC 15 exige divulgação específica em tais casos) ou a </w:t>
      </w:r>
      <w:r w:rsidR="00F80B6B" w:rsidRPr="007775ED">
        <w:rPr>
          <w:rFonts w:ascii="Times New Roman" w:hAnsi="Times New Roman" w:cs="Times New Roman"/>
          <w:b w:val="0"/>
          <w:bCs/>
          <w:sz w:val="24"/>
          <w:szCs w:val="24"/>
        </w:rPr>
        <w:t xml:space="preserve">venda </w:t>
      </w:r>
      <w:r w:rsidRPr="007775ED">
        <w:rPr>
          <w:rFonts w:ascii="Times New Roman" w:hAnsi="Times New Roman" w:cs="Times New Roman"/>
          <w:b w:val="0"/>
          <w:bCs/>
          <w:sz w:val="24"/>
          <w:szCs w:val="24"/>
        </w:rPr>
        <w:t xml:space="preserve">de uma </w:t>
      </w:r>
      <w:r w:rsidR="00C20535" w:rsidRPr="007775ED">
        <w:rPr>
          <w:rFonts w:ascii="Times New Roman" w:hAnsi="Times New Roman" w:cs="Times New Roman"/>
          <w:b w:val="0"/>
          <w:bCs/>
          <w:sz w:val="24"/>
          <w:szCs w:val="24"/>
        </w:rPr>
        <w:t xml:space="preserve">controlada </w:t>
      </w:r>
      <w:r w:rsidRPr="007775ED">
        <w:rPr>
          <w:rFonts w:ascii="Times New Roman" w:hAnsi="Times New Roman" w:cs="Times New Roman"/>
          <w:b w:val="0"/>
          <w:bCs/>
          <w:sz w:val="24"/>
          <w:szCs w:val="24"/>
        </w:rPr>
        <w:t>importante;</w:t>
      </w:r>
    </w:p>
    <w:p w14:paraId="382E2819"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anúncio de plano para descontinuar uma operação;</w:t>
      </w:r>
    </w:p>
    <w:p w14:paraId="1129B8BB" w14:textId="6482579C"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compras importantes de ativos, classificação de ativos como mantidos para venda de acordo com o CPC 31, outras </w:t>
      </w:r>
      <w:r w:rsidR="00F80B6B" w:rsidRPr="007775ED">
        <w:rPr>
          <w:rFonts w:ascii="Times New Roman" w:hAnsi="Times New Roman" w:cs="Times New Roman"/>
          <w:b w:val="0"/>
          <w:bCs/>
          <w:sz w:val="24"/>
          <w:szCs w:val="24"/>
        </w:rPr>
        <w:t xml:space="preserve">vendas </w:t>
      </w:r>
      <w:r w:rsidRPr="007775ED">
        <w:rPr>
          <w:rFonts w:ascii="Times New Roman" w:hAnsi="Times New Roman" w:cs="Times New Roman"/>
          <w:b w:val="0"/>
          <w:bCs/>
          <w:sz w:val="24"/>
          <w:szCs w:val="24"/>
        </w:rPr>
        <w:t>de ativos ou desapropriações de ativos importantes pelo governo;</w:t>
      </w:r>
    </w:p>
    <w:p w14:paraId="7C27467A"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destruição por incêndio de instalação de produção importante após o período contábil a que se referem as demonstrações contábeis;</w:t>
      </w:r>
    </w:p>
    <w:p w14:paraId="41DF5E7B" w14:textId="757AC0EA"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anúncio ou início da implementação de reestruturação importante (ver CPC 25);</w:t>
      </w:r>
    </w:p>
    <w:p w14:paraId="51A5A980" w14:textId="77777777" w:rsidR="0021013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transações importantes, efetivas e potenciais, envolvendo ações ordinárias subsequentes ao período contábil a que se referem as demonstrações contábeis; </w:t>
      </w:r>
    </w:p>
    <w:p w14:paraId="55D69E48"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alterações extraordinariamente grandes nos preços dos ativos ou nas taxas de câmbio após o período contábil a que se referem as demonstrações contábeis;</w:t>
      </w:r>
    </w:p>
    <w:p w14:paraId="121674A5" w14:textId="5F46AFF1"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alterações nas alíquotas de </w:t>
      </w:r>
      <w:r w:rsidR="00927DE1" w:rsidRPr="007775ED">
        <w:rPr>
          <w:rFonts w:ascii="Times New Roman" w:hAnsi="Times New Roman" w:cs="Times New Roman"/>
          <w:b w:val="0"/>
          <w:bCs/>
          <w:sz w:val="24"/>
          <w:szCs w:val="24"/>
        </w:rPr>
        <w:t xml:space="preserve">tributos </w:t>
      </w:r>
      <w:r w:rsidRPr="007775ED">
        <w:rPr>
          <w:rFonts w:ascii="Times New Roman" w:hAnsi="Times New Roman" w:cs="Times New Roman"/>
          <w:b w:val="0"/>
          <w:bCs/>
          <w:sz w:val="24"/>
          <w:szCs w:val="24"/>
        </w:rPr>
        <w:t>ou na legislação tributária, promulgadas ou anunciadas após o período contábil a que se referem as demonstrações contábeis que tenham efeito significativo sobre os ativos e passivos fiscais correntes e diferidos (ver CPC 32);</w:t>
      </w:r>
    </w:p>
    <w:p w14:paraId="56A12855"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assunção de compromissos ou de contingência passiva significativa, por exemplo, por meio da concessão de garantias significativas; e</w:t>
      </w:r>
    </w:p>
    <w:p w14:paraId="5EBFDA06" w14:textId="2C33B485"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início de litígio importante, proveniente exclusivamente de eventos que aconteceram após o período contábil a que se referem as demonstrações contábeis.</w:t>
      </w:r>
    </w:p>
    <w:p w14:paraId="011BF6A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32 – Tributos sobre o lucro</w:t>
      </w:r>
    </w:p>
    <w:p w14:paraId="1CFBE0DA" w14:textId="77777777" w:rsidR="001C1CE7"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Os principais componentes da despesa (receita) tributária devem ser divulgados separadamente</w:t>
      </w:r>
      <w:r w:rsidR="001C1CE7" w:rsidRPr="007775ED">
        <w:rPr>
          <w:rFonts w:ascii="Times New Roman" w:hAnsi="Times New Roman" w:cs="Times New Roman"/>
          <w:b w:val="0"/>
          <w:bCs/>
          <w:sz w:val="24"/>
          <w:szCs w:val="24"/>
        </w:rPr>
        <w:t>.</w:t>
      </w:r>
    </w:p>
    <w:p w14:paraId="2EB1E580" w14:textId="77777777" w:rsidR="001C1CE7"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componentes da despesa (receita) tributária podem incluir:</w:t>
      </w:r>
    </w:p>
    <w:p w14:paraId="4CCC169A"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 (receita) tributária corrente;</w:t>
      </w:r>
    </w:p>
    <w:p w14:paraId="048B2EA3" w14:textId="4F30EEAC"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quaisquer ajustes reconhecidos no período para </w:t>
      </w:r>
      <w:r w:rsidR="00927DE1" w:rsidRPr="007775ED">
        <w:rPr>
          <w:rFonts w:ascii="Times New Roman" w:hAnsi="Times New Roman" w:cs="Times New Roman"/>
          <w:b w:val="0"/>
          <w:bCs/>
          <w:sz w:val="24"/>
          <w:szCs w:val="24"/>
        </w:rPr>
        <w:t xml:space="preserve">tributos </w:t>
      </w:r>
      <w:r w:rsidRPr="007775ED">
        <w:rPr>
          <w:rFonts w:ascii="Times New Roman" w:hAnsi="Times New Roman" w:cs="Times New Roman"/>
          <w:b w:val="0"/>
          <w:bCs/>
          <w:sz w:val="24"/>
          <w:szCs w:val="24"/>
        </w:rPr>
        <w:t>corrente</w:t>
      </w:r>
      <w:r w:rsidR="00927DE1"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de períodos anteriores;</w:t>
      </w:r>
    </w:p>
    <w:p w14:paraId="094C2F9F" w14:textId="13D9D621"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da despesa (receita) com tributo</w:t>
      </w:r>
      <w:r w:rsidR="00927DE1"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diferido</w:t>
      </w:r>
      <w:r w:rsidR="00927DE1"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relacionado com a origem e a reversão de diferenças temporárias;</w:t>
      </w:r>
    </w:p>
    <w:p w14:paraId="4D08865A" w14:textId="21A8026E"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da despesa (receita) com tributo</w:t>
      </w:r>
      <w:r w:rsidR="00927DE1"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diferido</w:t>
      </w:r>
      <w:r w:rsidR="00927DE1"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relacionado a mudanças nas alíquotas do tributo ou imposição de novos tributos; </w:t>
      </w:r>
    </w:p>
    <w:p w14:paraId="2EAFA651"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dos benefícios provenientes de prejuízo fiscal não reconhecido previamente, crédito fiscal ou diferença temporária de período anterior, o qual é utilizado para reduzir a despesa tributária corrente;</w:t>
      </w:r>
    </w:p>
    <w:p w14:paraId="5F9E1D01"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do benefício de prejuízo fiscal, crédito fiscal ou diferença temporária não reconhecida previamente de período anterior, o qual é utilizado para reduzir a despesa com tributo diferido;</w:t>
      </w:r>
    </w:p>
    <w:p w14:paraId="68D02512"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 com tributo diferido proveniente da baixa, ou reversão de baixa anterior, de ativo fiscal diferido de acordo com item 56 do CPC 32; e</w:t>
      </w:r>
    </w:p>
    <w:p w14:paraId="2E02B400" w14:textId="41DDFD70"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valor da despesa (receita) tributária relacionada àquelas alterações nas políticas e aos erros contábeis que estão incluídos em lucros ou prejuízos de acordo com </w:t>
      </w:r>
      <w:r w:rsidR="004F413D" w:rsidRPr="007775ED">
        <w:rPr>
          <w:rFonts w:ascii="Times New Roman" w:hAnsi="Times New Roman" w:cs="Times New Roman"/>
          <w:b w:val="0"/>
          <w:bCs/>
          <w:sz w:val="24"/>
          <w:szCs w:val="24"/>
        </w:rPr>
        <w:t xml:space="preserve">o </w:t>
      </w:r>
      <w:r w:rsidR="00820A39" w:rsidRPr="007775ED">
        <w:rPr>
          <w:rFonts w:ascii="Times New Roman" w:hAnsi="Times New Roman" w:cs="Times New Roman"/>
          <w:b w:val="0"/>
          <w:bCs/>
          <w:sz w:val="24"/>
          <w:szCs w:val="24"/>
        </w:rPr>
        <w:t>CPC 23</w:t>
      </w:r>
      <w:r w:rsidRPr="007775ED">
        <w:rPr>
          <w:rFonts w:ascii="Times New Roman" w:hAnsi="Times New Roman" w:cs="Times New Roman"/>
          <w:b w:val="0"/>
          <w:bCs/>
          <w:sz w:val="24"/>
          <w:szCs w:val="24"/>
        </w:rPr>
        <w:t>, porque tais valores não podem ser contabilizadas retrospectivamente</w:t>
      </w:r>
    </w:p>
    <w:p w14:paraId="562D032E" w14:textId="77777777" w:rsidR="001C1CE7"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também deve divulgar separadamente:</w:t>
      </w:r>
    </w:p>
    <w:p w14:paraId="14168420" w14:textId="42D0E92B"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tributos diferido</w:t>
      </w:r>
      <w:r w:rsidR="001C1CE7"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e corrente</w:t>
      </w:r>
      <w:r w:rsidR="001C1CE7" w:rsidRPr="007775ED">
        <w:rPr>
          <w:rFonts w:ascii="Times New Roman" w:hAnsi="Times New Roman" w:cs="Times New Roman"/>
          <w:b w:val="0"/>
          <w:bCs/>
          <w:sz w:val="24"/>
          <w:szCs w:val="24"/>
        </w:rPr>
        <w:t>s</w:t>
      </w:r>
      <w:r w:rsidRPr="007775ED">
        <w:rPr>
          <w:rFonts w:ascii="Times New Roman" w:hAnsi="Times New Roman" w:cs="Times New Roman"/>
          <w:b w:val="0"/>
          <w:bCs/>
          <w:sz w:val="24"/>
          <w:szCs w:val="24"/>
        </w:rPr>
        <w:t xml:space="preserve"> somados relacionados com os itens que são debitados ou creditados diretamente no patrimônio líquido (ver item 62A d</w:t>
      </w:r>
      <w:r w:rsidR="00437FA2" w:rsidRPr="007775ED">
        <w:rPr>
          <w:rFonts w:ascii="Times New Roman" w:hAnsi="Times New Roman" w:cs="Times New Roman"/>
          <w:b w:val="0"/>
          <w:bCs/>
          <w:sz w:val="24"/>
          <w:szCs w:val="24"/>
        </w:rPr>
        <w:t>o CPC</w:t>
      </w:r>
      <w:r w:rsidRPr="007775ED">
        <w:rPr>
          <w:rFonts w:ascii="Times New Roman" w:hAnsi="Times New Roman" w:cs="Times New Roman"/>
          <w:b w:val="0"/>
          <w:bCs/>
          <w:sz w:val="24"/>
          <w:szCs w:val="24"/>
        </w:rPr>
        <w:t xml:space="preserve"> 32);</w:t>
      </w:r>
    </w:p>
    <w:p w14:paraId="009D34B5" w14:textId="59B8B4BC"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do tributo sobre o lucro relacionado a cada componente de outros resultados abrangentes (ver item 62 do CPC 32 e item 93 d</w:t>
      </w:r>
      <w:r w:rsidR="00437FA2" w:rsidRPr="007775ED">
        <w:rPr>
          <w:rFonts w:ascii="Times New Roman" w:hAnsi="Times New Roman" w:cs="Times New Roman"/>
          <w:b w:val="0"/>
          <w:bCs/>
          <w:sz w:val="24"/>
          <w:szCs w:val="24"/>
        </w:rPr>
        <w:t>o CPC</w:t>
      </w:r>
      <w:r w:rsidR="006E6079" w:rsidRPr="007775ED">
        <w:rPr>
          <w:rFonts w:ascii="Times New Roman" w:hAnsi="Times New Roman" w:cs="Times New Roman"/>
          <w:b w:val="0"/>
          <w:bCs/>
          <w:sz w:val="24"/>
          <w:szCs w:val="24"/>
        </w:rPr>
        <w:t xml:space="preserve"> 51</w:t>
      </w:r>
      <w:r w:rsidRPr="007775ED">
        <w:rPr>
          <w:rFonts w:ascii="Times New Roman" w:hAnsi="Times New Roman" w:cs="Times New Roman"/>
          <w:b w:val="0"/>
          <w:bCs/>
          <w:sz w:val="24"/>
          <w:szCs w:val="24"/>
        </w:rPr>
        <w:t>);</w:t>
      </w:r>
    </w:p>
    <w:p w14:paraId="3151B117"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explicação do relacionamento entre a despesa (receita) tributária e o lucro contábil em uma ou em ambas as seguintes formas:</w:t>
      </w:r>
    </w:p>
    <w:p w14:paraId="43DD1D3F" w14:textId="77777777" w:rsidR="001C1CE7"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conciliação numérica entre despesa (receita) tributária e o produto do lucro contábil multiplicado pelas alíquotas aplicáveis de tributos, evidenciando também as bases sobre as quais as alíquotas aplicáveis de tributos estão sendo computadas; ou</w:t>
      </w:r>
    </w:p>
    <w:p w14:paraId="7048AAE6" w14:textId="77777777" w:rsidR="001C1CE7"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conciliação numérica entre a alíquota média efetiva de tributo e a alíquota aplicável, divulgando também a base sobre a qual a alíquota aplicável de tributo é computada;</w:t>
      </w:r>
    </w:p>
    <w:p w14:paraId="01B26431"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explicação das alterações nas alíquotas aplicáveis de tributos comparadas com o período contábil anterior; </w:t>
      </w:r>
    </w:p>
    <w:p w14:paraId="5564F84D"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(e a data de expiração, se houver) das diferenças temporárias dedutíveis, prejuízos fiscais não utilizados, e créditos fiscais não utilizados para os quais nenhum ativo fiscal diferido está sendo reconhecido no balanço patrimonial; e</w:t>
      </w:r>
    </w:p>
    <w:p w14:paraId="5EBE8872" w14:textId="77777777" w:rsidR="001C1CE7"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 relação a cada tipo de diferença temporária e a cada tipo de prejuízos fiscais não utilizados e créditos fiscais não utilizados:</w:t>
      </w:r>
    </w:p>
    <w:p w14:paraId="2CF794F8" w14:textId="77777777" w:rsidR="001C1CE7"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dos ativos e passivos fiscais diferidos reconhecidos no balanço patrimonial para cada período apresentado; e</w:t>
      </w:r>
    </w:p>
    <w:p w14:paraId="1B83DB96" w14:textId="77777777" w:rsidR="001C1CE7"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 da receita ou despesa fiscal diferida reconhecida no resultado, se esta não é evidente a partir das alterações nos valores reconhecidos no balanço.</w:t>
      </w:r>
    </w:p>
    <w:p w14:paraId="12A63A75" w14:textId="721B471B"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Nas circunstâncias descritas no item 52A do CPC 32, a entidade deve divulgar a natureza dos potenciais efeitos do tributo sobre o lucro que resultariam do pagamento de dividendos aos seus sócios.</w:t>
      </w:r>
    </w:p>
    <w:p w14:paraId="0E1D5B65"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Reforma tributária internacional – Regras modelo do Pilar Dois</w:t>
      </w:r>
    </w:p>
    <w:p w14:paraId="697D860B" w14:textId="77777777" w:rsidR="001C1CE7"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deverá divulgar que aplicou a exceção de reconhecimento e divulgação de informações sobre ativos e passivos fiscais diferidos relacionados aos tributos sobre o lucro do Pilar Dois (ver item 4A do CPC 32).</w:t>
      </w:r>
    </w:p>
    <w:p w14:paraId="0D532A26" w14:textId="7ABC480E" w:rsidR="001C1CE7"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deverá divulgar separadamente sua despesa (receita) </w:t>
      </w:r>
      <w:r w:rsidR="00927DE1" w:rsidRPr="007775ED">
        <w:rPr>
          <w:rFonts w:ascii="Times New Roman" w:hAnsi="Times New Roman" w:cs="Times New Roman"/>
          <w:b w:val="0"/>
          <w:bCs/>
          <w:sz w:val="24"/>
          <w:szCs w:val="24"/>
        </w:rPr>
        <w:t xml:space="preserve">tributária </w:t>
      </w:r>
      <w:r w:rsidRPr="007775ED">
        <w:rPr>
          <w:rFonts w:ascii="Times New Roman" w:hAnsi="Times New Roman" w:cs="Times New Roman"/>
          <w:b w:val="0"/>
          <w:bCs/>
          <w:sz w:val="24"/>
          <w:szCs w:val="24"/>
        </w:rPr>
        <w:t>corrente relacionada aos tributos sobre o lucro do Pilar Dois.</w:t>
      </w:r>
    </w:p>
    <w:p w14:paraId="1AB29B00" w14:textId="3F2851EE" w:rsidR="001C1CE7"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Excluído.</w:t>
      </w:r>
    </w:p>
    <w:p w14:paraId="57F78CAA" w14:textId="08DBE384" w:rsidR="00953DE8"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FC554B">
        <w:rPr>
          <w:rFonts w:ascii="Times New Roman" w:hAnsi="Times New Roman" w:cs="Times New Roman"/>
          <w:b w:val="0"/>
          <w:bCs/>
          <w:sz w:val="24"/>
          <w:szCs w:val="24"/>
        </w:rPr>
        <w:t>Nos períodos em que a legislação do Pilar Dois estiver aprovada ou substantivamente aprovada, mas ainda não estiver em vigor, a entidade deve divulgar informações qualitativas e quantitativas conhecidas ou razoavelmente estimáveis sobre sua exposição aos tributos sobre o lucro do Pilar Dois ao final do período de reporte.</w:t>
      </w:r>
      <w:r w:rsidR="00953DE8" w:rsidRPr="007775ED">
        <w:rPr>
          <w:rFonts w:ascii="Times New Roman" w:hAnsi="Times New Roman" w:cs="Times New Roman"/>
          <w:b w:val="0"/>
          <w:bCs/>
          <w:sz w:val="24"/>
          <w:szCs w:val="24"/>
        </w:rPr>
        <w:t xml:space="preserve"> Essas informações não precisam refletir todos os requisitos específicos da legislação do Pilar Dois e podem ser fornecidas na forma de uma faixa indicativa. Na medida em que as informações não forem conhecidas ou razoavelmente estimáveis, a entidade deverá, em vez disso, divulgar uma declaração nesse sentido e informações sobre o progresso da entidade na avaliação de sua exposição.</w:t>
      </w:r>
    </w:p>
    <w:p w14:paraId="4EDC42A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27 – Ativo Imobilizado</w:t>
      </w:r>
    </w:p>
    <w:p w14:paraId="2C983A7B" w14:textId="77777777" w:rsidR="0077161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classe do ativo imobilizado:</w:t>
      </w:r>
    </w:p>
    <w:p w14:paraId="72657D15"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critérios de mensuração utilizados para determinar o valor contábil bruto;</w:t>
      </w:r>
    </w:p>
    <w:p w14:paraId="642119A9"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métodos de depreciação utilizados;</w:t>
      </w:r>
    </w:p>
    <w:p w14:paraId="10701782"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vidas úteis ou taxas de depreciação utilizadas;</w:t>
      </w:r>
    </w:p>
    <w:p w14:paraId="4F34F45E"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o valor contábil bruto e a depreciação acumulada (mais as perdas por redução ao valor recuperável acumuladas) no início e no final do período; e</w:t>
      </w:r>
    </w:p>
    <w:p w14:paraId="266B3860"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conciliação do valor contábil no início e no final do período demonstrando:</w:t>
      </w:r>
    </w:p>
    <w:p w14:paraId="509AC014"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adições;</w:t>
      </w:r>
    </w:p>
    <w:p w14:paraId="4CB62772" w14:textId="50DB7EFB"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classificados como mantidos para venda ou incluídos em um grupo </w:t>
      </w:r>
      <w:r w:rsidR="00C20535" w:rsidRPr="007775ED">
        <w:rPr>
          <w:rFonts w:ascii="Times New Roman" w:hAnsi="Times New Roman" w:cs="Times New Roman"/>
          <w:b w:val="0"/>
          <w:bCs/>
          <w:sz w:val="24"/>
          <w:szCs w:val="24"/>
        </w:rPr>
        <w:t xml:space="preserve">de ativos </w:t>
      </w:r>
      <w:r w:rsidRPr="007775ED">
        <w:rPr>
          <w:rFonts w:ascii="Times New Roman" w:hAnsi="Times New Roman" w:cs="Times New Roman"/>
          <w:b w:val="0"/>
          <w:bCs/>
          <w:sz w:val="24"/>
          <w:szCs w:val="24"/>
        </w:rPr>
        <w:t xml:space="preserve">classificados como mantidos para venda de acordo com o CPC 31 e outras baixas; </w:t>
      </w:r>
    </w:p>
    <w:p w14:paraId="5FAA41C4"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aquisições por meio de combinações de negócios;</w:t>
      </w:r>
    </w:p>
    <w:p w14:paraId="256301EB" w14:textId="3BA3C584"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aumentos ou reduções decorrentes de reavaliações nos termos dos itens 31, 39 e 40 do CPC 27 </w:t>
      </w:r>
      <w:r w:rsidR="005A09B2" w:rsidRPr="007775ED">
        <w:rPr>
          <w:rFonts w:ascii="Times New Roman" w:hAnsi="Times New Roman" w:cs="Times New Roman"/>
          <w:b w:val="0"/>
          <w:bCs/>
          <w:sz w:val="24"/>
          <w:szCs w:val="24"/>
        </w:rPr>
        <w:t xml:space="preserve">(se permitido por Lei) </w:t>
      </w:r>
      <w:r w:rsidRPr="007775ED">
        <w:rPr>
          <w:rFonts w:ascii="Times New Roman" w:hAnsi="Times New Roman" w:cs="Times New Roman"/>
          <w:b w:val="0"/>
          <w:bCs/>
          <w:sz w:val="24"/>
          <w:szCs w:val="24"/>
        </w:rPr>
        <w:t>e perdas por redução ao valor recuperável de ativos reconhecidas ou revertidas diretamente no patrimônio líquido de acordo com o CPC 01;</w:t>
      </w:r>
    </w:p>
    <w:p w14:paraId="5F8C761B"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provisões para perdas de ativos, reconhecidas no resultado, de acordo com o CPC 01;</w:t>
      </w:r>
    </w:p>
    <w:p w14:paraId="0DA7E705"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reversão de perda por redução ao valor recuperável de ativos, apropriada no resultado, de acordo com o CPC 01;</w:t>
      </w:r>
    </w:p>
    <w:p w14:paraId="409A9EA0"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depreciações; e</w:t>
      </w:r>
    </w:p>
    <w:p w14:paraId="663B4DF1"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alterações.</w:t>
      </w:r>
    </w:p>
    <w:p w14:paraId="241D9546" w14:textId="77777777" w:rsidR="0077161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também deve divulgar:</w:t>
      </w:r>
    </w:p>
    <w:p w14:paraId="2BEA1A1B"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existência e os valores contábeis de ativos cuja titularidade é restrita, como os ativos imobilizados formalmente ou na essência oferecidos como garantia de obrigações; e</w:t>
      </w:r>
    </w:p>
    <w:p w14:paraId="0B9EEABB"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compromissos contratuais para a aquisição de ativos imobilizados.</w:t>
      </w:r>
    </w:p>
    <w:p w14:paraId="645DDD91" w14:textId="77E7BC2B" w:rsidR="00771612" w:rsidRPr="007775ED" w:rsidRDefault="00D14122"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w:t>
      </w:r>
      <w:r w:rsidR="00953DE8" w:rsidRPr="007775ED">
        <w:rPr>
          <w:rFonts w:ascii="Times New Roman" w:hAnsi="Times New Roman" w:cs="Times New Roman"/>
          <w:b w:val="0"/>
          <w:bCs/>
          <w:sz w:val="24"/>
          <w:szCs w:val="24"/>
        </w:rPr>
        <w:t xml:space="preserve">aso os itens do ativo imobilizado sejam contabilizados a valores reavaliados, quando isso for permitido </w:t>
      </w:r>
      <w:r w:rsidR="005A09B2" w:rsidRPr="007775ED">
        <w:rPr>
          <w:rFonts w:ascii="Times New Roman" w:hAnsi="Times New Roman" w:cs="Times New Roman"/>
          <w:b w:val="0"/>
          <w:bCs/>
          <w:sz w:val="24"/>
          <w:szCs w:val="24"/>
        </w:rPr>
        <w:t>por Lei</w:t>
      </w:r>
      <w:r w:rsidR="00953DE8" w:rsidRPr="007775ED">
        <w:rPr>
          <w:rFonts w:ascii="Times New Roman" w:hAnsi="Times New Roman" w:cs="Times New Roman"/>
          <w:b w:val="0"/>
          <w:bCs/>
          <w:sz w:val="24"/>
          <w:szCs w:val="24"/>
        </w:rPr>
        <w:t>, a entidade deve divulgar, além das divulgações exigidas pelos itens 95–97, o seguinte:</w:t>
      </w:r>
    </w:p>
    <w:p w14:paraId="65A0A1CF"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data efetiva da reavaliação;</w:t>
      </w:r>
    </w:p>
    <w:p w14:paraId="4F142C84"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foi ou não utilizado avaliador independente;</w:t>
      </w:r>
    </w:p>
    <w:p w14:paraId="57D353D4"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cada classe de ativo imobilizado reavaliado, o valor contábil que teria sido reconhecido se os ativos tivessem sido contabilizados de acordo com o método de custo; e</w:t>
      </w:r>
    </w:p>
    <w:p w14:paraId="253231A0" w14:textId="4BD2249C"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reserva de reavaliação, indicando a mudança do período e quaisquer restrições na distribuição do saldo aos acionistas.</w:t>
      </w:r>
    </w:p>
    <w:p w14:paraId="11A68C96" w14:textId="3C61C2F2"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33 – Benefícios a Empregados</w:t>
      </w:r>
    </w:p>
    <w:p w14:paraId="3D6C1894"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lastRenderedPageBreak/>
        <w:t>Benefícios pós-emprego: planos de contribuição definida</w:t>
      </w:r>
    </w:p>
    <w:p w14:paraId="76F7C78B" w14:textId="7815119F"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o montante reconhecido como despesa para os planos de contribuição definida.</w:t>
      </w:r>
    </w:p>
    <w:p w14:paraId="1AAF214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Benefícios pós-emprego: planos de benefício definido</w:t>
      </w:r>
    </w:p>
    <w:p w14:paraId="4B9C44FC" w14:textId="749B1BCE"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avaliar se a totalidade ou parte das divulgações requeridas pelos itens 205–215 deve ser desagregada para distinguir planos ou grupos de planos com riscos significativamente diferentes.</w:t>
      </w:r>
    </w:p>
    <w:p w14:paraId="450F471F"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Características de planos de benefício definido</w:t>
      </w:r>
    </w:p>
    <w:p w14:paraId="7628465A" w14:textId="38429088"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informações sobre as características de seus planos de benefício definido.</w:t>
      </w:r>
    </w:p>
    <w:p w14:paraId="021FDF96" w14:textId="46A8F25C"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Explicação de valores das </w:t>
      </w:r>
      <w:r w:rsidR="006E6079" w:rsidRPr="007775ED">
        <w:rPr>
          <w:rFonts w:ascii="Times New Roman" w:hAnsi="Times New Roman" w:cs="Times New Roman"/>
          <w:b w:val="0"/>
          <w:bCs/>
          <w:i/>
          <w:iCs/>
          <w:sz w:val="24"/>
          <w:szCs w:val="24"/>
        </w:rPr>
        <w:t>demonstrações contábeis</w:t>
      </w:r>
    </w:p>
    <w:p w14:paraId="1D4F8288" w14:textId="77777777" w:rsidR="00771612" w:rsidRPr="007775ED" w:rsidRDefault="00771612"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w:t>
      </w:r>
      <w:r w:rsidR="00953DE8" w:rsidRPr="007775ED">
        <w:rPr>
          <w:rFonts w:ascii="Times New Roman" w:hAnsi="Times New Roman" w:cs="Times New Roman"/>
          <w:b w:val="0"/>
          <w:bCs/>
          <w:sz w:val="24"/>
          <w:szCs w:val="24"/>
        </w:rPr>
        <w:t xml:space="preserve"> entidade deve fornecer uma conciliação entre o saldo de abertura e o saldo de fechamento para cada um dos itens a seguir, se aplicáveis:</w:t>
      </w:r>
    </w:p>
    <w:p w14:paraId="1A14348F"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passivo (ativo) de benefício definido líquido, apresentando conciliações separadas para:</w:t>
      </w:r>
    </w:p>
    <w:p w14:paraId="5340332C"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ativos do plano; e</w:t>
      </w:r>
    </w:p>
    <w:p w14:paraId="39880CCC" w14:textId="77777777" w:rsidR="00771612"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presente da obrigação de benefício definido; e</w:t>
      </w:r>
    </w:p>
    <w:p w14:paraId="5DDE20F3"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quaisquer direitos a reembolso.</w:t>
      </w:r>
    </w:p>
    <w:p w14:paraId="7FA3F715" w14:textId="77777777" w:rsidR="0077161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Cada conciliação listada no item 206 deve apresentar cada um dos itens a seguir, se aplicáveis:</w:t>
      </w:r>
    </w:p>
    <w:p w14:paraId="499CB50C"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custo do serviço corrente;</w:t>
      </w:r>
    </w:p>
    <w:p w14:paraId="313D81CD"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receita ou despesa de juros;</w:t>
      </w:r>
    </w:p>
    <w:p w14:paraId="1987EF37"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remensurações</w:t>
      </w:r>
      <w:proofErr w:type="spellEnd"/>
      <w:r w:rsidRPr="007775ED">
        <w:rPr>
          <w:rFonts w:ascii="Times New Roman" w:hAnsi="Times New Roman" w:cs="Times New Roman"/>
          <w:b w:val="0"/>
          <w:bCs/>
          <w:sz w:val="24"/>
          <w:szCs w:val="24"/>
        </w:rPr>
        <w:t xml:space="preserve"> do valor líquido de passivo (ativo) de benefício definido, apresentando separadamente o retorno sobre os ativos do plano, excluindo valores de juros considerados em (b);</w:t>
      </w:r>
    </w:p>
    <w:p w14:paraId="53778CC0"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custo do serviço passado;</w:t>
      </w:r>
    </w:p>
    <w:p w14:paraId="011CDA02"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contribuições feitas para o plano; e</w:t>
      </w:r>
    </w:p>
    <w:p w14:paraId="2A240D2D"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pagamentos provenientes do plano.</w:t>
      </w:r>
    </w:p>
    <w:p w14:paraId="2620FB7D" w14:textId="77777777" w:rsidR="0077161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desagregar o valor justo dos ativos do plano em classes que distingam a natureza e o risco desses ativos. Por exemplo, a entidade pode distinguir entre:</w:t>
      </w:r>
    </w:p>
    <w:p w14:paraId="66B8F4BE" w14:textId="1EA4695E"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instrumentos </w:t>
      </w:r>
      <w:r w:rsidR="00F475D1" w:rsidRPr="007775ED">
        <w:rPr>
          <w:rFonts w:ascii="Times New Roman" w:hAnsi="Times New Roman" w:cs="Times New Roman"/>
          <w:b w:val="0"/>
          <w:bCs/>
          <w:sz w:val="24"/>
          <w:szCs w:val="24"/>
        </w:rPr>
        <w:t>patrimoniais</w:t>
      </w:r>
      <w:r w:rsidRPr="007775ED">
        <w:rPr>
          <w:rFonts w:ascii="Times New Roman" w:hAnsi="Times New Roman" w:cs="Times New Roman"/>
          <w:b w:val="0"/>
          <w:bCs/>
          <w:sz w:val="24"/>
          <w:szCs w:val="24"/>
        </w:rPr>
        <w:t>;</w:t>
      </w:r>
    </w:p>
    <w:p w14:paraId="63E39F69"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instrumento de dívida;</w:t>
      </w:r>
    </w:p>
    <w:p w14:paraId="69ECC744" w14:textId="77777777" w:rsidR="00771612" w:rsidRPr="007775ED" w:rsidRDefault="00771612"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Bens </w:t>
      </w:r>
      <w:r w:rsidR="00953DE8" w:rsidRPr="007775ED">
        <w:rPr>
          <w:rFonts w:ascii="Times New Roman" w:hAnsi="Times New Roman" w:cs="Times New Roman"/>
          <w:b w:val="0"/>
          <w:bCs/>
          <w:sz w:val="24"/>
          <w:szCs w:val="24"/>
        </w:rPr>
        <w:t>imóve</w:t>
      </w:r>
      <w:r w:rsidRPr="007775ED">
        <w:rPr>
          <w:rFonts w:ascii="Times New Roman" w:hAnsi="Times New Roman" w:cs="Times New Roman"/>
          <w:b w:val="0"/>
          <w:bCs/>
          <w:sz w:val="24"/>
          <w:szCs w:val="24"/>
        </w:rPr>
        <w:t>is</w:t>
      </w:r>
      <w:r w:rsidR="00953DE8" w:rsidRPr="007775ED">
        <w:rPr>
          <w:rFonts w:ascii="Times New Roman" w:hAnsi="Times New Roman" w:cs="Times New Roman"/>
          <w:b w:val="0"/>
          <w:bCs/>
          <w:sz w:val="24"/>
          <w:szCs w:val="24"/>
        </w:rPr>
        <w:t>; e</w:t>
      </w:r>
    </w:p>
    <w:p w14:paraId="0C54F20D" w14:textId="77777777" w:rsidR="0077161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outros ativos.</w:t>
      </w:r>
    </w:p>
    <w:p w14:paraId="616B110F" w14:textId="77777777" w:rsidR="0077161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o valor justo dos instrumentos financeiros de sua própria emissão mantidos como ativos do plano e o valor justo de ativos do plano que sejam imóveis ocupados pela entidade ou outros ativos por ela utilizados.</w:t>
      </w:r>
    </w:p>
    <w:p w14:paraId="3C37C3C4" w14:textId="09717A3C"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as premissas atuariais significativas utilizadas para determinar o valor presente da obrigação de benefício definido (ver item 76 do CPC 33).</w:t>
      </w:r>
    </w:p>
    <w:p w14:paraId="425DF97D"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Montante, prazo e incerteza de fluxos de caixa futuros</w:t>
      </w:r>
    </w:p>
    <w:p w14:paraId="3E149408" w14:textId="77777777" w:rsidR="00FF431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47C308A8"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descrição de quaisquer acordos de custeio e política de custeamento que afetem contribuições futuras; e</w:t>
      </w:r>
    </w:p>
    <w:p w14:paraId="7AE2D6C7" w14:textId="4C14746B"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contribuições esperadas ao plano para o próximo período das demonstrações contábeis.</w:t>
      </w:r>
    </w:p>
    <w:p w14:paraId="6B569A9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Planos </w:t>
      </w:r>
      <w:proofErr w:type="spellStart"/>
      <w:r w:rsidRPr="007775ED">
        <w:rPr>
          <w:rFonts w:ascii="Times New Roman" w:hAnsi="Times New Roman" w:cs="Times New Roman"/>
          <w:b w:val="0"/>
          <w:bCs/>
          <w:i/>
          <w:iCs/>
          <w:sz w:val="24"/>
          <w:szCs w:val="24"/>
        </w:rPr>
        <w:t>multiempregadores</w:t>
      </w:r>
      <w:proofErr w:type="spellEnd"/>
    </w:p>
    <w:p w14:paraId="5F871800" w14:textId="77777777" w:rsidR="00EE5C4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Caso a entidade participe de um plano de benefício definido </w:t>
      </w:r>
      <w:proofErr w:type="spellStart"/>
      <w:r w:rsidRPr="007775ED">
        <w:rPr>
          <w:rFonts w:ascii="Times New Roman" w:hAnsi="Times New Roman" w:cs="Times New Roman"/>
          <w:b w:val="0"/>
          <w:bCs/>
          <w:sz w:val="24"/>
          <w:szCs w:val="24"/>
        </w:rPr>
        <w:t>multiempregador</w:t>
      </w:r>
      <w:proofErr w:type="spellEnd"/>
      <w:r w:rsidRPr="007775ED">
        <w:rPr>
          <w:rFonts w:ascii="Times New Roman" w:hAnsi="Times New Roman" w:cs="Times New Roman"/>
          <w:b w:val="0"/>
          <w:bCs/>
          <w:sz w:val="24"/>
          <w:szCs w:val="24"/>
        </w:rPr>
        <w:t xml:space="preserve"> e contabilize esse plano como se fosse um plano de contribuição definida, de acordo com o item 34 do CPC 33, ela divulgará (em vez das informações requeridas pelos itens 205–211):</w:t>
      </w:r>
    </w:p>
    <w:p w14:paraId="2B779200"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fato de que o plano é um plano de benefício definido; </w:t>
      </w:r>
    </w:p>
    <w:p w14:paraId="10B90AF4"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motivo pelo qual informações suficientes não estão disponíveis para permitir que a entidade contabilize o plano como um plano de benefício definido; e</w:t>
      </w:r>
    </w:p>
    <w:p w14:paraId="4136DC70" w14:textId="793566E3"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sobre qualquer déficit ou superavit no plano que possa afetar o valor de contribuições futuras, incluindo as implicações, se houver, para a entidade.</w:t>
      </w:r>
    </w:p>
    <w:p w14:paraId="70B38FA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Planos de benefício definido que compartilham riscos entre várias entidades sob controle comum</w:t>
      </w:r>
    </w:p>
    <w:p w14:paraId="48B7D832" w14:textId="77777777" w:rsidR="00EE5C4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Caso a entidade participe de plano de benefício definido que compartilhar os riscos entre entidades sob controle comum, ela deve divulgar:</w:t>
      </w:r>
    </w:p>
    <w:p w14:paraId="1B99FA13"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acordo contratual ou política conveniada para a cobrança do custo líquido de benefício definido ou o fato de que referida política não exista;</w:t>
      </w:r>
    </w:p>
    <w:p w14:paraId="297BF5D6"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política de determinação da contribuição a ser paga pela entidade;</w:t>
      </w:r>
    </w:p>
    <w:p w14:paraId="7B8AE1B6"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contabilizar uma alocação do custo líquido de benefício definido, conforme indicado no item 41 do CPC 33, todas as informações sobre o plano como um todo exigidas pelos itens 204-211; e</w:t>
      </w:r>
    </w:p>
    <w:p w14:paraId="06E39FE1"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se a entidade contabilizar a contribuição a pagar no período, conforme indicado no item 41 do CPC 33, as informações sobre o plano como um todo exigidas pelos itens 205 e 208–211.</w:t>
      </w:r>
    </w:p>
    <w:p w14:paraId="672408C9" w14:textId="102AA9F8" w:rsidR="00EE5C4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As informações exigidas pelo item 213(c)–(d) podem ser divulgadas por meio de referência cruzada com divulgações nas demonstrações contábeis de outra entidade </w:t>
      </w:r>
      <w:r w:rsidR="00C20535" w:rsidRPr="007775ED">
        <w:rPr>
          <w:rFonts w:ascii="Times New Roman" w:hAnsi="Times New Roman" w:cs="Times New Roman"/>
          <w:b w:val="0"/>
          <w:bCs/>
          <w:sz w:val="24"/>
          <w:szCs w:val="24"/>
        </w:rPr>
        <w:t xml:space="preserve">do </w:t>
      </w:r>
      <w:r w:rsidRPr="007775ED">
        <w:rPr>
          <w:rFonts w:ascii="Times New Roman" w:hAnsi="Times New Roman" w:cs="Times New Roman"/>
          <w:b w:val="0"/>
          <w:bCs/>
          <w:sz w:val="24"/>
          <w:szCs w:val="24"/>
        </w:rPr>
        <w:t xml:space="preserve">grupo </w:t>
      </w:r>
      <w:r w:rsidR="00C20535" w:rsidRPr="007775ED">
        <w:rPr>
          <w:rFonts w:ascii="Times New Roman" w:hAnsi="Times New Roman" w:cs="Times New Roman"/>
          <w:b w:val="0"/>
          <w:bCs/>
          <w:sz w:val="24"/>
          <w:szCs w:val="24"/>
        </w:rPr>
        <w:t xml:space="preserve">econômico </w:t>
      </w:r>
      <w:r w:rsidRPr="007775ED">
        <w:rPr>
          <w:rFonts w:ascii="Times New Roman" w:hAnsi="Times New Roman" w:cs="Times New Roman"/>
          <w:b w:val="0"/>
          <w:bCs/>
          <w:sz w:val="24"/>
          <w:szCs w:val="24"/>
        </w:rPr>
        <w:t>se:</w:t>
      </w:r>
    </w:p>
    <w:p w14:paraId="54029D82" w14:textId="4FC75BBF"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as demonstrações contábeis dessa entidade </w:t>
      </w:r>
      <w:r w:rsidR="00C20535" w:rsidRPr="007775ED">
        <w:rPr>
          <w:rFonts w:ascii="Times New Roman" w:hAnsi="Times New Roman" w:cs="Times New Roman"/>
          <w:b w:val="0"/>
          <w:bCs/>
          <w:sz w:val="24"/>
          <w:szCs w:val="24"/>
        </w:rPr>
        <w:t xml:space="preserve">do </w:t>
      </w:r>
      <w:r w:rsidRPr="007775ED">
        <w:rPr>
          <w:rFonts w:ascii="Times New Roman" w:hAnsi="Times New Roman" w:cs="Times New Roman"/>
          <w:b w:val="0"/>
          <w:bCs/>
          <w:sz w:val="24"/>
          <w:szCs w:val="24"/>
        </w:rPr>
        <w:t xml:space="preserve">grupo </w:t>
      </w:r>
      <w:r w:rsidR="00C20535" w:rsidRPr="007775ED">
        <w:rPr>
          <w:rFonts w:ascii="Times New Roman" w:hAnsi="Times New Roman" w:cs="Times New Roman"/>
          <w:b w:val="0"/>
          <w:bCs/>
          <w:sz w:val="24"/>
          <w:szCs w:val="24"/>
        </w:rPr>
        <w:t xml:space="preserve">econômico </w:t>
      </w:r>
      <w:r w:rsidRPr="007775ED">
        <w:rPr>
          <w:rFonts w:ascii="Times New Roman" w:hAnsi="Times New Roman" w:cs="Times New Roman"/>
          <w:b w:val="0"/>
          <w:bCs/>
          <w:sz w:val="24"/>
          <w:szCs w:val="24"/>
        </w:rPr>
        <w:t>identificarem e divulgarem separadamente as informações exigidas sobre o plano; e</w:t>
      </w:r>
    </w:p>
    <w:p w14:paraId="7A3E3A2C" w14:textId="15809D08"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dessa entidade do grupo </w:t>
      </w:r>
      <w:r w:rsidR="00C20535" w:rsidRPr="007775ED">
        <w:rPr>
          <w:rFonts w:ascii="Times New Roman" w:hAnsi="Times New Roman" w:cs="Times New Roman"/>
          <w:b w:val="0"/>
          <w:bCs/>
          <w:sz w:val="24"/>
          <w:szCs w:val="24"/>
        </w:rPr>
        <w:t xml:space="preserve">econômico </w:t>
      </w:r>
      <w:r w:rsidRPr="007775ED">
        <w:rPr>
          <w:rFonts w:ascii="Times New Roman" w:hAnsi="Times New Roman" w:cs="Times New Roman"/>
          <w:b w:val="0"/>
          <w:bCs/>
          <w:sz w:val="24"/>
          <w:szCs w:val="24"/>
        </w:rPr>
        <w:t>estiverem disponíveis a usuários das demonstrações contábeis sob os mesmos termos que as demonstrações contábeis da entidade e ao mesmo tempo, ou antes, que as demonstrações contábeis da entidade.</w:t>
      </w:r>
    </w:p>
    <w:p w14:paraId="404AA6D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Passivos contingentes decorrentes de obrigações de benefícios pós-emprego</w:t>
      </w:r>
    </w:p>
    <w:p w14:paraId="0AEE6B15" w14:textId="00CFF507"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exigido pelos itens 259 e 261–262, a entidade deve divulgar informações sobre passivos contingentes decorrentes de obrigações de benefícios pós-emprego.</w:t>
      </w:r>
    </w:p>
    <w:p w14:paraId="778EBF38" w14:textId="6760086C"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07 – Subvenção e Assistência Governamentais</w:t>
      </w:r>
    </w:p>
    <w:p w14:paraId="2BF0B311" w14:textId="77777777" w:rsidR="00EE5C4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4295606B"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política contábil adotada para as subvenções governamentais, incluindo os métodos de apresentação adotados nas demonstrações contábeis;</w:t>
      </w:r>
    </w:p>
    <w:p w14:paraId="3EEC3200"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e a extensão das subvenções governamentais ou assistências governamentais reconhecidas nas demonstrações contábeis e uma indicação de outras formas de assistência governamental de que a entidade tenha diretamente se beneficiado; e</w:t>
      </w:r>
    </w:p>
    <w:p w14:paraId="24C1CFB0" w14:textId="66755935"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condições a serem regularmente satisfeitas e outras contingências ligadas à assistência governamental que tenha sido reconhecida.</w:t>
      </w:r>
    </w:p>
    <w:p w14:paraId="3A495E51" w14:textId="2A287980"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w:t>
      </w:r>
      <w:r w:rsidR="00437FA2" w:rsidRPr="007775ED">
        <w:rPr>
          <w:rFonts w:ascii="Times New Roman" w:hAnsi="Times New Roman" w:cs="Times New Roman"/>
          <w:b w:val="0"/>
          <w:bCs/>
          <w:i/>
          <w:iCs/>
          <w:sz w:val="24"/>
          <w:szCs w:val="24"/>
        </w:rPr>
        <w:t>o CPC</w:t>
      </w:r>
      <w:r w:rsidRPr="007775ED">
        <w:rPr>
          <w:rFonts w:ascii="Times New Roman" w:hAnsi="Times New Roman" w:cs="Times New Roman"/>
          <w:b w:val="0"/>
          <w:bCs/>
          <w:i/>
          <w:iCs/>
          <w:sz w:val="24"/>
          <w:szCs w:val="24"/>
        </w:rPr>
        <w:t xml:space="preserve"> 07 que continuam aplicáveis</w:t>
      </w:r>
    </w:p>
    <w:p w14:paraId="2BB418ED" w14:textId="0F6E84C0"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aplicar os requisitos de divulgação nos itens 21–22, 28 e 31 do </w:t>
      </w:r>
      <w:r w:rsidR="004F413D"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07</w:t>
      </w:r>
      <w:r w:rsidR="004F413D" w:rsidRPr="007775ED">
        <w:rPr>
          <w:rFonts w:ascii="Times New Roman" w:hAnsi="Times New Roman" w:cs="Times New Roman"/>
          <w:b w:val="0"/>
          <w:bCs/>
          <w:sz w:val="24"/>
          <w:szCs w:val="24"/>
        </w:rPr>
        <w:t xml:space="preserve"> – Subvenção e Assistência Governamentais.</w:t>
      </w:r>
    </w:p>
    <w:p w14:paraId="372D0B39" w14:textId="2D32644D"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02 – Efeitos das Mudanças nas Taxas de Câmbio e Conversão de Demonstrações Contábeis</w:t>
      </w:r>
    </w:p>
    <w:p w14:paraId="22A9F1B1" w14:textId="77777777" w:rsidR="00EE5C42"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52576BF0" w14:textId="77777777" w:rsidR="00EE5C42"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montante das variações cambiais reconhecidas na demonstração do resultado, com exceção daquelas originadas de instrumentos financeiros mensurados ao valor justo por meio do resultado, de acordo com o CPC 48; e</w:t>
      </w:r>
    </w:p>
    <w:p w14:paraId="7576ABD6" w14:textId="77777777" w:rsidR="00EE5C42" w:rsidRPr="007775ED" w:rsidRDefault="00953DE8" w:rsidP="001A376D">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variações cambiais líquidas reconhecidas em outros resultados abrangentes e registradas em conta específica do patrimônio líquido, e a conciliação do montante de tais variações cambiais, no início e no final do período.</w:t>
      </w:r>
    </w:p>
    <w:p w14:paraId="4EBBF91D" w14:textId="77777777" w:rsidR="00EE5C42" w:rsidRDefault="00953DE8" w:rsidP="001A376D">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 moeda de apresentação das demonstrações contábeis for diferente da moeda funcional, esse fato deve ser relatado juntamente com a divulgação da moeda funcional e da razão para a utilização de moeda de apresentação diferente.</w:t>
      </w:r>
    </w:p>
    <w:p w14:paraId="56A5AA23" w14:textId="74DA7C93" w:rsidR="00703533" w:rsidRPr="001A376D" w:rsidRDefault="00703533" w:rsidP="00684511">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1A376D">
        <w:rPr>
          <w:rFonts w:ascii="Times New Roman" w:hAnsi="Times New Roman" w:cs="Times New Roman"/>
          <w:b w:val="0"/>
          <w:bCs/>
          <w:sz w:val="24"/>
          <w:szCs w:val="24"/>
        </w:rPr>
        <w:t>219A</w:t>
      </w:r>
      <w:r w:rsidR="001A376D" w:rsidRPr="001A376D">
        <w:rPr>
          <w:rFonts w:ascii="Times New Roman" w:hAnsi="Times New Roman" w:cs="Times New Roman"/>
          <w:b w:val="0"/>
          <w:bCs/>
          <w:sz w:val="24"/>
          <w:szCs w:val="24"/>
        </w:rPr>
        <w:t xml:space="preserve">. Quando a entidade aplicar o item 41A do CPC 02 para converter seus resultados e </w:t>
      </w:r>
      <w:r w:rsidR="001A376D">
        <w:rPr>
          <w:rFonts w:ascii="Times New Roman" w:hAnsi="Times New Roman" w:cs="Times New Roman"/>
          <w:b w:val="0"/>
          <w:bCs/>
          <w:sz w:val="24"/>
          <w:szCs w:val="24"/>
        </w:rPr>
        <w:t xml:space="preserve">seu balanço patrimonial </w:t>
      </w:r>
      <w:r w:rsidR="004603AD">
        <w:rPr>
          <w:rFonts w:ascii="Times New Roman" w:hAnsi="Times New Roman" w:cs="Times New Roman"/>
          <w:b w:val="0"/>
          <w:bCs/>
          <w:sz w:val="24"/>
          <w:szCs w:val="24"/>
        </w:rPr>
        <w:t xml:space="preserve">ou  os resultados </w:t>
      </w:r>
      <w:r w:rsidR="001A376D">
        <w:rPr>
          <w:rFonts w:ascii="Times New Roman" w:hAnsi="Times New Roman" w:cs="Times New Roman"/>
          <w:b w:val="0"/>
          <w:bCs/>
          <w:sz w:val="24"/>
          <w:szCs w:val="24"/>
        </w:rPr>
        <w:t>e</w:t>
      </w:r>
      <w:r w:rsidR="004603AD">
        <w:rPr>
          <w:rFonts w:ascii="Times New Roman" w:hAnsi="Times New Roman" w:cs="Times New Roman"/>
          <w:b w:val="0"/>
          <w:bCs/>
          <w:sz w:val="24"/>
          <w:szCs w:val="24"/>
        </w:rPr>
        <w:t xml:space="preserve"> </w:t>
      </w:r>
      <w:r w:rsidR="001A376D">
        <w:rPr>
          <w:rFonts w:ascii="Times New Roman" w:hAnsi="Times New Roman" w:cs="Times New Roman"/>
          <w:b w:val="0"/>
          <w:bCs/>
          <w:sz w:val="24"/>
          <w:szCs w:val="24"/>
        </w:rPr>
        <w:t xml:space="preserve">o balanço patrimonial </w:t>
      </w:r>
      <w:r w:rsidR="001A376D" w:rsidRPr="001A376D">
        <w:rPr>
          <w:rFonts w:ascii="Times New Roman" w:hAnsi="Times New Roman" w:cs="Times New Roman"/>
          <w:b w:val="0"/>
          <w:bCs/>
          <w:sz w:val="24"/>
          <w:szCs w:val="24"/>
        </w:rPr>
        <w:t xml:space="preserve">de uma operação no exterior, a entidade deve divulgar o fato de que todos os valores (ou seja, ativos, passivos, itens do patrimônio líquido, receitas e despesas e, caso não aplique o item 47A do CPC 02, informações comparativas) em suas demonstrações contábeis, ou os resultados e </w:t>
      </w:r>
      <w:r w:rsidR="001A376D">
        <w:rPr>
          <w:rFonts w:ascii="Times New Roman" w:hAnsi="Times New Roman" w:cs="Times New Roman"/>
          <w:b w:val="0"/>
          <w:bCs/>
          <w:sz w:val="24"/>
          <w:szCs w:val="24"/>
        </w:rPr>
        <w:t xml:space="preserve">o balanço patrimonial </w:t>
      </w:r>
      <w:r w:rsidR="001A376D" w:rsidRPr="001A376D">
        <w:rPr>
          <w:rFonts w:ascii="Times New Roman" w:hAnsi="Times New Roman" w:cs="Times New Roman"/>
          <w:b w:val="0"/>
          <w:bCs/>
          <w:sz w:val="24"/>
          <w:szCs w:val="24"/>
        </w:rPr>
        <w:t>de suas operações no exterior, foram convertidos pela taxa de fechamento na data do balanço patrimonial mais recente.</w:t>
      </w:r>
    </w:p>
    <w:p w14:paraId="75834463" w14:textId="1D232B7D" w:rsidR="00703533" w:rsidRPr="001A376D" w:rsidRDefault="00703533" w:rsidP="00684511">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1A376D">
        <w:rPr>
          <w:rFonts w:ascii="Times New Roman" w:hAnsi="Times New Roman" w:cs="Times New Roman"/>
          <w:b w:val="0"/>
          <w:bCs/>
          <w:sz w:val="24"/>
          <w:szCs w:val="24"/>
        </w:rPr>
        <w:t>219B</w:t>
      </w:r>
      <w:r w:rsidR="001A376D" w:rsidRPr="001A376D">
        <w:rPr>
          <w:rFonts w:ascii="Times New Roman" w:hAnsi="Times New Roman" w:cs="Times New Roman"/>
          <w:b w:val="0"/>
          <w:bCs/>
          <w:sz w:val="24"/>
          <w:szCs w:val="24"/>
        </w:rPr>
        <w:t xml:space="preserve">. Quando a moeda funcional da entidade for a moeda de uma economia hiperinflacionária e a entidade aplicar os itens 41A e 47A do CPC 02 para converter os resultados e </w:t>
      </w:r>
      <w:r w:rsidR="001A376D">
        <w:rPr>
          <w:rFonts w:ascii="Times New Roman" w:hAnsi="Times New Roman" w:cs="Times New Roman"/>
          <w:b w:val="0"/>
          <w:bCs/>
          <w:sz w:val="24"/>
          <w:szCs w:val="24"/>
        </w:rPr>
        <w:t xml:space="preserve">o balanço patrimonial </w:t>
      </w:r>
      <w:r w:rsidR="001A376D" w:rsidRPr="001A376D">
        <w:rPr>
          <w:rFonts w:ascii="Times New Roman" w:hAnsi="Times New Roman" w:cs="Times New Roman"/>
          <w:b w:val="0"/>
          <w:bCs/>
          <w:sz w:val="24"/>
          <w:szCs w:val="24"/>
        </w:rPr>
        <w:t>de suas operações no exterior, a entidade deve divulgar informações financeiras resumidas sobre suas operações no exterior. A entidade deve identificar as informações financeiras resumidas comparativas sobre suas operações no exterior de modo a indicar que preparou essas informações aplicando o índice geral de preços que aplica aos valores correspondentes do período de reporte anterior, de acordo com o item 34 do CPC 42 – Contabilidade em Economia Hiperinflacionária.</w:t>
      </w:r>
    </w:p>
    <w:p w14:paraId="76362491" w14:textId="76B40070" w:rsidR="00953DE8" w:rsidRDefault="00953DE8" w:rsidP="00816B2F">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houver alteração na moeda funcional da entidade que reporta a informação ou de </w:t>
      </w:r>
      <w:r w:rsidR="004603AD">
        <w:rPr>
          <w:rFonts w:ascii="Times New Roman" w:hAnsi="Times New Roman" w:cs="Times New Roman"/>
          <w:b w:val="0"/>
          <w:bCs/>
          <w:sz w:val="24"/>
          <w:szCs w:val="24"/>
        </w:rPr>
        <w:t xml:space="preserve">uma operação </w:t>
      </w:r>
      <w:r w:rsidRPr="007775ED">
        <w:rPr>
          <w:rFonts w:ascii="Times New Roman" w:hAnsi="Times New Roman" w:cs="Times New Roman"/>
          <w:b w:val="0"/>
          <w:bCs/>
          <w:sz w:val="24"/>
          <w:szCs w:val="24"/>
        </w:rPr>
        <w:t>no exterior significativa, esse fato e a razão para a alteração na moeda funcional devem ser divulgados.</w:t>
      </w:r>
    </w:p>
    <w:p w14:paraId="1AC362F8" w14:textId="12ACFA95" w:rsidR="00703533" w:rsidRPr="001A376D" w:rsidRDefault="00703533" w:rsidP="00684511">
      <w:pPr>
        <w:pStyle w:val="IASBSectionTitle1NonInd"/>
        <w:pBdr>
          <w:bottom w:val="none" w:sz="0" w:space="0" w:color="auto"/>
        </w:pBdr>
        <w:spacing w:after="240"/>
        <w:ind w:left="567" w:hanging="567"/>
        <w:jc w:val="both"/>
        <w:rPr>
          <w:rFonts w:ascii="Times New Roman" w:hAnsi="Times New Roman" w:cs="Times New Roman"/>
          <w:b w:val="0"/>
          <w:bCs/>
          <w:sz w:val="24"/>
          <w:szCs w:val="24"/>
        </w:rPr>
      </w:pPr>
      <w:r w:rsidRPr="001A376D">
        <w:rPr>
          <w:rFonts w:ascii="Times New Roman" w:hAnsi="Times New Roman" w:cs="Times New Roman"/>
          <w:b w:val="0"/>
          <w:bCs/>
          <w:sz w:val="24"/>
          <w:szCs w:val="24"/>
        </w:rPr>
        <w:t>220A</w:t>
      </w:r>
      <w:r w:rsidR="001A376D" w:rsidRPr="001A376D">
        <w:rPr>
          <w:rFonts w:ascii="Times New Roman" w:hAnsi="Times New Roman" w:cs="Times New Roman"/>
          <w:b w:val="0"/>
          <w:bCs/>
          <w:sz w:val="24"/>
          <w:szCs w:val="24"/>
        </w:rPr>
        <w:t>. Quando a entidade aplicar o item 41B do CPC 02, deve divulgar o fato de que sua moeda de apresentação deixou de ser a moeda de uma economia hiperinflacionária.</w:t>
      </w:r>
    </w:p>
    <w:p w14:paraId="1625D699" w14:textId="0336F3C9" w:rsidR="00953DE8" w:rsidRPr="007775ED" w:rsidRDefault="00953DE8" w:rsidP="00816B2F">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 xml:space="preserve">Divulgação quando uma moeda não </w:t>
      </w:r>
      <w:r w:rsidR="00EE5C42" w:rsidRPr="007775ED">
        <w:rPr>
          <w:rFonts w:ascii="Times New Roman" w:hAnsi="Times New Roman" w:cs="Times New Roman"/>
          <w:b w:val="0"/>
          <w:bCs/>
          <w:i/>
          <w:iCs/>
          <w:sz w:val="24"/>
          <w:szCs w:val="24"/>
        </w:rPr>
        <w:t>possuir conversibilidade</w:t>
      </w:r>
    </w:p>
    <w:p w14:paraId="0C265C1D" w14:textId="158527E3" w:rsidR="004A419A" w:rsidRPr="007775ED" w:rsidRDefault="00953DE8" w:rsidP="00684511">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 entidade estima uma taxa de câmbio à vista pelo fato de uma moeda não ser conversível em outra moeda (ver item 19A do CPC 02), a entidade deverá divulgar </w:t>
      </w:r>
      <w:r w:rsidR="00FC554B">
        <w:rPr>
          <w:rFonts w:ascii="Times New Roman" w:hAnsi="Times New Roman" w:cs="Times New Roman"/>
          <w:b w:val="0"/>
          <w:bCs/>
          <w:sz w:val="24"/>
          <w:szCs w:val="24"/>
        </w:rPr>
        <w:t xml:space="preserve">as </w:t>
      </w:r>
      <w:r w:rsidRPr="007775ED">
        <w:rPr>
          <w:rFonts w:ascii="Times New Roman" w:hAnsi="Times New Roman" w:cs="Times New Roman"/>
          <w:b w:val="0"/>
          <w:bCs/>
          <w:sz w:val="24"/>
          <w:szCs w:val="24"/>
        </w:rPr>
        <w:t xml:space="preserve">informações </w:t>
      </w:r>
      <w:r w:rsidR="00FC554B" w:rsidRPr="00FC554B">
        <w:rPr>
          <w:rFonts w:ascii="Times New Roman" w:hAnsi="Times New Roman" w:cs="Times New Roman"/>
          <w:b w:val="0"/>
          <w:bCs/>
          <w:sz w:val="24"/>
          <w:szCs w:val="24"/>
        </w:rPr>
        <w:t>requeridas pelos itens 223 e 224</w:t>
      </w:r>
      <w:r w:rsidR="00FC554B">
        <w:rPr>
          <w:rFonts w:ascii="Times New Roman" w:hAnsi="Times New Roman" w:cs="Times New Roman"/>
          <w:b w:val="0"/>
          <w:bCs/>
          <w:sz w:val="24"/>
          <w:szCs w:val="24"/>
        </w:rPr>
        <w:t>.</w:t>
      </w:r>
    </w:p>
    <w:p w14:paraId="0F64BDFF" w14:textId="3057E2DE" w:rsidR="004A419A"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Excluído</w:t>
      </w:r>
      <w:r w:rsidR="00953DE8" w:rsidRPr="007775ED">
        <w:rPr>
          <w:rFonts w:ascii="Times New Roman" w:hAnsi="Times New Roman" w:cs="Times New Roman"/>
          <w:b w:val="0"/>
          <w:bCs/>
          <w:sz w:val="24"/>
          <w:szCs w:val="24"/>
        </w:rPr>
        <w:t>.</w:t>
      </w:r>
    </w:p>
    <w:p w14:paraId="68A77F90" w14:textId="36A7295A" w:rsidR="004A419A" w:rsidRPr="007775ED" w:rsidRDefault="00FC554B"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Pr>
          <w:rFonts w:ascii="Times New Roman" w:hAnsi="Times New Roman" w:cs="Times New Roman"/>
          <w:b w:val="0"/>
          <w:bCs/>
          <w:sz w:val="24"/>
          <w:szCs w:val="24"/>
        </w:rPr>
        <w:t>A entidade deve divulgar</w:t>
      </w:r>
      <w:r w:rsidR="00953DE8" w:rsidRPr="007775ED">
        <w:rPr>
          <w:rFonts w:ascii="Times New Roman" w:hAnsi="Times New Roman" w:cs="Times New Roman"/>
          <w:b w:val="0"/>
          <w:bCs/>
          <w:sz w:val="24"/>
          <w:szCs w:val="24"/>
        </w:rPr>
        <w:t>:</w:t>
      </w:r>
    </w:p>
    <w:p w14:paraId="6573E0BC"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moeda e uma descrição das restrições que fazem com que essa moeda não seja conversível em outra moeda;</w:t>
      </w:r>
    </w:p>
    <w:p w14:paraId="0BAF70E8"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das transações afetadas;</w:t>
      </w:r>
    </w:p>
    <w:p w14:paraId="720E2FFF"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dos ativos e passivos afetados;</w:t>
      </w:r>
    </w:p>
    <w:p w14:paraId="1FA67282"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taxas de câmbio à vista usadas e se essas taxas são:</w:t>
      </w:r>
    </w:p>
    <w:p w14:paraId="5F7874B9"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taxas de câmbio observáveis sem ajuste (ver itens A12–A16 do CPC 02); ou</w:t>
      </w:r>
    </w:p>
    <w:p w14:paraId="160265B5"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taxas de câmbio à vista estimadas usando outra técnica de estimativa (ver item A17 do CPC 02);</w:t>
      </w:r>
    </w:p>
    <w:p w14:paraId="1CF42EFA"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de qualquer técnica de estimativa que a entidade tenha usado, e informações qualitativas e quantitativas sobre as informações e premissas usadas nessa técnica de estimativa; e</w:t>
      </w:r>
    </w:p>
    <w:p w14:paraId="204E67CE"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informações qualitativas sobre cada tipo de risco ao qual a entidade está exposta porque a moeda não é conversível em outra moeda, e a natureza e o valor contábil dos ativos e passivos expostos a cada tipo de risco.</w:t>
      </w:r>
    </w:p>
    <w:p w14:paraId="6EDA0D65" w14:textId="44EC41A0"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a moeda funcional de uma operação </w:t>
      </w:r>
      <w:r w:rsidR="004B60F3">
        <w:rPr>
          <w:rFonts w:ascii="Times New Roman" w:hAnsi="Times New Roman" w:cs="Times New Roman"/>
          <w:b w:val="0"/>
          <w:bCs/>
          <w:sz w:val="24"/>
          <w:szCs w:val="24"/>
        </w:rPr>
        <w:t xml:space="preserve">no exterior </w:t>
      </w:r>
      <w:r w:rsidRPr="007775ED">
        <w:rPr>
          <w:rFonts w:ascii="Times New Roman" w:hAnsi="Times New Roman" w:cs="Times New Roman"/>
          <w:b w:val="0"/>
          <w:bCs/>
          <w:sz w:val="24"/>
          <w:szCs w:val="24"/>
        </w:rPr>
        <w:t xml:space="preserve">não é conversível </w:t>
      </w:r>
      <w:r w:rsidR="009169A2">
        <w:rPr>
          <w:rFonts w:ascii="Times New Roman" w:hAnsi="Times New Roman" w:cs="Times New Roman"/>
          <w:b w:val="0"/>
          <w:bCs/>
          <w:sz w:val="24"/>
          <w:szCs w:val="24"/>
        </w:rPr>
        <w:t xml:space="preserve">para </w:t>
      </w:r>
      <w:r w:rsidRPr="007775ED">
        <w:rPr>
          <w:rFonts w:ascii="Times New Roman" w:hAnsi="Times New Roman" w:cs="Times New Roman"/>
          <w:b w:val="0"/>
          <w:bCs/>
          <w:sz w:val="24"/>
          <w:szCs w:val="24"/>
        </w:rPr>
        <w:t xml:space="preserve">a moeda de apresentação ou, se aplicável, a moeda de apresentação não </w:t>
      </w:r>
      <w:r w:rsidR="009169A2">
        <w:rPr>
          <w:rFonts w:ascii="Times New Roman" w:hAnsi="Times New Roman" w:cs="Times New Roman"/>
          <w:b w:val="0"/>
          <w:bCs/>
          <w:sz w:val="24"/>
          <w:szCs w:val="24"/>
        </w:rPr>
        <w:t xml:space="preserve">é </w:t>
      </w:r>
      <w:r w:rsidRPr="007775ED">
        <w:rPr>
          <w:rFonts w:ascii="Times New Roman" w:hAnsi="Times New Roman" w:cs="Times New Roman"/>
          <w:b w:val="0"/>
          <w:bCs/>
          <w:sz w:val="24"/>
          <w:szCs w:val="24"/>
        </w:rPr>
        <w:t xml:space="preserve">conversível </w:t>
      </w:r>
      <w:r w:rsidR="009169A2">
        <w:rPr>
          <w:rFonts w:ascii="Times New Roman" w:hAnsi="Times New Roman" w:cs="Times New Roman"/>
          <w:b w:val="0"/>
          <w:bCs/>
          <w:sz w:val="24"/>
          <w:szCs w:val="24"/>
        </w:rPr>
        <w:t xml:space="preserve">para a </w:t>
      </w:r>
      <w:r w:rsidRPr="007775ED">
        <w:rPr>
          <w:rFonts w:ascii="Times New Roman" w:hAnsi="Times New Roman" w:cs="Times New Roman"/>
          <w:b w:val="0"/>
          <w:bCs/>
          <w:sz w:val="24"/>
          <w:szCs w:val="24"/>
        </w:rPr>
        <w:t xml:space="preserve">moeda funcional de uma operação </w:t>
      </w:r>
      <w:r w:rsidR="004B60F3">
        <w:rPr>
          <w:rFonts w:ascii="Times New Roman" w:hAnsi="Times New Roman" w:cs="Times New Roman"/>
          <w:b w:val="0"/>
          <w:bCs/>
          <w:sz w:val="24"/>
          <w:szCs w:val="24"/>
        </w:rPr>
        <w:t>no exterior</w:t>
      </w:r>
      <w:r w:rsidRPr="007775ED">
        <w:rPr>
          <w:rFonts w:ascii="Times New Roman" w:hAnsi="Times New Roman" w:cs="Times New Roman"/>
          <w:b w:val="0"/>
          <w:bCs/>
          <w:sz w:val="24"/>
          <w:szCs w:val="24"/>
        </w:rPr>
        <w:t xml:space="preserv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também divulgará:</w:t>
      </w:r>
    </w:p>
    <w:p w14:paraId="67E28A6E" w14:textId="7937F031"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nome da operação </w:t>
      </w:r>
      <w:r w:rsidR="004B60F3">
        <w:rPr>
          <w:rFonts w:ascii="Times New Roman" w:hAnsi="Times New Roman" w:cs="Times New Roman"/>
          <w:b w:val="0"/>
          <w:bCs/>
          <w:sz w:val="24"/>
          <w:szCs w:val="24"/>
        </w:rPr>
        <w:t>no exterior</w:t>
      </w:r>
      <w:r w:rsidRPr="007775ED">
        <w:rPr>
          <w:rFonts w:ascii="Times New Roman" w:hAnsi="Times New Roman" w:cs="Times New Roman"/>
          <w:b w:val="0"/>
          <w:bCs/>
          <w:sz w:val="24"/>
          <w:szCs w:val="24"/>
        </w:rPr>
        <w:t xml:space="preserve">; se a operação </w:t>
      </w:r>
      <w:r w:rsidR="004B60F3">
        <w:rPr>
          <w:rFonts w:ascii="Times New Roman" w:hAnsi="Times New Roman" w:cs="Times New Roman"/>
          <w:b w:val="0"/>
          <w:bCs/>
          <w:sz w:val="24"/>
          <w:szCs w:val="24"/>
        </w:rPr>
        <w:t xml:space="preserve">no exterior </w:t>
      </w:r>
      <w:r w:rsidRPr="007775ED">
        <w:rPr>
          <w:rFonts w:ascii="Times New Roman" w:hAnsi="Times New Roman" w:cs="Times New Roman"/>
          <w:b w:val="0"/>
          <w:bCs/>
          <w:sz w:val="24"/>
          <w:szCs w:val="24"/>
        </w:rPr>
        <w:t xml:space="preserve">é uma </w:t>
      </w:r>
      <w:r w:rsidR="00C20535" w:rsidRPr="007775ED">
        <w:rPr>
          <w:rFonts w:ascii="Times New Roman" w:hAnsi="Times New Roman" w:cs="Times New Roman"/>
          <w:b w:val="0"/>
          <w:bCs/>
          <w:sz w:val="24"/>
          <w:szCs w:val="24"/>
        </w:rPr>
        <w:t>controlada</w:t>
      </w:r>
      <w:r w:rsidRPr="007775ED">
        <w:rPr>
          <w:rFonts w:ascii="Times New Roman" w:hAnsi="Times New Roman" w:cs="Times New Roman"/>
          <w:b w:val="0"/>
          <w:bCs/>
          <w:sz w:val="24"/>
          <w:szCs w:val="24"/>
        </w:rPr>
        <w:t xml:space="preserve">, operação conjunta, empreendimento </w:t>
      </w:r>
      <w:r w:rsidR="00C20535" w:rsidRPr="007775ED">
        <w:rPr>
          <w:rFonts w:ascii="Times New Roman" w:hAnsi="Times New Roman" w:cs="Times New Roman"/>
          <w:b w:val="0"/>
          <w:bCs/>
          <w:sz w:val="24"/>
          <w:szCs w:val="24"/>
        </w:rPr>
        <w:t xml:space="preserve">controlado </w:t>
      </w:r>
      <w:r w:rsidRPr="007775ED">
        <w:rPr>
          <w:rFonts w:ascii="Times New Roman" w:hAnsi="Times New Roman" w:cs="Times New Roman"/>
          <w:b w:val="0"/>
          <w:bCs/>
          <w:sz w:val="24"/>
          <w:szCs w:val="24"/>
        </w:rPr>
        <w:t>em conjunto, coligada ou filial; e sua sede;</w:t>
      </w:r>
    </w:p>
    <w:p w14:paraId="2A933028" w14:textId="72066FE0"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informações financeiras resumidas sobre a operação </w:t>
      </w:r>
      <w:r w:rsidR="004B60F3">
        <w:rPr>
          <w:rFonts w:ascii="Times New Roman" w:hAnsi="Times New Roman" w:cs="Times New Roman"/>
          <w:b w:val="0"/>
          <w:bCs/>
          <w:sz w:val="24"/>
          <w:szCs w:val="24"/>
        </w:rPr>
        <w:t>no exterior</w:t>
      </w:r>
      <w:r w:rsidRPr="007775ED">
        <w:rPr>
          <w:rFonts w:ascii="Times New Roman" w:hAnsi="Times New Roman" w:cs="Times New Roman"/>
          <w:b w:val="0"/>
          <w:bCs/>
          <w:sz w:val="24"/>
          <w:szCs w:val="24"/>
        </w:rPr>
        <w:t>; e</w:t>
      </w:r>
    </w:p>
    <w:p w14:paraId="129F4B5F" w14:textId="7BFEC9C0"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natureza e os termos de quaisquer acordos contratuais que possam exigir que a entidade forneça suporte financeiro à operação </w:t>
      </w:r>
      <w:r w:rsidR="004B60F3">
        <w:rPr>
          <w:rFonts w:ascii="Times New Roman" w:hAnsi="Times New Roman" w:cs="Times New Roman"/>
          <w:b w:val="0"/>
          <w:bCs/>
          <w:sz w:val="24"/>
          <w:szCs w:val="24"/>
        </w:rPr>
        <w:t>no exterior</w:t>
      </w:r>
      <w:r w:rsidRPr="007775ED">
        <w:rPr>
          <w:rFonts w:ascii="Times New Roman" w:hAnsi="Times New Roman" w:cs="Times New Roman"/>
          <w:b w:val="0"/>
          <w:bCs/>
          <w:sz w:val="24"/>
          <w:szCs w:val="24"/>
        </w:rPr>
        <w:t>, incluindo eventos ou circunstâncias que possam expor a entidade a uma perda.</w:t>
      </w:r>
    </w:p>
    <w:p w14:paraId="041B2733" w14:textId="0B320C9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20 – Custos de Empréstimos</w:t>
      </w:r>
    </w:p>
    <w:p w14:paraId="1B25459D"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683BC49E"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o</w:t>
      </w:r>
      <w:proofErr w:type="spellEnd"/>
      <w:r w:rsidRPr="007775ED">
        <w:rPr>
          <w:rFonts w:ascii="Times New Roman" w:hAnsi="Times New Roman" w:cs="Times New Roman"/>
          <w:b w:val="0"/>
          <w:bCs/>
          <w:sz w:val="24"/>
          <w:szCs w:val="24"/>
        </w:rPr>
        <w:t xml:space="preserve"> total de custos de empréstimos capitalizados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w:t>
      </w:r>
    </w:p>
    <w:p w14:paraId="66F13974" w14:textId="75106274"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capitalização utilizada na determinação do montante dos custos de empréstimos elegíveis à capitalização.</w:t>
      </w:r>
    </w:p>
    <w:p w14:paraId="4F35F7DF" w14:textId="1A19AA44"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05 – Divulgação sobre Partes Relacionadas</w:t>
      </w:r>
    </w:p>
    <w:p w14:paraId="149F6632"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relacionamentos entre controladora e suas controladas devem ser divulgados independentemente de ter havido ou não transações entre essas partes relacionadas. A entidade deve divulgar:</w:t>
      </w:r>
    </w:p>
    <w:p w14:paraId="1363A8E6"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nome de sua controladora direta e, se diferente, a da controladora final; e</w:t>
      </w:r>
    </w:p>
    <w:p w14:paraId="3DFCBEF9"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nome da controladora final ou intermediária que elabora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consolidadas disponíveis para uso público e que estejam em conformidade com </w:t>
      </w:r>
      <w:r w:rsidR="005706F5" w:rsidRPr="007775ED">
        <w:rPr>
          <w:rFonts w:ascii="Times New Roman" w:hAnsi="Times New Roman" w:cs="Times New Roman"/>
          <w:b w:val="0"/>
          <w:bCs/>
          <w:sz w:val="24"/>
          <w:szCs w:val="24"/>
        </w:rPr>
        <w:t>os Pronunciamentos Técnicos do CPC</w:t>
      </w:r>
      <w:r w:rsidRPr="007775ED">
        <w:rPr>
          <w:rFonts w:ascii="Times New Roman" w:hAnsi="Times New Roman" w:cs="Times New Roman"/>
          <w:b w:val="0"/>
          <w:bCs/>
          <w:sz w:val="24"/>
          <w:szCs w:val="24"/>
        </w:rPr>
        <w:t>, conforme exigido pelo item 7(c) e que resulta na entidade ser elegível para aplicar este Pronunciamento Técnico.</w:t>
      </w:r>
    </w:p>
    <w:p w14:paraId="60B58DBE"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 remuneração do pessoal chave da administração no total.</w:t>
      </w:r>
    </w:p>
    <w:p w14:paraId="688807DC" w14:textId="4148EA03"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Se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obtiver serviços do pessoal-chave da administração de outra entidade (a entidade </w:t>
      </w:r>
      <w:r w:rsidR="008108DF" w:rsidRPr="007775ED">
        <w:rPr>
          <w:rFonts w:ascii="Times New Roman" w:hAnsi="Times New Roman" w:cs="Times New Roman"/>
          <w:b w:val="0"/>
          <w:bCs/>
          <w:sz w:val="24"/>
          <w:szCs w:val="24"/>
        </w:rPr>
        <w:t>administradora</w:t>
      </w:r>
      <w:r w:rsidRPr="007775ED">
        <w:rPr>
          <w:rFonts w:ascii="Times New Roman" w:hAnsi="Times New Roman" w:cs="Times New Roman"/>
          <w:b w:val="0"/>
          <w:bCs/>
          <w:sz w:val="24"/>
          <w:szCs w:val="24"/>
        </w:rPr>
        <w:t>), a entidade não é obrigada a aplicar os requisitos do item 227 na remuneração paga ou a pagar pela entidade administradora aos empregados ou diretores da entidade administradora.</w:t>
      </w:r>
    </w:p>
    <w:p w14:paraId="36ECB241"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Valores incorridos pela entidade para a prestação de serviços de pessoal-chave da administração, que são fornecidos por entidade administradora separada, devem ser divulgados.</w:t>
      </w:r>
    </w:p>
    <w:p w14:paraId="6C1388D2"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tiver realizado transações entre partes relacionadas durante os períodos cobertos pelas demonstrações contábeis, a entidade deve divulgar a natureza do relacionamento entre as partes relacionadas, assim como as informações sobre as transações e saldos existentes, incluindo compromissos, necessárias para a compreensão dos usuários do potencial efeito desse relacionamento nas demonstrações contábeis. Esses requisitos de divulgação são adicionais aos referidos no item 227. No mínimo, as divulgações devem incluir:</w:t>
      </w:r>
    </w:p>
    <w:p w14:paraId="58B35BEB"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montante das transações;</w:t>
      </w:r>
    </w:p>
    <w:p w14:paraId="043792D7"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montante dos saldos existentes, incluindo compromissos, e:</w:t>
      </w:r>
    </w:p>
    <w:p w14:paraId="00F9B29D"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seus prazos e condições, incluindo eventuais garantias, e a natureza da contrapartida a ser utilizada na liquidação; e</w:t>
      </w:r>
    </w:p>
    <w:p w14:paraId="239966BD"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detalhes de quaisquer garantias dadas ou recebidas;</w:t>
      </w:r>
    </w:p>
    <w:p w14:paraId="0F244803"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provisão para créditos de liquidação duvidosa relacionada com o montante dos saldos existentes; e </w:t>
      </w:r>
    </w:p>
    <w:p w14:paraId="5454998D"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despesa reconhecida durante o período relacionada a dívidas incobráveis ou de liquidação duvidosa de partes relacionadas.</w:t>
      </w:r>
    </w:p>
    <w:p w14:paraId="5C6CE581"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divulgações requeridas no item 230 devem ser feitas separadamente para:</w:t>
      </w:r>
    </w:p>
    <w:p w14:paraId="56840E55"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controladora;</w:t>
      </w:r>
    </w:p>
    <w:p w14:paraId="404C24F8"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entidades com controle conjunto da entidade ou com influência significativa sobre ela;</w:t>
      </w:r>
    </w:p>
    <w:p w14:paraId="50BC5D57"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controladas;</w:t>
      </w:r>
    </w:p>
    <w:p w14:paraId="4F9D7161"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coligadas;</w:t>
      </w:r>
    </w:p>
    <w:p w14:paraId="0447FC32"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empreendimentos</w:t>
      </w:r>
      <w:proofErr w:type="spellEnd"/>
      <w:r w:rsidRPr="007775ED">
        <w:rPr>
          <w:rFonts w:ascii="Times New Roman" w:hAnsi="Times New Roman" w:cs="Times New Roman"/>
          <w:b w:val="0"/>
          <w:bCs/>
          <w:sz w:val="24"/>
          <w:szCs w:val="24"/>
        </w:rPr>
        <w:t xml:space="preserve"> controlados em conjunto em que a entidade seja um investidor conjunto;</w:t>
      </w:r>
    </w:p>
    <w:p w14:paraId="15C3BF71"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pessoal-chave da administração da entidade ou de sua controladora; e</w:t>
      </w:r>
    </w:p>
    <w:p w14:paraId="6E367814"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partes relacionadas.</w:t>
      </w:r>
    </w:p>
    <w:p w14:paraId="3EF1671A"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entidade que reporta a informação está isenta das exigências de divulgação do item 230 no tocante a transações e saldos mantidos com partes relacionadas, incluindo compromissos, quando a parte for:</w:t>
      </w:r>
    </w:p>
    <w:p w14:paraId="3F991879"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 ente estatal que tenha controle, controle conjunto ou que exerça influência significativa sobre a entidade que reporta a informação; e</w:t>
      </w:r>
    </w:p>
    <w:p w14:paraId="1E256BF0"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 entidade que seja parte relacionada, pelo fato de o mesmo ente estatal deter o controle ou o controle conjunto, ou exercer influência significativa, sobre ambas as partes (a entidade que reporta a informação e a outra entidade).</w:t>
      </w:r>
    </w:p>
    <w:p w14:paraId="051E36E4"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entidade que reporta a informação aplicar a isenção do item 232, ela deve divulgar o que segue acerca de saldos mantidos e transações aos quais se refere o item 232:</w:t>
      </w:r>
    </w:p>
    <w:p w14:paraId="4026BCC1"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nome do ente estatal e a natureza de seu relacionamento com a entidade que reporta a informação (por exemplo, controle, pleno ou compartilhado, ou influência significativa);</w:t>
      </w:r>
    </w:p>
    <w:p w14:paraId="7DCB161B"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informação que segue, em detalhe suficiente, para possibilitar a compreensão dos usuários das demonstrações contábeis da entidade dos efeitos das transações com partes relacionadas nas suas demonstrações contábeis:</w:t>
      </w:r>
    </w:p>
    <w:p w14:paraId="4DE947D4"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natureza e montante de cada transação individualmente significativa; e</w:t>
      </w:r>
    </w:p>
    <w:p w14:paraId="4E918C5C" w14:textId="77777777" w:rsidR="004A419A"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outras transações que no conjunto são significativas, mas individualmente não o são, uma indicação qualitativa e quantitativa de sua extensão. Tipos de transações incluem aquelas enumeradas no item 234.</w:t>
      </w:r>
    </w:p>
    <w:p w14:paraId="1835E31D"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Seguem exemplos de transações que devem ser divulgadas, se feitas com parte relacionada:</w:t>
      </w:r>
    </w:p>
    <w:p w14:paraId="59643315"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compras ou vendas de bens (acabados ou não acabados);</w:t>
      </w:r>
    </w:p>
    <w:p w14:paraId="2B58896F"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compras ou vendas de propriedades e outros ativos;</w:t>
      </w:r>
    </w:p>
    <w:p w14:paraId="32089DDB"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prestação ou recebimento de serviços;</w:t>
      </w:r>
    </w:p>
    <w:p w14:paraId="01358F70"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arrendamentos;</w:t>
      </w:r>
    </w:p>
    <w:p w14:paraId="06016850"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transferências de pesquisa e desenvolvimento;</w:t>
      </w:r>
    </w:p>
    <w:p w14:paraId="10C949C9"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transferências conforme acordos de licença;</w:t>
      </w:r>
    </w:p>
    <w:p w14:paraId="33DCDA95"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transferências conforme acordos de natureza financeira (incluindo empréstimos e contribuições para capital em dinheiro ou equivalente);</w:t>
      </w:r>
    </w:p>
    <w:p w14:paraId="3EB0B760"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fornecimento de garantias, avais ou fianças; e </w:t>
      </w:r>
    </w:p>
    <w:p w14:paraId="17B6D9CA"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liquidação de passivos em nome da entidade ou pela entidade em nome de parte relacionada. </w:t>
      </w:r>
    </w:p>
    <w:p w14:paraId="21CD0101" w14:textId="56C696C5"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participação de controladora ou controlada em um plano de benefício definido que compartilha os riscos entre entidades </w:t>
      </w:r>
      <w:r w:rsidR="00915B1A" w:rsidRPr="007775ED">
        <w:rPr>
          <w:rFonts w:ascii="Times New Roman" w:hAnsi="Times New Roman" w:cs="Times New Roman"/>
          <w:b w:val="0"/>
          <w:bCs/>
          <w:sz w:val="24"/>
          <w:szCs w:val="24"/>
        </w:rPr>
        <w:t xml:space="preserve">do </w:t>
      </w:r>
      <w:r w:rsidRPr="007775ED">
        <w:rPr>
          <w:rFonts w:ascii="Times New Roman" w:hAnsi="Times New Roman" w:cs="Times New Roman"/>
          <w:b w:val="0"/>
          <w:bCs/>
          <w:sz w:val="24"/>
          <w:szCs w:val="24"/>
        </w:rPr>
        <w:t xml:space="preserve">grupo econômico é considerada uma transação entre partes relacionadas (ver item 42 do CPC 33, que exige que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divulgue as informações requeridas pelo item 213).</w:t>
      </w:r>
    </w:p>
    <w:p w14:paraId="30181472" w14:textId="77777777"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divulgações de que as transações com partes relacionadas foram realizadas em termos equivalentes aos que prevalecem nas transações com partes independentes são feitas apenas se esses termos puderem ser efetivamente comprovados.</w:t>
      </w:r>
    </w:p>
    <w:p w14:paraId="7E00D05C" w14:textId="5D5C117F"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itens de natureza similar podem ser divulgados de forma agregada, exceto quando a divulgação em separado for necessária para a compreensão dos efeitos das transações com partes relacionadas nas demonstrações contábeis da entidade.</w:t>
      </w:r>
    </w:p>
    <w:p w14:paraId="00465A0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35 – Demonstrações Separadas</w:t>
      </w:r>
    </w:p>
    <w:p w14:paraId="1448AA84" w14:textId="53B61DF3" w:rsidR="004A419A"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uma controladora, de acordo com o item 4(a) do CPC 36, optar por não elaborar demonstrações consolidadas e, em seu lugar, elaborar demonstrações separadas, ela divulgará, nessas demonstrações separadas:</w:t>
      </w:r>
    </w:p>
    <w:p w14:paraId="4A4BB584" w14:textId="77777777" w:rsidR="004A419A"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fato de que as demonstrações contábeis são demonstrações separadas; que foi utilizada a isenção da consolidação; o nome e a sede (e o país de constituição, se diferente) da entidade cujas demonstrações consolidadas que cumprem os Pronunciamentos Técnicos, Interpretações e Orientações do Comitê de Pronunciamentos Contábeis foram produzidas para uso público; e o endereço em que essas demonstrações consolidadas podem ser obtidas; e</w:t>
      </w:r>
    </w:p>
    <w:p w14:paraId="60D32387" w14:textId="1B92DC95"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uma descrição do método utilizado para contabilizar seus investimentos em </w:t>
      </w:r>
      <w:r w:rsidR="00C20535" w:rsidRPr="007775ED">
        <w:rPr>
          <w:rFonts w:ascii="Times New Roman" w:hAnsi="Times New Roman" w:cs="Times New Roman"/>
          <w:b w:val="0"/>
          <w:bCs/>
          <w:sz w:val="24"/>
          <w:szCs w:val="24"/>
        </w:rPr>
        <w:t>controladas</w:t>
      </w:r>
      <w:r w:rsidRPr="007775ED">
        <w:rPr>
          <w:rFonts w:ascii="Times New Roman" w:hAnsi="Times New Roman" w:cs="Times New Roman"/>
          <w:b w:val="0"/>
          <w:bCs/>
          <w:sz w:val="24"/>
          <w:szCs w:val="24"/>
        </w:rPr>
        <w:t xml:space="preserve">, empreendimentos </w:t>
      </w:r>
      <w:r w:rsidR="00C20535" w:rsidRPr="007775ED">
        <w:rPr>
          <w:rFonts w:ascii="Times New Roman" w:hAnsi="Times New Roman" w:cs="Times New Roman"/>
          <w:b w:val="0"/>
          <w:bCs/>
          <w:sz w:val="24"/>
          <w:szCs w:val="24"/>
        </w:rPr>
        <w:t xml:space="preserve">controlados </w:t>
      </w:r>
      <w:r w:rsidRPr="007775ED">
        <w:rPr>
          <w:rFonts w:ascii="Times New Roman" w:hAnsi="Times New Roman" w:cs="Times New Roman"/>
          <w:b w:val="0"/>
          <w:bCs/>
          <w:sz w:val="24"/>
          <w:szCs w:val="24"/>
        </w:rPr>
        <w:t>em conjunto e coligadas.</w:t>
      </w:r>
    </w:p>
    <w:p w14:paraId="65732D08" w14:textId="6C2511E0"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de investimento que é uma controladora (exceto uma controladora que se qualifica no item 238) prepara, de acordo com o item 8A d</w:t>
      </w:r>
      <w:r w:rsidR="00437FA2" w:rsidRPr="007775ED">
        <w:rPr>
          <w:rFonts w:ascii="Times New Roman" w:hAnsi="Times New Roman" w:cs="Times New Roman"/>
          <w:b w:val="0"/>
          <w:bCs/>
          <w:sz w:val="24"/>
          <w:szCs w:val="24"/>
        </w:rPr>
        <w:t xml:space="preserve">o </w:t>
      </w:r>
      <w:r w:rsidR="00D47B7E" w:rsidRPr="007775ED">
        <w:rPr>
          <w:rFonts w:ascii="Times New Roman" w:hAnsi="Times New Roman" w:cs="Times New Roman"/>
          <w:b w:val="0"/>
          <w:bCs/>
          <w:sz w:val="24"/>
          <w:szCs w:val="24"/>
        </w:rPr>
        <w:t xml:space="preserve">Pronunciamento Técnico </w:t>
      </w:r>
      <w:r w:rsidR="00437FA2" w:rsidRPr="007775ED">
        <w:rPr>
          <w:rFonts w:ascii="Times New Roman" w:hAnsi="Times New Roman" w:cs="Times New Roman"/>
          <w:b w:val="0"/>
          <w:bCs/>
          <w:sz w:val="24"/>
          <w:szCs w:val="24"/>
        </w:rPr>
        <w:t>CPC</w:t>
      </w:r>
      <w:r w:rsidRPr="007775ED">
        <w:rPr>
          <w:rFonts w:ascii="Times New Roman" w:hAnsi="Times New Roman" w:cs="Times New Roman"/>
          <w:b w:val="0"/>
          <w:bCs/>
          <w:sz w:val="24"/>
          <w:szCs w:val="24"/>
        </w:rPr>
        <w:t xml:space="preserve"> 35 – Demonstrações Separadas, demonstrações separadas como suas únicas demonstrações contábeis, ela divulgará tal fato. A entidade de investimentos também apresentará as divulgações relativas a entidades de investimentos requeridas pelos itens 82–94.</w:t>
      </w:r>
    </w:p>
    <w:p w14:paraId="54878864" w14:textId="5156BEDD"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uma controladora (exceto uma controladora que se qualifica nos itens 238–239) ou um investidor com controle conjunto de uma investida ou com influência significativa sobre ela, elaborar demonstrações separadas, a controladora ou o investidor identificará as demonstrações contábeis elaboradas de acordo com o</w:t>
      </w:r>
      <w:r w:rsidR="004F413D" w:rsidRPr="007775ED">
        <w:rPr>
          <w:rFonts w:ascii="Times New Roman" w:hAnsi="Times New Roman" w:cs="Times New Roman"/>
          <w:b w:val="0"/>
          <w:bCs/>
          <w:sz w:val="24"/>
          <w:szCs w:val="24"/>
        </w:rPr>
        <w:t>s Pronunciamentos Técnicos</w:t>
      </w:r>
      <w:r w:rsidRPr="007775ED">
        <w:rPr>
          <w:rFonts w:ascii="Times New Roman" w:hAnsi="Times New Roman" w:cs="Times New Roman"/>
          <w:b w:val="0"/>
          <w:bCs/>
          <w:sz w:val="24"/>
          <w:szCs w:val="24"/>
        </w:rPr>
        <w:t xml:space="preserve"> CPC 36 – Demonstrações Consolidadas, CPC 19 – Negócios em Conjunto e CPC 18 – Investimento em Coligada, em Controlada e em Empreendimento Controlado em Conjunto às quais essas demonstrações estejam relacionadas. A controladora ou o investidor divulgará também, em suas demonstrações separadas:</w:t>
      </w:r>
    </w:p>
    <w:p w14:paraId="6440566A"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fato de tratar-se de demonstrações separadas; e</w:t>
      </w:r>
    </w:p>
    <w:p w14:paraId="754DCF24" w14:textId="652B9EBB"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uma descrição do método utilizado para contabilizar seus investimentos em </w:t>
      </w:r>
      <w:r w:rsidR="00C20535" w:rsidRPr="007775ED">
        <w:rPr>
          <w:rFonts w:ascii="Times New Roman" w:hAnsi="Times New Roman" w:cs="Times New Roman"/>
          <w:b w:val="0"/>
          <w:bCs/>
          <w:sz w:val="24"/>
          <w:szCs w:val="24"/>
        </w:rPr>
        <w:t>controladas</w:t>
      </w:r>
      <w:r w:rsidRPr="007775ED">
        <w:rPr>
          <w:rFonts w:ascii="Times New Roman" w:hAnsi="Times New Roman" w:cs="Times New Roman"/>
          <w:b w:val="0"/>
          <w:bCs/>
          <w:sz w:val="24"/>
          <w:szCs w:val="24"/>
        </w:rPr>
        <w:t xml:space="preserve">, empreendimentos </w:t>
      </w:r>
      <w:r w:rsidR="00C20535" w:rsidRPr="007775ED">
        <w:rPr>
          <w:rFonts w:ascii="Times New Roman" w:hAnsi="Times New Roman" w:cs="Times New Roman"/>
          <w:b w:val="0"/>
          <w:bCs/>
          <w:sz w:val="24"/>
          <w:szCs w:val="24"/>
        </w:rPr>
        <w:t xml:space="preserve">controlados </w:t>
      </w:r>
      <w:r w:rsidRPr="007775ED">
        <w:rPr>
          <w:rFonts w:ascii="Times New Roman" w:hAnsi="Times New Roman" w:cs="Times New Roman"/>
          <w:b w:val="0"/>
          <w:bCs/>
          <w:sz w:val="24"/>
          <w:szCs w:val="24"/>
        </w:rPr>
        <w:t>em conjunto e coligadas.</w:t>
      </w:r>
    </w:p>
    <w:p w14:paraId="6FF8D7F6" w14:textId="19E6E92C" w:rsidR="002507E1" w:rsidRPr="007775ED" w:rsidRDefault="002507E1" w:rsidP="007775ED">
      <w:pPr>
        <w:pStyle w:val="IASBSectionTitle1NonInd"/>
        <w:pBdr>
          <w:bottom w:val="none" w:sz="0" w:space="0" w:color="auto"/>
        </w:pBdr>
        <w:spacing w:after="240"/>
        <w:ind w:left="709" w:hanging="709"/>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240A.</w:t>
      </w:r>
      <w:r w:rsidRPr="007775ED">
        <w:rPr>
          <w:rFonts w:ascii="Times New Roman" w:hAnsi="Times New Roman" w:cs="Times New Roman"/>
          <w:b w:val="0"/>
          <w:bCs/>
          <w:sz w:val="24"/>
          <w:szCs w:val="24"/>
        </w:rPr>
        <w:tab/>
        <w:t>Quando da emissão deste Pronunciamento, a elaboração de demonstrações separadas é uma opção da entidade. Não obstante, a entidade é requerida pela lei societária a apresentar demonstrações contábeis individuais.</w:t>
      </w:r>
    </w:p>
    <w:p w14:paraId="45108CD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42 – Contabilidade em Economia Hiperinflacionária</w:t>
      </w:r>
    </w:p>
    <w:p w14:paraId="6A0E7CB3" w14:textId="77777777"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25309618"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fato de que as demonstrações contábeis e os valores correspondentes para os períodos anteriores foram atualizados monetariamente para refletir as mudanças no poder aquisitivo geral da moeda funcional e, como resultado, estão apresentados em termos da unidade de mensuração corrente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w:t>
      </w:r>
    </w:p>
    <w:p w14:paraId="6DC159C3" w14:textId="38EADD17"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identidade e o nível do índice de preços utilizado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a variação no índice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corrente e anterior.</w:t>
      </w:r>
    </w:p>
    <w:p w14:paraId="2D9D828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39 – Instrumentos Financeiros: Apresentação</w:t>
      </w:r>
    </w:p>
    <w:p w14:paraId="0EA461AA" w14:textId="4B635F52"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n</w:t>
      </w:r>
      <w:r w:rsidR="00771CC3" w:rsidRPr="007775ED">
        <w:rPr>
          <w:rFonts w:ascii="Times New Roman" w:hAnsi="Times New Roman" w:cs="Times New Roman"/>
          <w:b w:val="0"/>
          <w:bCs/>
          <w:i/>
          <w:iCs/>
          <w:sz w:val="24"/>
          <w:szCs w:val="24"/>
        </w:rPr>
        <w:t>o</w:t>
      </w:r>
      <w:r w:rsidRPr="007775ED">
        <w:rPr>
          <w:rFonts w:ascii="Times New Roman" w:hAnsi="Times New Roman" w:cs="Times New Roman"/>
          <w:b w:val="0"/>
          <w:bCs/>
          <w:i/>
          <w:iCs/>
          <w:sz w:val="24"/>
          <w:szCs w:val="24"/>
        </w:rPr>
        <w:t xml:space="preserve"> </w:t>
      </w:r>
      <w:r w:rsidR="00771CC3" w:rsidRPr="007775ED">
        <w:rPr>
          <w:rFonts w:ascii="Times New Roman" w:hAnsi="Times New Roman" w:cs="Times New Roman"/>
          <w:b w:val="0"/>
          <w:bCs/>
          <w:i/>
          <w:iCs/>
          <w:sz w:val="24"/>
          <w:szCs w:val="24"/>
        </w:rPr>
        <w:t xml:space="preserve">CPC 39 </w:t>
      </w:r>
      <w:r w:rsidRPr="007775ED">
        <w:rPr>
          <w:rFonts w:ascii="Times New Roman" w:hAnsi="Times New Roman" w:cs="Times New Roman"/>
          <w:b w:val="0"/>
          <w:bCs/>
          <w:i/>
          <w:iCs/>
          <w:sz w:val="24"/>
          <w:szCs w:val="24"/>
        </w:rPr>
        <w:t>que continuam aplicáveis</w:t>
      </w:r>
    </w:p>
    <w:p w14:paraId="53435F38" w14:textId="3FCBE317"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aplicar os requisitos de divulgação dos itens 34 e 40 do CPC 39.</w:t>
      </w:r>
    </w:p>
    <w:p w14:paraId="5AA8C47A" w14:textId="1F523F79"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21 – Demonstração intermediária</w:t>
      </w:r>
    </w:p>
    <w:p w14:paraId="1786740F"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Conteúdo da demonstração contábil intermediária</w:t>
      </w:r>
    </w:p>
    <w:p w14:paraId="1C1F20F8"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Eventos e transações significativos</w:t>
      </w:r>
    </w:p>
    <w:p w14:paraId="4753788C" w14:textId="77777777"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incluir em suas demonstrações contábeis intermediárias uma explicação dos eventos e transações que sejam significativos para a compreensão das mudanças patrimoniais, econômicas e financeiras da entidade e seu desempenho desde o término do último exercício social. A informação divulgada com relação a esses eventos e transações deve ser utilizada para atualização de informações relevantes apresentadas nas demonstrações contábeis anuais mais recentes.</w:t>
      </w:r>
    </w:p>
    <w:p w14:paraId="653BDDD4" w14:textId="77777777"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Eventos e transações para os quais são requeridas divulgações se eles forem significativos (a lista não é exaustiva) incluem:</w:t>
      </w:r>
    </w:p>
    <w:p w14:paraId="4D1BE32A"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redução de estoques ao valor líquido de realização e reversão desses ajustes;</w:t>
      </w:r>
    </w:p>
    <w:p w14:paraId="2933E6C2"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reconhecimento de perda ao valor recuperável (</w:t>
      </w:r>
      <w:r w:rsidRPr="007775ED">
        <w:rPr>
          <w:rFonts w:ascii="Times New Roman" w:hAnsi="Times New Roman" w:cs="Times New Roman"/>
          <w:b w:val="0"/>
          <w:bCs/>
          <w:i/>
          <w:iCs/>
          <w:sz w:val="24"/>
          <w:szCs w:val="24"/>
        </w:rPr>
        <w:t>impairment</w:t>
      </w:r>
      <w:r w:rsidRPr="007775ED">
        <w:rPr>
          <w:rFonts w:ascii="Times New Roman" w:hAnsi="Times New Roman" w:cs="Times New Roman"/>
          <w:b w:val="0"/>
          <w:bCs/>
          <w:sz w:val="24"/>
          <w:szCs w:val="24"/>
        </w:rPr>
        <w:t>) de ativos financeiros, de ativos imobilizados, de ativos intangíveis, de ativos provenientes de contratos com clientes ou de outros ativos e de reversão dessa perda;</w:t>
      </w:r>
    </w:p>
    <w:p w14:paraId="01C3FBD9"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reversão de quaisquer provisões para custos de reestruturação;</w:t>
      </w:r>
    </w:p>
    <w:p w14:paraId="443D3082"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aquisições e baixas de itens do ativo imobilizado;</w:t>
      </w:r>
    </w:p>
    <w:p w14:paraId="05668F52"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assunção de compromissos para aquisição de itens do ativo imobilizado;</w:t>
      </w:r>
    </w:p>
    <w:p w14:paraId="2BB7E9AB"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liquidações de processos judiciais ou administrativos;</w:t>
      </w:r>
    </w:p>
    <w:p w14:paraId="082320FA"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retificações de erros de períodos anteriores;</w:t>
      </w:r>
    </w:p>
    <w:p w14:paraId="2D271F3E" w14:textId="1690FB46"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alterações nos negócios ou nas circunstâncias econômicas que afetam o valor justo dos ativos financeiros e dos passivos financeiros da entidade, sejam esses ativos e passivos reconhecidos </w:t>
      </w:r>
      <w:r w:rsidR="00025F99" w:rsidRPr="007775ED">
        <w:rPr>
          <w:rFonts w:ascii="Times New Roman" w:hAnsi="Times New Roman" w:cs="Times New Roman"/>
          <w:b w:val="0"/>
          <w:bCs/>
          <w:sz w:val="24"/>
          <w:szCs w:val="24"/>
        </w:rPr>
        <w:t xml:space="preserve">ao </w:t>
      </w:r>
      <w:r w:rsidRPr="007775ED">
        <w:rPr>
          <w:rFonts w:ascii="Times New Roman" w:hAnsi="Times New Roman" w:cs="Times New Roman"/>
          <w:b w:val="0"/>
          <w:bCs/>
          <w:sz w:val="24"/>
          <w:szCs w:val="24"/>
        </w:rPr>
        <w:t>valor justo ou pelo custo amortizado;</w:t>
      </w:r>
    </w:p>
    <w:p w14:paraId="6F9E0431"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qualquer não atendimento de prazos de pagamento de empréstimos ou quebra de contrato de empréstimo que não tenha sido solucionado ao término ou antes do término do período de reporte;</w:t>
      </w:r>
    </w:p>
    <w:p w14:paraId="5807B1CD"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transações com partes relacionadas;</w:t>
      </w:r>
    </w:p>
    <w:p w14:paraId="1AF1A1B0"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mudanças na classificação de ativos financeiros como resultado de uma alteração no propósito ou no uso desses ativos; e</w:t>
      </w:r>
    </w:p>
    <w:p w14:paraId="7C812296"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mudanças nos passivos contingentes ou ativos contingentes.</w:t>
      </w:r>
    </w:p>
    <w:p w14:paraId="6182A795" w14:textId="79F7F886"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um evento ou transação é significativo para uma compreensão das mudanças na posição financeira ou desempenho </w:t>
      </w:r>
      <w:r w:rsidR="00FA283A" w:rsidRPr="007775ED">
        <w:rPr>
          <w:rFonts w:ascii="Times New Roman" w:hAnsi="Times New Roman" w:cs="Times New Roman"/>
          <w:b w:val="0"/>
          <w:bCs/>
          <w:sz w:val="24"/>
          <w:szCs w:val="24"/>
        </w:rPr>
        <w:t xml:space="preserve">da </w:t>
      </w:r>
      <w:r w:rsidRPr="007775ED">
        <w:rPr>
          <w:rFonts w:ascii="Times New Roman" w:hAnsi="Times New Roman" w:cs="Times New Roman"/>
          <w:b w:val="0"/>
          <w:bCs/>
          <w:sz w:val="24"/>
          <w:szCs w:val="24"/>
        </w:rPr>
        <w:t xml:space="preserve">entidade desde o último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anual, a demonstração intermediária deve fornecer uma explicação e uma atualização das informações relevantes incluídas nas demonstrações contábeis do último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anual.</w:t>
      </w:r>
    </w:p>
    <w:p w14:paraId="6C63FB82"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Outras divulgações</w:t>
      </w:r>
    </w:p>
    <w:p w14:paraId="521DF75C" w14:textId="77777777" w:rsidR="00FF3F6E"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as informações especificadas nos itens (a)–(m), deste item, nas demonstrações intermediárias ou incorporadas por referência cruzada das demonstrações intermediárias com alguma outra demonstração (como, por exemplo, um comentário da administração ou um relatório de risco) que esteja disponível aos usuários das demonstrações contábeis nos mesmos termos que as demonstrações intermediárias e na mesma época. Se os usuários de demonstrações contábeis não tiverem acesso às informações incorporadas por referência cruzada nos mesmos termos e na mesma época, o relatório financeiro intermediário está incompleto. As informações adicionais serão normalmente apresentadas com base no acumulado do ano e consistem </w:t>
      </w:r>
      <w:proofErr w:type="gramStart"/>
      <w:r w:rsidRPr="007775ED">
        <w:rPr>
          <w:rFonts w:ascii="Times New Roman" w:hAnsi="Times New Roman" w:cs="Times New Roman"/>
          <w:b w:val="0"/>
          <w:bCs/>
          <w:sz w:val="24"/>
          <w:szCs w:val="24"/>
        </w:rPr>
        <w:t>de</w:t>
      </w:r>
      <w:proofErr w:type="gramEnd"/>
      <w:r w:rsidRPr="007775ED">
        <w:rPr>
          <w:rFonts w:ascii="Times New Roman" w:hAnsi="Times New Roman" w:cs="Times New Roman"/>
          <w:b w:val="0"/>
          <w:bCs/>
          <w:sz w:val="24"/>
          <w:szCs w:val="24"/>
        </w:rPr>
        <w:t>:</w:t>
      </w:r>
    </w:p>
    <w:p w14:paraId="04B5C8D5"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declaração de que as políticas contábeis e os métodos de cálculo são os mesmos</w:t>
      </w:r>
      <w:r w:rsidR="00FF3F6E"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nas demonstrações contábeis intermediárias, quando comparados com a demonstração contábil anual mais recente; ou, se tais políticas e métodos foram alterados, uma descrição da natureza e dos efeitos dessa mudança.</w:t>
      </w:r>
    </w:p>
    <w:p w14:paraId="64F3245A"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comentários explicativos sobre operações intermediárias sazonais ou cíclicas.</w:t>
      </w:r>
    </w:p>
    <w:p w14:paraId="7A80D846" w14:textId="330179B6"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natureza e os montantes dos itens não usuais em função de sua natureza, tamanho ou incidência que afetaram os ativos, os passivos, o patrimônio líquido, o </w:t>
      </w:r>
      <w:r w:rsidR="00E54DF0" w:rsidRPr="007775ED">
        <w:rPr>
          <w:rFonts w:ascii="Times New Roman" w:hAnsi="Times New Roman" w:cs="Times New Roman"/>
          <w:b w:val="0"/>
          <w:bCs/>
          <w:sz w:val="24"/>
          <w:szCs w:val="24"/>
        </w:rPr>
        <w:t xml:space="preserve">lucro </w:t>
      </w:r>
      <w:r w:rsidRPr="007775ED">
        <w:rPr>
          <w:rFonts w:ascii="Times New Roman" w:hAnsi="Times New Roman" w:cs="Times New Roman"/>
          <w:b w:val="0"/>
          <w:bCs/>
          <w:sz w:val="24"/>
          <w:szCs w:val="24"/>
        </w:rPr>
        <w:t>líquido ou os fluxos de caixa.</w:t>
      </w:r>
    </w:p>
    <w:p w14:paraId="1C8A229E"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e os valores das alterações nas estimativas de montantes divulgados em período intermediário anterior do ano corrente ou alterações das estimativas dos montantes divulgados em períodos anuais anteriores.</w:t>
      </w:r>
    </w:p>
    <w:p w14:paraId="72607E8A"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emissões, recompras e resgates de títulos de dívida e de títulos patrimoniais.</w:t>
      </w:r>
    </w:p>
    <w:p w14:paraId="526E69C8"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dividendos pagos (agregados ou por ação) separadamente por ações ordinárias e por outros tipos e classes de ações.</w:t>
      </w:r>
    </w:p>
    <w:p w14:paraId="6FAFD157" w14:textId="628D0A50"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base para elaborar e apresentar informações sobre segmentos, se a entidade escolhe divulgar informações sobre segmentos. Se a entidade escolhe divulgar informações sobre segmentos que não cumpram o CPC 22, ela não descreverá as informações como informações por segmento.</w:t>
      </w:r>
    </w:p>
    <w:p w14:paraId="040527E4"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eventos subsequentes ao fim do período intermediário que não tenham sido refletidos nas demonstrações contábeis do período intermediário. </w:t>
      </w:r>
    </w:p>
    <w:p w14:paraId="110972F4"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efeito de mudanças na composição da entidade durante o período intermediário, incluindo combinação de negócios, obtenção ou perda de controle de controladas e investimentos de longo prazo, reestruturações e operações descontinuadas. No caso de combinações de negócios, a entidade divulgará as informações exigidas pelos itens 35–37.</w:t>
      </w:r>
    </w:p>
    <w:p w14:paraId="55486C11"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instrumentos financeiros, as divulgações sobre valor justo exigidas pelos itens 64 e 95–97.</w:t>
      </w:r>
    </w:p>
    <w:p w14:paraId="067C9D32" w14:textId="3C664846"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entidades que se tornarem ou que deixarem de ser entidades de investimento, conforme definido no CPC 36, as divulgações requeridas pelo item 83.</w:t>
      </w:r>
    </w:p>
    <w:p w14:paraId="09C90A73" w14:textId="77777777" w:rsidR="00FF3F6E"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desagregação da receita de contratos com clientes requerida pelos itens 103–104.</w:t>
      </w:r>
    </w:p>
    <w:p w14:paraId="40635946" w14:textId="1FCCAB01"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divulgações sobre as medidas de desempenho definidas pela administração exigidas pelos itens 142–146.</w:t>
      </w:r>
    </w:p>
    <w:p w14:paraId="3E6498C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em conformidade com os pronunciamentos técnicos do CPC</w:t>
      </w:r>
    </w:p>
    <w:p w14:paraId="3446465D" w14:textId="32B68A1F"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cujo as demonstrações contábeis intermediárias cumpram o CPC 21</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e os requisitos nos itens 1–19 e 243–249 fará uma declaração explícita e sem ressalvas desse cumprimento nas notas explicativas. A entidade que aplica este pronunciamento afirmará, como parte dessa declaração sem ressalvas, que aplicou o CPC 21 e os requisitos nos itens 1–19 e 243–249. A entidade que aplica este pronunciamento não descreverá o relatório financeiro intermediário como estando em conformidade com os pronunciamentos técnicos do CPC, a menos que cumpra com todos os requerimentos dos Pronunciamentos Técnicos, Orientações e Interpretações do CPC.</w:t>
      </w:r>
    </w:p>
    <w:p w14:paraId="0706347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nas demonstrações contábeis anuais</w:t>
      </w:r>
    </w:p>
    <w:p w14:paraId="14180C3B" w14:textId="13A9FBD5"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a estimativa de um montante reportado em período intermediário for alterada significativamente durante o período intermediário final do exercício social, mas um reporte financeiro separado não tiver sido divulgado ou publicado para aquele período intermediário, a natureza e o montante da alteração da estimativa devem ser evidenciados em nota explicativa das demonstrações contábeis anuais daquele exercício social.</w:t>
      </w:r>
    </w:p>
    <w:p w14:paraId="7999FA1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Requisitos de divulgação do CPC 21 que continuam aplicáveis</w:t>
      </w:r>
    </w:p>
    <w:p w14:paraId="231C2936" w14:textId="55255D2C"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aplicará os requisitos de divulgação do item 41 do CPC 21.</w:t>
      </w:r>
    </w:p>
    <w:p w14:paraId="0A65C2F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01 – Redução ao Valor Recuperável de Ativos</w:t>
      </w:r>
    </w:p>
    <w:p w14:paraId="2519E71B"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classe de ativos:</w:t>
      </w:r>
    </w:p>
    <w:p w14:paraId="510A8651" w14:textId="12E2EBEE"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o montante das perdas por desvalorização reconhecidas </w:t>
      </w:r>
      <w:r w:rsidR="00E54DF0" w:rsidRPr="007775ED">
        <w:rPr>
          <w:rFonts w:ascii="Times New Roman" w:hAnsi="Times New Roman" w:cs="Times New Roman"/>
          <w:b w:val="0"/>
          <w:bCs/>
          <w:sz w:val="24"/>
          <w:szCs w:val="24"/>
        </w:rPr>
        <w:t xml:space="preserve">no resultado </w:t>
      </w:r>
      <w:r w:rsidRPr="007775ED">
        <w:rPr>
          <w:rFonts w:ascii="Times New Roman" w:hAnsi="Times New Roman" w:cs="Times New Roman"/>
          <w:b w:val="0"/>
          <w:bCs/>
          <w:sz w:val="24"/>
          <w:szCs w:val="24"/>
        </w:rPr>
        <w:t xml:space="preserve">durante o período e a(s) rubrica(s) da demonstração do resultado abrangente na qual essas perdas </w:t>
      </w:r>
      <w:r w:rsidR="004603AD">
        <w:rPr>
          <w:rFonts w:ascii="Times New Roman" w:hAnsi="Times New Roman" w:cs="Times New Roman"/>
          <w:b w:val="0"/>
          <w:bCs/>
          <w:sz w:val="24"/>
          <w:szCs w:val="24"/>
        </w:rPr>
        <w:t xml:space="preserve">por </w:t>
      </w:r>
      <w:r w:rsidRPr="007775ED">
        <w:rPr>
          <w:rFonts w:ascii="Times New Roman" w:hAnsi="Times New Roman" w:cs="Times New Roman"/>
          <w:b w:val="0"/>
          <w:bCs/>
          <w:sz w:val="24"/>
          <w:szCs w:val="24"/>
        </w:rPr>
        <w:t>desvalorização estão incluídas; e</w:t>
      </w:r>
    </w:p>
    <w:p w14:paraId="0D95B37A" w14:textId="4ACD3316"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de reversões de perdas por desvalorização de ativos reconhecidas </w:t>
      </w:r>
      <w:r w:rsidR="00E54DF0" w:rsidRPr="007775ED">
        <w:rPr>
          <w:rFonts w:ascii="Times New Roman" w:hAnsi="Times New Roman" w:cs="Times New Roman"/>
          <w:b w:val="0"/>
          <w:bCs/>
          <w:sz w:val="24"/>
          <w:szCs w:val="24"/>
        </w:rPr>
        <w:t xml:space="preserve">no resultado </w:t>
      </w:r>
      <w:r w:rsidRPr="007775ED">
        <w:rPr>
          <w:rFonts w:ascii="Times New Roman" w:hAnsi="Times New Roman" w:cs="Times New Roman"/>
          <w:b w:val="0"/>
          <w:bCs/>
          <w:sz w:val="24"/>
          <w:szCs w:val="24"/>
        </w:rPr>
        <w:t xml:space="preserve">durante o período e a(s) rubrica(s) da demonstração do resultado abrangente na qual essas </w:t>
      </w:r>
      <w:r w:rsidR="00703533">
        <w:rPr>
          <w:rFonts w:ascii="Times New Roman" w:hAnsi="Times New Roman" w:cs="Times New Roman"/>
          <w:b w:val="0"/>
          <w:bCs/>
          <w:sz w:val="24"/>
          <w:szCs w:val="24"/>
        </w:rPr>
        <w:t xml:space="preserve">reversões de </w:t>
      </w:r>
      <w:r w:rsidRPr="007775ED">
        <w:rPr>
          <w:rFonts w:ascii="Times New Roman" w:hAnsi="Times New Roman" w:cs="Times New Roman"/>
          <w:b w:val="0"/>
          <w:bCs/>
          <w:sz w:val="24"/>
          <w:szCs w:val="24"/>
        </w:rPr>
        <w:t>perdas por desvalorização estão incluídas.</w:t>
      </w:r>
    </w:p>
    <w:p w14:paraId="660E2BCD"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classe de ativos é um agrupamento de ativos de natureza e uso similares nas operações da entidade.</w:t>
      </w:r>
    </w:p>
    <w:p w14:paraId="0D98AAF4"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divulgará, para uma unidade geradora de caixa para a qual uma perda por desvalorização tenha sido reconhecida ou revertida durante o período:</w:t>
      </w:r>
    </w:p>
    <w:p w14:paraId="22C8F2FD" w14:textId="57D19200"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da unidade geradora de caixa (por exemplo, se é uma linha de produtos, uma planta industrial, uma unidade operacional do negócio, uma área geográfica, ou um segmento a ser reportado, conforme o CPC 22); e</w:t>
      </w:r>
    </w:p>
    <w:p w14:paraId="7947C846"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agregado de ativos utilizado para identificar a unidade geradora de caixa tiver mudado desde a estimativa anterior do seu valor recuperável (se houver), uma descrição da maneira atual e anterior de agregar os ativos envolvidos e as razões que justificam a mudança na maneira pela qual é identificada a unidade geradora de caixa.</w:t>
      </w:r>
    </w:p>
    <w:p w14:paraId="32B0630D" w14:textId="228F94AF"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de acordo com o item 84 do CPC 01, qualquer parcela do ágio adquirido em uma combinação de negócios durante o período não tiver sido alocada a uma unidade geradora de caixa (grupo de unidades) ao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o valor do ágio não alocado será divulgado, juntamente com as razões pelas quais esse valor permanece não alocado.</w:t>
      </w:r>
    </w:p>
    <w:p w14:paraId="33D4B2A1" w14:textId="6FA90F1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Estimativas utilizadas para mensurar o valor recuperável de unidade geradora de caixa contendo ágio por expectativa de rentabilidade futura ou ativo intangível com vida útil indefinida</w:t>
      </w:r>
    </w:p>
    <w:p w14:paraId="252E4AE9"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unidade geradora de caixa (grupo de unidades) cujo valor contábil do ágio ou ativos intangíveis com vida útil indefinida alocados a unidade (grupo de unidades), seja significativo em comparação com o valor contábil total do ágio por expectativa de rentabilidade futura ou dos ativos intangíveis com vida útil indefinida reconhecidos pela entidade:</w:t>
      </w:r>
    </w:p>
    <w:p w14:paraId="074718F6"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do ágio por expectativa de rentabilidade futura alocado à unidade (grupo de unidades);</w:t>
      </w:r>
    </w:p>
    <w:p w14:paraId="6934E628"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dos ativos intangíveis com vida útil indefinida alocado à unidade (grupo de unidades);</w:t>
      </w:r>
    </w:p>
    <w:p w14:paraId="24ED0C3C" w14:textId="4F58954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base sobre a qual o valor recuperável da unidade (grupo de unidades) tenha sido determinado (por exemplo, valor em uso ou o valor justo líquido de despesas de </w:t>
      </w:r>
      <w:r w:rsidR="001A5D17" w:rsidRPr="007775ED">
        <w:rPr>
          <w:rFonts w:ascii="Times New Roman" w:hAnsi="Times New Roman" w:cs="Times New Roman"/>
          <w:b w:val="0"/>
          <w:bCs/>
          <w:sz w:val="24"/>
          <w:szCs w:val="24"/>
        </w:rPr>
        <w:t>venda</w:t>
      </w:r>
      <w:r w:rsidRPr="007775ED">
        <w:rPr>
          <w:rFonts w:ascii="Times New Roman" w:hAnsi="Times New Roman" w:cs="Times New Roman"/>
          <w:b w:val="0"/>
          <w:bCs/>
          <w:sz w:val="24"/>
          <w:szCs w:val="24"/>
        </w:rPr>
        <w:t>);</w:t>
      </w:r>
    </w:p>
    <w:p w14:paraId="04DD003C"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 valor recuperável da unidade (grupo de unidades) tiver sido baseado no valor em uso:</w:t>
      </w:r>
    </w:p>
    <w:p w14:paraId="05BBFC5B" w14:textId="77777777"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cada premissa-chave sobre a qual a administração tenha baseado suas projeções de fluxo de caixa para o período coberto pelo mais recente orçamento ou previsão. Premissas-chave são aquelas para as quais o valor recuperável da unidade (grupo de unidades) é mais sensível;</w:t>
      </w:r>
    </w:p>
    <w:p w14:paraId="520B0756" w14:textId="77777777"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crescimento utilizada para extrapolar as projeções de fluxo de caixa, além do período coberto pelo mais recente orçamento ou previsão, e a justificativa para utilização de qualquer taxa de crescimento que exceda a taxa média de crescimento de longo prazo para os produtos, segmentos de indústria, ou país ou países no qual a entidade opera, ou para o mercado para o qual a unidade (grupo de unidades) é direcionada; e</w:t>
      </w:r>
    </w:p>
    <w:p w14:paraId="1A17E16A" w14:textId="77777777"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desconto aplicada às projeções de fluxo de caixa.</w:t>
      </w:r>
    </w:p>
    <w:p w14:paraId="1C86BBBB" w14:textId="788EC1CF"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o valor recuperável da unidade (grupo de unidades) tiver sido baseado no valor justo líquido de despesas de </w:t>
      </w:r>
      <w:r w:rsidR="001A5D17" w:rsidRPr="007775ED">
        <w:rPr>
          <w:rFonts w:ascii="Times New Roman" w:hAnsi="Times New Roman" w:cs="Times New Roman"/>
          <w:b w:val="0"/>
          <w:bCs/>
          <w:sz w:val="24"/>
          <w:szCs w:val="24"/>
        </w:rPr>
        <w:t>venda</w:t>
      </w:r>
      <w:r w:rsidRPr="007775ED">
        <w:rPr>
          <w:rFonts w:ascii="Times New Roman" w:hAnsi="Times New Roman" w:cs="Times New Roman"/>
          <w:b w:val="0"/>
          <w:bCs/>
          <w:sz w:val="24"/>
          <w:szCs w:val="24"/>
        </w:rPr>
        <w:t xml:space="preserve">, as técnicas de avaliação utilizadas para mensurar o valor justo líquido de despesas de </w:t>
      </w:r>
      <w:r w:rsidR="001A5D17" w:rsidRPr="007775ED">
        <w:rPr>
          <w:rFonts w:ascii="Times New Roman" w:hAnsi="Times New Roman" w:cs="Times New Roman"/>
          <w:b w:val="0"/>
          <w:bCs/>
          <w:sz w:val="24"/>
          <w:szCs w:val="24"/>
        </w:rPr>
        <w:t>venda</w:t>
      </w:r>
      <w:r w:rsidRPr="007775ED">
        <w:rPr>
          <w:rFonts w:ascii="Times New Roman" w:hAnsi="Times New Roman" w:cs="Times New Roman"/>
          <w:b w:val="0"/>
          <w:bCs/>
          <w:sz w:val="24"/>
          <w:szCs w:val="24"/>
        </w:rPr>
        <w:t>. A entidade não é obrigada a fornecer as divulgações exigidas pelo</w:t>
      </w:r>
      <w:r w:rsidR="00AC7371">
        <w:rPr>
          <w:rFonts w:ascii="Times New Roman" w:hAnsi="Times New Roman" w:cs="Times New Roman"/>
          <w:b w:val="0"/>
          <w:bCs/>
          <w:sz w:val="24"/>
          <w:szCs w:val="24"/>
        </w:rPr>
        <w:t>s itens 95-97</w:t>
      </w:r>
      <w:r w:rsidRPr="007775ED">
        <w:rPr>
          <w:rFonts w:ascii="Times New Roman" w:hAnsi="Times New Roman" w:cs="Times New Roman"/>
          <w:b w:val="0"/>
          <w:bCs/>
          <w:sz w:val="24"/>
          <w:szCs w:val="24"/>
        </w:rPr>
        <w:t xml:space="preserve">. Se o valor justo líquido de despesas de </w:t>
      </w:r>
      <w:r w:rsidR="001A5D17" w:rsidRPr="007775ED">
        <w:rPr>
          <w:rFonts w:ascii="Times New Roman" w:hAnsi="Times New Roman" w:cs="Times New Roman"/>
          <w:b w:val="0"/>
          <w:bCs/>
          <w:sz w:val="24"/>
          <w:szCs w:val="24"/>
        </w:rPr>
        <w:t xml:space="preserve">venda </w:t>
      </w:r>
      <w:r w:rsidRPr="007775ED">
        <w:rPr>
          <w:rFonts w:ascii="Times New Roman" w:hAnsi="Times New Roman" w:cs="Times New Roman"/>
          <w:b w:val="0"/>
          <w:bCs/>
          <w:sz w:val="24"/>
          <w:szCs w:val="24"/>
        </w:rPr>
        <w:t>não é mensurado, utilizando-se o preço cotado para a unidade idêntica (grupo de unidades), a entidade deve divulgar as seguintes informações:</w:t>
      </w:r>
    </w:p>
    <w:p w14:paraId="0661EF8A" w14:textId="70372F6A"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cada premissa-chave sobre a qual a administração tenha baseado a determinação do valor justo líquido de despesas de </w:t>
      </w:r>
      <w:r w:rsidR="001A5D17" w:rsidRPr="007775ED">
        <w:rPr>
          <w:rFonts w:ascii="Times New Roman" w:hAnsi="Times New Roman" w:cs="Times New Roman"/>
          <w:b w:val="0"/>
          <w:bCs/>
          <w:sz w:val="24"/>
          <w:szCs w:val="24"/>
        </w:rPr>
        <w:t>venda</w:t>
      </w:r>
      <w:r w:rsidRPr="007775ED">
        <w:rPr>
          <w:rFonts w:ascii="Times New Roman" w:hAnsi="Times New Roman" w:cs="Times New Roman"/>
          <w:b w:val="0"/>
          <w:bCs/>
          <w:sz w:val="24"/>
          <w:szCs w:val="24"/>
        </w:rPr>
        <w:t xml:space="preserve">. Premissas-chave são aquelas para as quais o valor recuperável da unidade (grupo de unidades) é mais sensível; </w:t>
      </w:r>
    </w:p>
    <w:p w14:paraId="51A1AA49" w14:textId="5CCF2923"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nível da hierarquia de valor justo (ver CPC 46) no qual a mensuração do valor justo se classifica em sua totalidade (sem levar em conta o nível de observação </w:t>
      </w:r>
      <w:r w:rsidR="00F80B6B" w:rsidRPr="007775ED">
        <w:rPr>
          <w:rFonts w:ascii="Times New Roman" w:hAnsi="Times New Roman" w:cs="Times New Roman"/>
          <w:b w:val="0"/>
          <w:bCs/>
          <w:sz w:val="24"/>
          <w:szCs w:val="24"/>
        </w:rPr>
        <w:t>das despesas de venda</w:t>
      </w:r>
      <w:r w:rsidRPr="007775ED">
        <w:rPr>
          <w:rFonts w:ascii="Times New Roman" w:hAnsi="Times New Roman" w:cs="Times New Roman"/>
          <w:b w:val="0"/>
          <w:bCs/>
          <w:sz w:val="24"/>
          <w:szCs w:val="24"/>
        </w:rPr>
        <w:t xml:space="preserve">). </w:t>
      </w:r>
    </w:p>
    <w:p w14:paraId="6D4838EB" w14:textId="0A831274" w:rsidR="006A5A84" w:rsidRPr="007775ED" w:rsidRDefault="00953DE8" w:rsidP="00684511">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o valor justo líquido das despesas de </w:t>
      </w:r>
      <w:r w:rsidR="001A5D17" w:rsidRPr="007775ED">
        <w:rPr>
          <w:rFonts w:ascii="Times New Roman" w:hAnsi="Times New Roman" w:cs="Times New Roman"/>
          <w:b w:val="0"/>
          <w:bCs/>
          <w:sz w:val="24"/>
          <w:szCs w:val="24"/>
        </w:rPr>
        <w:t xml:space="preserve">venda </w:t>
      </w:r>
      <w:r w:rsidRPr="007775ED">
        <w:rPr>
          <w:rFonts w:ascii="Times New Roman" w:hAnsi="Times New Roman" w:cs="Times New Roman"/>
          <w:b w:val="0"/>
          <w:bCs/>
          <w:sz w:val="24"/>
          <w:szCs w:val="24"/>
        </w:rPr>
        <w:t>tiver sido mensurado, utilizando projeções de fluxo de caixa descontado, a entidade deve divulgar as seguintes informações:</w:t>
      </w:r>
    </w:p>
    <w:p w14:paraId="04E39DD9" w14:textId="77777777" w:rsidR="006A5A84" w:rsidRPr="007775ED" w:rsidRDefault="00953DE8" w:rsidP="00684511">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crescimento utilizada para extrapolar as projeções de fluxo de caixa; e</w:t>
      </w:r>
    </w:p>
    <w:p w14:paraId="57535347" w14:textId="77777777" w:rsidR="006A5A84" w:rsidRPr="007775ED" w:rsidRDefault="00953DE8" w:rsidP="00684511">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taxa de desconto aplicada às projeções de fluxo de caixa.</w:t>
      </w:r>
    </w:p>
    <w:p w14:paraId="66C45CE5"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Se alguns ou todos os valores contábeis do ágio por expectativa de rentabilidade futura ou dos ativos intangíveis com vida útil indefinida são alocados a múltiplas unidades geradoras de caixa (grupo de unidades), e o valor então alocado a cada unidade (grupo de unidades) não é significativo em comparação com o valor contábil total do ágio por expectativa de rentabilidade futura ou dos ativos intangíveis com vida útil indefinida, esse fato deve ser divulgado em conjunto com o valor contábil agregado do ágio por expectativa de rentabilidade futura ou dos ativos intangíveis com vida útil indefinida, alocados a essas unidades (grupo de unidades). Adicionalmente, se os valores recuperáveis de quaisquer dessas unidades (grupo de unidades) forem baseados na mesma premissa-chave, e o valor contábil agregado do ágio por expectativa de rentabilidade futura ou dos ativos intangíveis com vida útil indefinida, alocados a essas unidades, é significativo em comparação com o valor contábil total do ágio por expectativa de rentabilidade futura ou dos ativos intangíveis de vida útil indefinida, a entidade deve divulgar esse fato juntamente com: </w:t>
      </w:r>
    </w:p>
    <w:p w14:paraId="1B77F37F"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agregado do ágio por expectativa de rentabilidade futura alocado a essas unidades (grupo de unidades);</w:t>
      </w:r>
    </w:p>
    <w:p w14:paraId="6EF51979"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agregado dos ativos intangíveis com vida útil indefinida alocado a essas unidades (grupo de unidades); e</w:t>
      </w:r>
    </w:p>
    <w:p w14:paraId="43811CBE"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descrição da(s) principal(is) premissa(s).</w:t>
      </w:r>
    </w:p>
    <w:p w14:paraId="726038B2" w14:textId="24BC658A"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mais recente cálculo detalhado, efetuado em período anterior, do valor recuperável de uma unidade geradora de caixa (grupo de unidades) pode, de acordo com os itens 24 ou 99 do CPC 01, ser considerado e utilizado no teste da perda por desvalorização dessa unidade (grupo de unidades) no período corrente, desde que sejam atendidos critérios específicos. Quando esse for o caso, a informação para aquela unidade (grupo de unidades) deve ser incorporada nas divulgações exigidas pelos itens 254–255, com relação aos procedimentos utilizados para cálculo do valor recuperável.</w:t>
      </w:r>
    </w:p>
    <w:p w14:paraId="706BF85A"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25 – Provisões, Passivos Contingentes e Ativos Contingentes</w:t>
      </w:r>
    </w:p>
    <w:p w14:paraId="216B8DB4"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para cada classe de provisão (informações comparativas não são requeridas):</w:t>
      </w:r>
    </w:p>
    <w:p w14:paraId="1AD3B12E"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no início e no final do período;</w:t>
      </w:r>
    </w:p>
    <w:p w14:paraId="3FC3085A"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provisões adicionais feitas no período, incluindo aumentos nas provisões existentes;</w:t>
      </w:r>
    </w:p>
    <w:p w14:paraId="489336D2"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valores utilizados (incorridos e lançados contra a provisão) durante o período;</w:t>
      </w:r>
    </w:p>
    <w:p w14:paraId="59987BF7"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valores não utilizados revertidos durante o período; e</w:t>
      </w:r>
    </w:p>
    <w:p w14:paraId="04F490E7"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aumento durante o período no valor descontado resultante da passagem de tempo e o efeito de qualquer mudança na taxa de desconto.</w:t>
      </w:r>
    </w:p>
    <w:p w14:paraId="1E9EB727"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também deve divulgar, para cada classe de provisão (informações comparativas não são requeridas):</w:t>
      </w:r>
    </w:p>
    <w:p w14:paraId="536E323C"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uma breve descrição da natureza da obrigação e a época prevista de quaisquer fluxos de saída de benefícios econômicos resultantes. </w:t>
      </w:r>
    </w:p>
    <w:p w14:paraId="54789179" w14:textId="647BE3A6"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uma indicação das incertezas sobre o valor ou a época desses fluxos de saída. Quando necessário para fornecer informações adequadas,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divulgará as principais pressuposições feitas em relação a eventos futuros, conforme tratado no item 48 do CPC 25.</w:t>
      </w:r>
    </w:p>
    <w:p w14:paraId="6503C240"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qualquer reembolso previsto, demonstrando o valor de qualquer ativo que tiver sido reconhecido para esse reembolso previsto.</w:t>
      </w:r>
    </w:p>
    <w:p w14:paraId="796B4E51" w14:textId="442BCC6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menos que a possibilidade de qualquer fluxo de saída em uma liquidação seja remota,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divulgará para cada classe de passivo contingente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uma breve descrição da natureza do passivo contingente e, quando praticável:</w:t>
      </w:r>
    </w:p>
    <w:p w14:paraId="7C6AA625"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estimativa de seu efeito financeiro, mensurado de acordo com os itens 36–52 do CPC 25;</w:t>
      </w:r>
    </w:p>
    <w:p w14:paraId="438F6B55"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indicação das incertezas relacionadas ao valor ou época de qualquer fluxo de saída; e</w:t>
      </w:r>
    </w:p>
    <w:p w14:paraId="6CF8D3FB"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possibilidade de qualquer reembolso.</w:t>
      </w:r>
    </w:p>
    <w:p w14:paraId="3F0AC757" w14:textId="7CF66B7F"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Quando um fluxo de entrada de benefícios econômicos for provável,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divulgará uma breve descrição da natureza dos ativos contingentes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e, quando praticável, uma estimativa de seus efeitos financeiros, mensurados por meio do uso dos princípios definidos para provisões nos itens 36–52 d</w:t>
      </w:r>
      <w:r w:rsidR="00437FA2" w:rsidRPr="007775ED">
        <w:rPr>
          <w:rFonts w:ascii="Times New Roman" w:hAnsi="Times New Roman" w:cs="Times New Roman"/>
          <w:b w:val="0"/>
          <w:bCs/>
          <w:sz w:val="24"/>
          <w:szCs w:val="24"/>
        </w:rPr>
        <w:t>o CPC</w:t>
      </w:r>
      <w:r w:rsidRPr="007775ED">
        <w:rPr>
          <w:rFonts w:ascii="Times New Roman" w:hAnsi="Times New Roman" w:cs="Times New Roman"/>
          <w:b w:val="0"/>
          <w:bCs/>
          <w:sz w:val="24"/>
          <w:szCs w:val="24"/>
        </w:rPr>
        <w:t xml:space="preserve"> 25.</w:t>
      </w:r>
    </w:p>
    <w:p w14:paraId="2C357F9F" w14:textId="1B6DBF85"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Quando alguma das informações exigidas pelos itens 259–260 não for divulgada porque não é praticável fazê-lo, a entidade deve informar tal fato.</w:t>
      </w:r>
    </w:p>
    <w:p w14:paraId="241C4CB1" w14:textId="374D5152"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Em casos extremamente raros, é possível esperar que a divulgação de algumas das ou de todas as informações exigidas pelos itens 257–260 prejudique seriamente a posição da entidade em uma disputa com outras partes sobre o objeto da provisão, passivo contingente ou ativo contingente. Nesses casos, a entidade não precisa divulgar a informação, mas divulgará a natureza geral da disputa, juntamente com o fato e o motivo pelo qual a informação não foi divulgada.</w:t>
      </w:r>
    </w:p>
    <w:p w14:paraId="6CB6F34C"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04 – Ativo Intangível</w:t>
      </w:r>
    </w:p>
    <w:p w14:paraId="250058E8" w14:textId="77777777" w:rsidR="006A5A84"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as seguintes informações para cada classe de ativos intangíveis, fazendo a distinção entre ativos intangíveis gerados internamente e outros ativos intangíveis:</w:t>
      </w:r>
    </w:p>
    <w:p w14:paraId="6E2C4304"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com vida útil indefinida ou definida e, se definida, os prazos de vida útil ou as taxas de amortização utilizados;</w:t>
      </w:r>
    </w:p>
    <w:p w14:paraId="0A81CFB4"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métodos de amortização utilizados para ativos intangíveis com vida útil definida;</w:t>
      </w:r>
    </w:p>
    <w:p w14:paraId="6CCCA05C"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contábil bruto e eventual amortização acumulada (mais as perdas acumuladas no valor recuperável) no início e no final do período;</w:t>
      </w:r>
    </w:p>
    <w:p w14:paraId="142653F8"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as rubricas da demonstração do resultado ou resultado abrangente em que está incluída qualquer amortização de ativos intangíveis; e</w:t>
      </w:r>
    </w:p>
    <w:p w14:paraId="5113FB64" w14:textId="77777777" w:rsidR="006A5A84"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conciliação (informações comparativas não são requeridas) do valor contábil no início e no final do período demonstrando:</w:t>
      </w:r>
    </w:p>
    <w:p w14:paraId="45EE80F2" w14:textId="77777777"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adições, indicando separadamente aquelas provenientes de desenvolvimento interno, aquelas adquiridas separadamente e aquelas adquiridas por meio de combinações de negócios;</w:t>
      </w:r>
    </w:p>
    <w:p w14:paraId="002B5934" w14:textId="16D53CB4"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ativos classificados como mantidos para venda ou incluídos em grupo de ativos classificados como mantidos para venda, nos moldes do CPC 31</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e outras baixas;</w:t>
      </w:r>
    </w:p>
    <w:p w14:paraId="18B2FDFD" w14:textId="22FE6C94"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aumentos ou reduções durante o período resultantes de reavaliações previstas nos itens 75 e 85–86 d</w:t>
      </w:r>
      <w:r w:rsidR="00771CC3" w:rsidRPr="007775ED">
        <w:rPr>
          <w:rFonts w:ascii="Times New Roman" w:hAnsi="Times New Roman" w:cs="Times New Roman"/>
          <w:b w:val="0"/>
          <w:bCs/>
          <w:sz w:val="24"/>
          <w:szCs w:val="24"/>
        </w:rPr>
        <w:t xml:space="preserve">o </w:t>
      </w:r>
      <w:r w:rsidR="004F413D" w:rsidRPr="007775ED">
        <w:rPr>
          <w:rFonts w:ascii="Times New Roman" w:hAnsi="Times New Roman" w:cs="Times New Roman"/>
          <w:b w:val="0"/>
          <w:bCs/>
          <w:sz w:val="24"/>
          <w:szCs w:val="24"/>
        </w:rPr>
        <w:t xml:space="preserve">Pronunciamento Técnico </w:t>
      </w:r>
      <w:r w:rsidR="00771CC3" w:rsidRPr="007775ED">
        <w:rPr>
          <w:rFonts w:ascii="Times New Roman" w:hAnsi="Times New Roman" w:cs="Times New Roman"/>
          <w:b w:val="0"/>
          <w:bCs/>
          <w:sz w:val="24"/>
          <w:szCs w:val="24"/>
        </w:rPr>
        <w:t xml:space="preserve">CPC 04 </w:t>
      </w:r>
      <w:r w:rsidR="004F413D" w:rsidRPr="007775ED">
        <w:rPr>
          <w:rFonts w:ascii="Times New Roman" w:hAnsi="Times New Roman" w:cs="Times New Roman"/>
          <w:b w:val="0"/>
          <w:bCs/>
          <w:sz w:val="24"/>
          <w:szCs w:val="24"/>
        </w:rPr>
        <w:t xml:space="preserve">– Ativo Intangível </w:t>
      </w:r>
      <w:r w:rsidRPr="007775ED">
        <w:rPr>
          <w:rFonts w:ascii="Times New Roman" w:hAnsi="Times New Roman" w:cs="Times New Roman"/>
          <w:b w:val="0"/>
          <w:bCs/>
          <w:sz w:val="24"/>
          <w:szCs w:val="24"/>
        </w:rPr>
        <w:t>e de perdas por redução ao valor recuperável reconhecidas ou revertidas em outros resultados abrangentes de acordo com o CPC 01 (se houver);</w:t>
      </w:r>
    </w:p>
    <w:p w14:paraId="08892DA3" w14:textId="0EB03BA3" w:rsidR="006A5A84"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perdas por redução ao valor recuperável reconhecidas </w:t>
      </w:r>
      <w:r w:rsidR="00E54DF0" w:rsidRPr="007775ED">
        <w:rPr>
          <w:rFonts w:ascii="Times New Roman" w:hAnsi="Times New Roman" w:cs="Times New Roman"/>
          <w:b w:val="0"/>
          <w:bCs/>
          <w:sz w:val="24"/>
          <w:szCs w:val="24"/>
        </w:rPr>
        <w:t>no resultado</w:t>
      </w:r>
      <w:r w:rsidRPr="007775ED">
        <w:rPr>
          <w:rFonts w:ascii="Times New Roman" w:hAnsi="Times New Roman" w:cs="Times New Roman"/>
          <w:b w:val="0"/>
          <w:bCs/>
          <w:sz w:val="24"/>
          <w:szCs w:val="24"/>
        </w:rPr>
        <w:t xml:space="preserve"> durante o período de acordo com o CPC 01 (se houver);</w:t>
      </w:r>
    </w:p>
    <w:p w14:paraId="364145E4" w14:textId="588C7CB6" w:rsidR="00175036"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perdas por redução ao valor recuperável revertidas </w:t>
      </w:r>
      <w:r w:rsidR="00E54DF0" w:rsidRPr="007775ED">
        <w:rPr>
          <w:rFonts w:ascii="Times New Roman" w:hAnsi="Times New Roman" w:cs="Times New Roman"/>
          <w:b w:val="0"/>
          <w:bCs/>
          <w:sz w:val="24"/>
          <w:szCs w:val="24"/>
        </w:rPr>
        <w:t xml:space="preserve">no resultado </w:t>
      </w:r>
      <w:r w:rsidRPr="007775ED">
        <w:rPr>
          <w:rFonts w:ascii="Times New Roman" w:hAnsi="Times New Roman" w:cs="Times New Roman"/>
          <w:b w:val="0"/>
          <w:bCs/>
          <w:sz w:val="24"/>
          <w:szCs w:val="24"/>
        </w:rPr>
        <w:t>durante o período de acordo com o CPC 01 (se houver);</w:t>
      </w:r>
    </w:p>
    <w:p w14:paraId="1633CA7B" w14:textId="77777777" w:rsidR="00175036"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qualquer amortização reconhecida durante o período; e</w:t>
      </w:r>
    </w:p>
    <w:p w14:paraId="7F1DB2BF" w14:textId="3E6079F7" w:rsidR="00953DE8"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mudanças no valor contábil durante o período.</w:t>
      </w:r>
    </w:p>
    <w:p w14:paraId="6F3C7DAB" w14:textId="77777777" w:rsidR="00175036"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também deve divulgar:</w:t>
      </w:r>
    </w:p>
    <w:p w14:paraId="0BC2ED16" w14:textId="77777777" w:rsidR="00175036"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um ativo intangível avaliado como um tendo uma vida útil indefinida, o valor contábil desse ativo e os motivos que suportam a avaliação de uma vida útil indefinida. Ao explicar esses motivos, a entidade descreverá os fatores que tiveram um papel significativo na determinação de que o ativo possui uma vida útil indefinida.</w:t>
      </w:r>
    </w:p>
    <w:p w14:paraId="0C7AE719" w14:textId="77777777" w:rsidR="00175036"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uma descrição, o valor contábil e o período de amortização remanescente de qualquer ativo intangível individual que seja material para 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da entidade.</w:t>
      </w:r>
    </w:p>
    <w:p w14:paraId="64FF50A9" w14:textId="77777777" w:rsidR="00175036"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para ativos intangíveis adquiridos por meio de uma subvenção governamental e reconhecidos inicialmente ao valor justo (ver item 44 do CPC 04):</w:t>
      </w:r>
    </w:p>
    <w:p w14:paraId="7DFFC193" w14:textId="77777777" w:rsidR="00175036"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justo reconhecido inicialmente para esses ativos;</w:t>
      </w:r>
    </w:p>
    <w:p w14:paraId="702C18E6" w14:textId="77777777" w:rsidR="00175036"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seus valores contábeis; e</w:t>
      </w:r>
    </w:p>
    <w:p w14:paraId="7A2BEFB8" w14:textId="1CA4383E" w:rsidR="00175036"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eles são mensurados após o reconhecimento de acordo com o método de custo ou o método de reavaliação</w:t>
      </w:r>
      <w:r w:rsidR="005A09B2" w:rsidRPr="007775ED">
        <w:rPr>
          <w:rFonts w:ascii="Times New Roman" w:hAnsi="Times New Roman" w:cs="Times New Roman"/>
          <w:b w:val="0"/>
          <w:bCs/>
          <w:sz w:val="24"/>
          <w:szCs w:val="24"/>
        </w:rPr>
        <w:t>, se permitido por Lei</w:t>
      </w:r>
      <w:r w:rsidRPr="007775ED">
        <w:rPr>
          <w:rFonts w:ascii="Times New Roman" w:hAnsi="Times New Roman" w:cs="Times New Roman"/>
          <w:b w:val="0"/>
          <w:bCs/>
          <w:sz w:val="24"/>
          <w:szCs w:val="24"/>
        </w:rPr>
        <w:t>.</w:t>
      </w:r>
    </w:p>
    <w:p w14:paraId="390CC487" w14:textId="77777777" w:rsidR="00175036"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 existência e valores contábeis de ativos intangíveis cujo título seja restrito e os valores contábeis de ativos intangíveis dados como garantia para passivos.</w:t>
      </w:r>
    </w:p>
    <w:p w14:paraId="777940F0"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compromissos contratuais para a aquisição de ativos intangíveis.</w:t>
      </w:r>
    </w:p>
    <w:p w14:paraId="6A627C1F" w14:textId="1C57C4DC"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os ativos intangíveis forem contabilizados aos valores reavaliados</w:t>
      </w:r>
      <w:r w:rsidR="005A09B2" w:rsidRPr="007775ED">
        <w:rPr>
          <w:rFonts w:ascii="Times New Roman" w:hAnsi="Times New Roman" w:cs="Times New Roman"/>
          <w:b w:val="0"/>
          <w:bCs/>
          <w:sz w:val="24"/>
          <w:szCs w:val="24"/>
        </w:rPr>
        <w:t xml:space="preserve"> (se permitido por Lei)</w:t>
      </w:r>
      <w:r w:rsidRPr="007775ED">
        <w:rPr>
          <w:rFonts w:ascii="Times New Roman" w:hAnsi="Times New Roman" w:cs="Times New Roman"/>
          <w:b w:val="0"/>
          <w:bCs/>
          <w:sz w:val="24"/>
          <w:szCs w:val="24"/>
        </w:rPr>
        <w:t xml:space="preserv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divulgará: </w:t>
      </w:r>
    </w:p>
    <w:p w14:paraId="10E3C57B"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por classe de ativos intangíveis:</w:t>
      </w:r>
    </w:p>
    <w:p w14:paraId="0C97F030" w14:textId="10A1A61A" w:rsidR="002420CD" w:rsidRPr="007775ED" w:rsidRDefault="002420CD"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w:t>
      </w:r>
      <w:r w:rsidR="00953DE8" w:rsidRPr="007775ED">
        <w:rPr>
          <w:rFonts w:ascii="Times New Roman" w:hAnsi="Times New Roman" w:cs="Times New Roman"/>
          <w:b w:val="0"/>
          <w:bCs/>
          <w:sz w:val="24"/>
          <w:szCs w:val="24"/>
        </w:rPr>
        <w:t>data efetiva da reavaliação;</w:t>
      </w:r>
    </w:p>
    <w:p w14:paraId="6EDC4766"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dos ativos intangíveis reavaliados; e </w:t>
      </w:r>
    </w:p>
    <w:p w14:paraId="7E921DD9" w14:textId="77777777" w:rsidR="002420CD" w:rsidRPr="007775ED" w:rsidRDefault="002420CD"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w:t>
      </w:r>
      <w:r w:rsidR="00953DE8" w:rsidRPr="007775ED">
        <w:rPr>
          <w:rFonts w:ascii="Times New Roman" w:hAnsi="Times New Roman" w:cs="Times New Roman"/>
          <w:b w:val="0"/>
          <w:bCs/>
          <w:sz w:val="24"/>
          <w:szCs w:val="24"/>
        </w:rPr>
        <w:t>valor contábil que teria sido reconhecido caso a classe reavaliada de ativos intangíveis tivesse sido mensurada após o reconhecimento utilizando o método de custo no item 74 do CPC 04; e</w:t>
      </w:r>
    </w:p>
    <w:p w14:paraId="08044603"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do superavit de reavaliação que está relacionado aos ativos intangíveis no início 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indicando as mudanças durante o período e quaisquer restrições sobre a distribuição do saldo aos acionistas.</w:t>
      </w:r>
    </w:p>
    <w:p w14:paraId="722A6578" w14:textId="0E2DA449"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deve divulgar o valor total do gasto com pesquisa e desenvolvimento reconhecido como uma despesa durante 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w:t>
      </w:r>
    </w:p>
    <w:p w14:paraId="5F839DF5"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28 – Propriedade para Investimento</w:t>
      </w:r>
    </w:p>
    <w:p w14:paraId="574FB976"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Método de valor justo e de custo</w:t>
      </w:r>
    </w:p>
    <w:p w14:paraId="44E2C20D"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divulgações nos itens 268–271 aplicam-se adicionalmente àquelas exigidas pelos arrendamentos nos itens 115–127. O proprietário de uma propriedade para investimento fornece divulgações dos arrendadores sobre os arrendamentos que tiver celebrado. Um arrendatário que detiver uma propriedade para investimento como um ativo de direito de uso fornece divulgações dos arrendatários e divulgações dos arrendadores para quaisquer arrendamentos operacionais que tiver celebrado</w:t>
      </w:r>
      <w:r w:rsidR="002420CD" w:rsidRPr="007775ED">
        <w:rPr>
          <w:rFonts w:ascii="Times New Roman" w:hAnsi="Times New Roman" w:cs="Times New Roman"/>
          <w:b w:val="0"/>
          <w:bCs/>
          <w:sz w:val="24"/>
          <w:szCs w:val="24"/>
        </w:rPr>
        <w:t>.</w:t>
      </w:r>
    </w:p>
    <w:p w14:paraId="26C88273"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w:t>
      </w:r>
    </w:p>
    <w:p w14:paraId="335EAF09"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ela aplica o método de valor justo ou o método de custo.</w:t>
      </w:r>
    </w:p>
    <w:p w14:paraId="23441BB5"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extensão na qual o valor justo da propriedade para investimento (como mensurado ou divulgado nas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está baseado em uma avaliação por um avaliador independente, que tenha qualificação profissional reconhecida e aplicável e tenha experiência recente sobre a localização e a categoria da propriedade para investimento que está sendo avaliada. Se não houver essa avaliação, esse fato será divulgado.</w:t>
      </w:r>
    </w:p>
    <w:p w14:paraId="45E2B919" w14:textId="50F6CA9E"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mudança acumulada no valor justo, reconhecida </w:t>
      </w:r>
      <w:r w:rsidR="00E54DF0" w:rsidRPr="007775ED">
        <w:rPr>
          <w:rFonts w:ascii="Times New Roman" w:hAnsi="Times New Roman" w:cs="Times New Roman"/>
          <w:b w:val="0"/>
          <w:bCs/>
          <w:sz w:val="24"/>
          <w:szCs w:val="24"/>
        </w:rPr>
        <w:t>no resultado</w:t>
      </w:r>
      <w:r w:rsidRPr="007775ED">
        <w:rPr>
          <w:rFonts w:ascii="Times New Roman" w:hAnsi="Times New Roman" w:cs="Times New Roman"/>
          <w:b w:val="0"/>
          <w:bCs/>
          <w:sz w:val="24"/>
          <w:szCs w:val="24"/>
        </w:rPr>
        <w:t xml:space="preserve">, em uma venda de uma propriedade para investimento de um grupo de ativos em que o método de custo é utilizado para um grupo </w:t>
      </w:r>
      <w:r w:rsidR="00915B1A" w:rsidRPr="007775ED">
        <w:rPr>
          <w:rFonts w:ascii="Times New Roman" w:hAnsi="Times New Roman" w:cs="Times New Roman"/>
          <w:b w:val="0"/>
          <w:bCs/>
          <w:sz w:val="24"/>
          <w:szCs w:val="24"/>
        </w:rPr>
        <w:t xml:space="preserve">de ativos </w:t>
      </w:r>
      <w:r w:rsidRPr="007775ED">
        <w:rPr>
          <w:rFonts w:ascii="Times New Roman" w:hAnsi="Times New Roman" w:cs="Times New Roman"/>
          <w:b w:val="0"/>
          <w:bCs/>
          <w:sz w:val="24"/>
          <w:szCs w:val="24"/>
        </w:rPr>
        <w:t>em que o método de valor justo é utilizado (ver item 32C do CPC 28).</w:t>
      </w:r>
    </w:p>
    <w:p w14:paraId="4C9EF168" w14:textId="72FE6ADF"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 xml:space="preserve">a existência e valores de restrições sobre a possibilidade de realização da propriedade para investimento ou da remessa de receita e proventos da </w:t>
      </w:r>
      <w:r w:rsidR="00F80B6B" w:rsidRPr="007775ED">
        <w:rPr>
          <w:rFonts w:ascii="Times New Roman" w:hAnsi="Times New Roman" w:cs="Times New Roman"/>
          <w:b w:val="0"/>
          <w:bCs/>
          <w:sz w:val="24"/>
          <w:szCs w:val="24"/>
        </w:rPr>
        <w:t>venda</w:t>
      </w:r>
      <w:r w:rsidRPr="007775ED">
        <w:rPr>
          <w:rFonts w:ascii="Times New Roman" w:hAnsi="Times New Roman" w:cs="Times New Roman"/>
          <w:b w:val="0"/>
          <w:bCs/>
          <w:sz w:val="24"/>
          <w:szCs w:val="24"/>
        </w:rPr>
        <w:t>.</w:t>
      </w:r>
    </w:p>
    <w:p w14:paraId="5A612214" w14:textId="07B1D758"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obrigações contratuais para a aquisição, construção ou desenvolvimento da propriedade para investimento ou para reparos, manutenção ou melhorias.</w:t>
      </w:r>
    </w:p>
    <w:p w14:paraId="5B6542B0"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Método de valor justo</w:t>
      </w:r>
    </w:p>
    <w:p w14:paraId="6BA12768"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Além das divulgações exigidas pelo item 268, a entidade que aplicar o método de valor justo dos itens 33–55 do CPC 28 deve divulgar uma conciliação (informações comparativas não são requeridas) entre os valores contábeis de propriedades para investimento no início e no final do período, demonstrando:</w:t>
      </w:r>
    </w:p>
    <w:p w14:paraId="7E96BBA8"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adições;</w:t>
      </w:r>
    </w:p>
    <w:p w14:paraId="23633546"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aquisições por meio de combinações de negócios;</w:t>
      </w:r>
    </w:p>
    <w:p w14:paraId="635D4E68" w14:textId="21D9E11C"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os ativos classificados como mantidos para venda ou incluídos em um grupo </w:t>
      </w:r>
      <w:r w:rsidR="00915B1A" w:rsidRPr="007775ED">
        <w:rPr>
          <w:rFonts w:ascii="Times New Roman" w:hAnsi="Times New Roman" w:cs="Times New Roman"/>
          <w:b w:val="0"/>
          <w:bCs/>
          <w:sz w:val="24"/>
          <w:szCs w:val="24"/>
        </w:rPr>
        <w:t xml:space="preserve">de ativos </w:t>
      </w:r>
      <w:r w:rsidRPr="007775ED">
        <w:rPr>
          <w:rFonts w:ascii="Times New Roman" w:hAnsi="Times New Roman" w:cs="Times New Roman"/>
          <w:b w:val="0"/>
          <w:bCs/>
          <w:sz w:val="24"/>
          <w:szCs w:val="24"/>
        </w:rPr>
        <w:t xml:space="preserve">que seja classificado como mantido para venda de acordo com o CPC 31 e outras </w:t>
      </w:r>
      <w:r w:rsidR="00F80B6B" w:rsidRPr="007775ED">
        <w:rPr>
          <w:rFonts w:ascii="Times New Roman" w:hAnsi="Times New Roman" w:cs="Times New Roman"/>
          <w:b w:val="0"/>
          <w:bCs/>
          <w:sz w:val="24"/>
          <w:szCs w:val="24"/>
        </w:rPr>
        <w:t>baixas</w:t>
      </w:r>
      <w:r w:rsidRPr="007775ED">
        <w:rPr>
          <w:rFonts w:ascii="Times New Roman" w:hAnsi="Times New Roman" w:cs="Times New Roman"/>
          <w:b w:val="0"/>
          <w:bCs/>
          <w:sz w:val="24"/>
          <w:szCs w:val="24"/>
        </w:rPr>
        <w:t>;</w:t>
      </w:r>
    </w:p>
    <w:p w14:paraId="55B85B75" w14:textId="6423D5AF"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ganhos ou perdas líquidos</w:t>
      </w:r>
      <w:r w:rsidR="00023B49" w:rsidRPr="007775ED">
        <w:rPr>
          <w:rFonts w:ascii="Times New Roman" w:hAnsi="Times New Roman" w:cs="Times New Roman"/>
          <w:b w:val="0"/>
          <w:bCs/>
          <w:sz w:val="24"/>
          <w:szCs w:val="24"/>
        </w:rPr>
        <w:t>, provenientes</w:t>
      </w:r>
      <w:r w:rsidRPr="007775ED">
        <w:rPr>
          <w:rFonts w:ascii="Times New Roman" w:hAnsi="Times New Roman" w:cs="Times New Roman"/>
          <w:b w:val="0"/>
          <w:bCs/>
          <w:sz w:val="24"/>
          <w:szCs w:val="24"/>
        </w:rPr>
        <w:t xml:space="preserve"> de ajustes no valor justo;</w:t>
      </w:r>
    </w:p>
    <w:p w14:paraId="3AFBADED"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transferências para e de estoques e propriedades ocupadas pelo proprietário; e</w:t>
      </w:r>
    </w:p>
    <w:p w14:paraId="61E8ABFD"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outras alterações. </w:t>
      </w:r>
    </w:p>
    <w:p w14:paraId="24659BF3" w14:textId="603F740D"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Nos casos excepcionais referidos no item 53 do CPC 28, quando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mensurar a propriedade para investimento utilizando o método de custo do CPC 27 ou de acordo com o CPC 06, a conciliação exigida pelo item 269 divulgará os valores referentes a essa propriedade para investimento, separadamente dos valores referentes a outra propriedade para investimento. Além disso, a entidade deve divulgar:</w:t>
      </w:r>
    </w:p>
    <w:p w14:paraId="1FCD8FE1"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da propriedade para investimento; e</w:t>
      </w:r>
    </w:p>
    <w:p w14:paraId="676B130F" w14:textId="5095D9B3"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explicação do motivo pelo qual o valor justo não pode ser mensurado de forma confiável.</w:t>
      </w:r>
    </w:p>
    <w:p w14:paraId="11C70323"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Método de custo</w:t>
      </w:r>
    </w:p>
    <w:p w14:paraId="4583FDE8"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Além das divulgações exigidas pelo item 268, a entidade que aplica o método de custo do item 56 do CPC 28, deve divulgar:</w:t>
      </w:r>
    </w:p>
    <w:p w14:paraId="3E2CE066"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os métodos de depreciação utilizados;</w:t>
      </w:r>
    </w:p>
    <w:p w14:paraId="18356DE9"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as vidas úteis ou taxas de depreciação utilizadas;</w:t>
      </w:r>
    </w:p>
    <w:p w14:paraId="197D49F0"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contábil bruto e a depreciação acumulada (agregada com as perdas por redução ao valor recuperável), no início e no final do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e</w:t>
      </w:r>
    </w:p>
    <w:p w14:paraId="1B0EE17D"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conciliação (informações comparativas não são requeridas) do valor contábil de propriedades para investimento no início e no final do período, demonstrando:</w:t>
      </w:r>
    </w:p>
    <w:p w14:paraId="25F19ED4"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adições;</w:t>
      </w:r>
    </w:p>
    <w:p w14:paraId="1F0F1E77"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aquisições por meio de combinações de negócios;</w:t>
      </w:r>
    </w:p>
    <w:p w14:paraId="6B2F2513" w14:textId="0C4873BD"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ativos classificados como </w:t>
      </w:r>
      <w:r w:rsidR="004B60F3">
        <w:rPr>
          <w:rFonts w:ascii="Times New Roman" w:hAnsi="Times New Roman" w:cs="Times New Roman"/>
          <w:b w:val="0"/>
          <w:bCs/>
          <w:sz w:val="24"/>
          <w:szCs w:val="24"/>
        </w:rPr>
        <w:t>mantidos</w:t>
      </w:r>
      <w:r w:rsidR="004B60F3"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 xml:space="preserve">para venda ou incluídos em grupo </w:t>
      </w:r>
      <w:r w:rsidR="00915B1A" w:rsidRPr="007775ED">
        <w:rPr>
          <w:rFonts w:ascii="Times New Roman" w:hAnsi="Times New Roman" w:cs="Times New Roman"/>
          <w:b w:val="0"/>
          <w:bCs/>
          <w:sz w:val="24"/>
          <w:szCs w:val="24"/>
        </w:rPr>
        <w:t xml:space="preserve">de ativos </w:t>
      </w:r>
      <w:r w:rsidRPr="007775ED">
        <w:rPr>
          <w:rFonts w:ascii="Times New Roman" w:hAnsi="Times New Roman" w:cs="Times New Roman"/>
          <w:b w:val="0"/>
          <w:bCs/>
          <w:sz w:val="24"/>
          <w:szCs w:val="24"/>
        </w:rPr>
        <w:t xml:space="preserve">classificado como </w:t>
      </w:r>
      <w:r w:rsidR="004B60F3">
        <w:rPr>
          <w:rFonts w:ascii="Times New Roman" w:hAnsi="Times New Roman" w:cs="Times New Roman"/>
          <w:b w:val="0"/>
          <w:bCs/>
          <w:sz w:val="24"/>
          <w:szCs w:val="24"/>
        </w:rPr>
        <w:t xml:space="preserve">mantidos </w:t>
      </w:r>
      <w:r w:rsidRPr="007775ED">
        <w:rPr>
          <w:rFonts w:ascii="Times New Roman" w:hAnsi="Times New Roman" w:cs="Times New Roman"/>
          <w:b w:val="0"/>
          <w:bCs/>
          <w:sz w:val="24"/>
          <w:szCs w:val="24"/>
        </w:rPr>
        <w:t>para venda de acordo com CPC 31</w:t>
      </w:r>
      <w:r w:rsidR="004F413D"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 xml:space="preserve">e outras </w:t>
      </w:r>
      <w:r w:rsidR="00F80B6B" w:rsidRPr="007775ED">
        <w:rPr>
          <w:rFonts w:ascii="Times New Roman" w:hAnsi="Times New Roman" w:cs="Times New Roman"/>
          <w:b w:val="0"/>
          <w:bCs/>
          <w:sz w:val="24"/>
          <w:szCs w:val="24"/>
        </w:rPr>
        <w:t>baixas</w:t>
      </w:r>
      <w:r w:rsidRPr="007775ED">
        <w:rPr>
          <w:rFonts w:ascii="Times New Roman" w:hAnsi="Times New Roman" w:cs="Times New Roman"/>
          <w:b w:val="0"/>
          <w:bCs/>
          <w:sz w:val="24"/>
          <w:szCs w:val="24"/>
        </w:rPr>
        <w:t>;</w:t>
      </w:r>
    </w:p>
    <w:p w14:paraId="7B5992BC"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depreciação;</w:t>
      </w:r>
    </w:p>
    <w:p w14:paraId="0855EDBA" w14:textId="14DD385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valor de perdas reconhecidas por redução ao valor recuperável e o valor das perdas revertidas de redução ao valor recuperável durante o período, de acordo com o CPC 01;</w:t>
      </w:r>
    </w:p>
    <w:p w14:paraId="5625D392"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transferências para e de estoques e propriedades ocupadas pelo proprietário; e</w:t>
      </w:r>
    </w:p>
    <w:p w14:paraId="7C4B0BB2"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alterações.</w:t>
      </w:r>
    </w:p>
    <w:p w14:paraId="68851C6A" w14:textId="061E12E3"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o valor justo da propriedade para investimento. Nos casos excepcionais descritos no item 53 do CPC 28, quando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entidade não puder mensurar o valor justo da propriedade para investimento de forma confiável, ela divulgará:</w:t>
      </w:r>
    </w:p>
    <w:p w14:paraId="0905CA17"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da propriedade para investimento;</w:t>
      </w:r>
    </w:p>
    <w:p w14:paraId="433508FF" w14:textId="77777777" w:rsidR="002420CD"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explicação do motivo pelo qual o valor justo não pode ser mensurado de forma confiável; e</w:t>
      </w:r>
    </w:p>
    <w:p w14:paraId="2246B619" w14:textId="6E62110D" w:rsidR="00953DE8" w:rsidRPr="007775ED" w:rsidRDefault="00953DE8" w:rsidP="003236B2">
      <w:pPr>
        <w:pStyle w:val="IASBSectionTitle1NonInd"/>
        <w:numPr>
          <w:ilvl w:val="2"/>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se possível, a faixa de estimativas dentro da qual o valor justo provavelmente se enquadrará.</w:t>
      </w:r>
    </w:p>
    <w:p w14:paraId="0DC496A1"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CPC 29 – Ativo Biológico e Produto Agrícola</w:t>
      </w:r>
    </w:p>
    <w:p w14:paraId="49D36525"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Disposições Gerais</w:t>
      </w:r>
    </w:p>
    <w:p w14:paraId="7B298BED"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fornecer uma descrição de cada grupo de ativos biológicos.</w:t>
      </w:r>
    </w:p>
    <w:p w14:paraId="4328FBA7" w14:textId="77777777"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apresentar a conciliação das mudanças no valor contábil de ativos biológicos entre o início e o fim do período corrente (informações comparativas não são requeridas). A conciliação inclui:</w:t>
      </w:r>
    </w:p>
    <w:p w14:paraId="4709C975"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ganho ou perda decorrente da mudança no valor justo menos a despesa de venda;</w:t>
      </w:r>
    </w:p>
    <w:p w14:paraId="21D0D9DC"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aumentos devido às compras;</w:t>
      </w:r>
    </w:p>
    <w:p w14:paraId="51D88D1B" w14:textId="60BC7361"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reduções atribuíveis às vendas e aos ativos biológicos classificados como mantidos para venda ou incluídos em grupo de ativos mantidos para essa finalidade, de acordo com o CPC 31;</w:t>
      </w:r>
    </w:p>
    <w:p w14:paraId="1811D4E4"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reduções devido às colheitas; </w:t>
      </w:r>
    </w:p>
    <w:p w14:paraId="5282BC1A"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aumento resultante de combinações de negócios;</w:t>
      </w:r>
    </w:p>
    <w:p w14:paraId="2CACE4F1"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lastRenderedPageBreak/>
        <w:t>diferenças cambiais líquidas decorrentes de conversão das demonstrações contábeis para outra moeda de apresentação e, também, de conversão de operações em moeda estrangeira para a moeda de apresentação das demonstrações da entidade; e</w:t>
      </w:r>
    </w:p>
    <w:p w14:paraId="133A1C65" w14:textId="18987AD4"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outras mudanças.</w:t>
      </w:r>
    </w:p>
    <w:p w14:paraId="37600E75"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Divulgação adicional para ativo biológico cujo valor justo não pode ser mensurado de forma confiável</w:t>
      </w:r>
    </w:p>
    <w:p w14:paraId="7EE0C3E2" w14:textId="29F37F79"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Se a entidade mensura ativos biológicos pelo custo, menos qualquer depreciação e perda no valor recuperável acumuladas (ver item 30 do </w:t>
      </w:r>
      <w:r w:rsidR="004F413D" w:rsidRPr="007775ED">
        <w:rPr>
          <w:rFonts w:ascii="Times New Roman" w:hAnsi="Times New Roman" w:cs="Times New Roman"/>
          <w:b w:val="0"/>
          <w:bCs/>
          <w:sz w:val="24"/>
          <w:szCs w:val="24"/>
        </w:rPr>
        <w:t xml:space="preserve">Pronunciamento Técnico </w:t>
      </w:r>
      <w:r w:rsidRPr="007775ED">
        <w:rPr>
          <w:rFonts w:ascii="Times New Roman" w:hAnsi="Times New Roman" w:cs="Times New Roman"/>
          <w:b w:val="0"/>
          <w:bCs/>
          <w:sz w:val="24"/>
          <w:szCs w:val="24"/>
        </w:rPr>
        <w:t>CPC 29 – Ativo Biológico e Produto Agrícola), no final do período deve divulgar:</w:t>
      </w:r>
    </w:p>
    <w:p w14:paraId="346ABC75"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descrição dos ativos biológicos;</w:t>
      </w:r>
    </w:p>
    <w:p w14:paraId="0CD0A4C2"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uma explicação da razão pela qual o valor justo não pode ser mensurado de forma confiável;</w:t>
      </w:r>
    </w:p>
    <w:p w14:paraId="7F665CDC"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o método de depreciação utilizado;</w:t>
      </w:r>
    </w:p>
    <w:p w14:paraId="1FA24A81"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vida útil ou a taxa de depreciação utilizada; e</w:t>
      </w:r>
    </w:p>
    <w:p w14:paraId="56E497FA" w14:textId="293CE177"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proofErr w:type="spellStart"/>
      <w:r w:rsidRPr="007775ED">
        <w:rPr>
          <w:rFonts w:ascii="Times New Roman" w:hAnsi="Times New Roman" w:cs="Times New Roman"/>
          <w:b w:val="0"/>
          <w:bCs/>
          <w:sz w:val="24"/>
          <w:szCs w:val="24"/>
        </w:rPr>
        <w:t>o</w:t>
      </w:r>
      <w:proofErr w:type="spellEnd"/>
      <w:r w:rsidRPr="007775ED">
        <w:rPr>
          <w:rFonts w:ascii="Times New Roman" w:hAnsi="Times New Roman" w:cs="Times New Roman"/>
          <w:b w:val="0"/>
          <w:bCs/>
          <w:sz w:val="24"/>
          <w:szCs w:val="24"/>
        </w:rPr>
        <w:t xml:space="preserve"> total bruto e a depreciação acumulada (adicionada da perda por irrecuperabilidade acumulada) no início e no final do período.</w:t>
      </w:r>
    </w:p>
    <w:p w14:paraId="1AA73EB2"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Subvenções governamentais</w:t>
      </w:r>
    </w:p>
    <w:p w14:paraId="10F5576F" w14:textId="77657D68" w:rsidR="002420CD"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entidade deve divulgar os seguintes itens relacionados à atividade agrícola cobertos pel</w:t>
      </w:r>
      <w:r w:rsidR="00792BC3" w:rsidRPr="007775ED">
        <w:rPr>
          <w:rFonts w:ascii="Times New Roman" w:hAnsi="Times New Roman" w:cs="Times New Roman"/>
          <w:b w:val="0"/>
          <w:bCs/>
          <w:sz w:val="24"/>
          <w:szCs w:val="24"/>
        </w:rPr>
        <w:t>o CPC 29</w:t>
      </w:r>
      <w:r w:rsidR="002420CD" w:rsidRPr="007775ED">
        <w:rPr>
          <w:rFonts w:ascii="Times New Roman" w:hAnsi="Times New Roman" w:cs="Times New Roman"/>
          <w:b w:val="0"/>
          <w:bCs/>
          <w:sz w:val="24"/>
          <w:szCs w:val="24"/>
        </w:rPr>
        <w:t>:</w:t>
      </w:r>
    </w:p>
    <w:p w14:paraId="15FC2EA5" w14:textId="77777777" w:rsidR="002420CD"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 natureza e a extensão das subvenções governamentais reconhecidas nas demonstrações contábeis; e</w:t>
      </w:r>
    </w:p>
    <w:p w14:paraId="238FB168" w14:textId="3E114C33" w:rsidR="00953DE8" w:rsidRPr="007775ED" w:rsidRDefault="00953DE8" w:rsidP="003236B2">
      <w:pPr>
        <w:pStyle w:val="IASBSectionTitle1NonInd"/>
        <w:numPr>
          <w:ilvl w:val="1"/>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condições não atendidas e outras contingências associadas com a subvenção governamental que não foram reconhecidas </w:t>
      </w:r>
      <w:r w:rsidR="00E54DF0" w:rsidRPr="007775ED">
        <w:rPr>
          <w:rFonts w:ascii="Times New Roman" w:hAnsi="Times New Roman" w:cs="Times New Roman"/>
          <w:b w:val="0"/>
          <w:bCs/>
          <w:sz w:val="24"/>
          <w:szCs w:val="24"/>
        </w:rPr>
        <w:t>no resultado</w:t>
      </w:r>
      <w:r w:rsidRPr="007775ED">
        <w:rPr>
          <w:rFonts w:ascii="Times New Roman" w:hAnsi="Times New Roman" w:cs="Times New Roman"/>
          <w:b w:val="0"/>
          <w:bCs/>
          <w:sz w:val="24"/>
          <w:szCs w:val="24"/>
        </w:rPr>
        <w:t>.</w:t>
      </w:r>
    </w:p>
    <w:p w14:paraId="5A95A28B" w14:textId="77777777"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t>Outras divulgações</w:t>
      </w:r>
    </w:p>
    <w:p w14:paraId="39899E71" w14:textId="10E8F477" w:rsidR="00953DE8" w:rsidRPr="007775ED" w:rsidRDefault="00953DE8" w:rsidP="003236B2">
      <w:pPr>
        <w:pStyle w:val="IASBSectionTitle1NonInd"/>
        <w:numPr>
          <w:ilvl w:val="0"/>
          <w:numId w:val="34"/>
        </w:numPr>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 xml:space="preserve">A entidade que aplica este Pronunciamento Técnico não é obrigada a aplicar o CPC 22. Se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que aplica este Pronunciamento Técnico escolhe divulgar informações sobre segmentos que não cumpram o CPC 22, ela não descreverá as informações como informações por segmento.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que faz essas divulgações descreverá a base para prepará-las e apresentá-las. </w:t>
      </w:r>
      <w:r w:rsidR="00FA283A" w:rsidRPr="007775ED">
        <w:rPr>
          <w:rFonts w:ascii="Times New Roman" w:hAnsi="Times New Roman" w:cs="Times New Roman"/>
          <w:b w:val="0"/>
          <w:bCs/>
          <w:sz w:val="24"/>
          <w:szCs w:val="24"/>
        </w:rPr>
        <w:t>A</w:t>
      </w:r>
      <w:r w:rsidRPr="007775ED">
        <w:rPr>
          <w:rFonts w:ascii="Times New Roman" w:hAnsi="Times New Roman" w:cs="Times New Roman"/>
          <w:b w:val="0"/>
          <w:bCs/>
          <w:sz w:val="24"/>
          <w:szCs w:val="24"/>
        </w:rPr>
        <w:t xml:space="preserve"> entidade que optar por aplicar o CPC 22 aplicará todos os seus requisitos de divulgação e declarará que aplicou o CPC 22.</w:t>
      </w:r>
    </w:p>
    <w:p w14:paraId="54FB6D60" w14:textId="77777777" w:rsidR="00294AC6" w:rsidRPr="007775ED" w:rsidRDefault="00294AC6" w:rsidP="007775ED">
      <w:pPr>
        <w:rPr>
          <w:bCs/>
        </w:rPr>
      </w:pPr>
      <w:r w:rsidRPr="007775ED">
        <w:rPr>
          <w:b/>
          <w:bCs/>
        </w:rPr>
        <w:br w:type="page"/>
      </w:r>
    </w:p>
    <w:p w14:paraId="6F9016C3" w14:textId="5F72DFAA"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sz w:val="24"/>
          <w:szCs w:val="24"/>
        </w:rPr>
      </w:pPr>
      <w:r w:rsidRPr="007775ED">
        <w:rPr>
          <w:rFonts w:ascii="Times New Roman" w:hAnsi="Times New Roman" w:cs="Times New Roman"/>
          <w:sz w:val="24"/>
          <w:szCs w:val="24"/>
        </w:rPr>
        <w:lastRenderedPageBreak/>
        <w:t>Apêndice A – Data de vigência e transição</w:t>
      </w:r>
    </w:p>
    <w:p w14:paraId="05C61C26" w14:textId="00992AE1" w:rsidR="00953DE8" w:rsidRPr="007775ED" w:rsidRDefault="00953DE8" w:rsidP="007775ED">
      <w:pPr>
        <w:pStyle w:val="IASBSectionTitle1NonInd"/>
        <w:pBdr>
          <w:bottom w:val="none" w:sz="0" w:space="0" w:color="auto"/>
        </w:pBdr>
        <w:spacing w:before="0" w:after="240"/>
        <w:jc w:val="both"/>
        <w:rPr>
          <w:rFonts w:ascii="Times New Roman" w:hAnsi="Times New Roman" w:cs="Times New Roman"/>
          <w:b w:val="0"/>
          <w:bCs/>
          <w:sz w:val="24"/>
          <w:szCs w:val="24"/>
        </w:rPr>
      </w:pPr>
      <w:r w:rsidRPr="007775ED">
        <w:rPr>
          <w:rFonts w:ascii="Times New Roman" w:hAnsi="Times New Roman" w:cs="Times New Roman"/>
          <w:b w:val="0"/>
          <w:bCs/>
          <w:sz w:val="24"/>
          <w:szCs w:val="24"/>
        </w:rPr>
        <w:t>Este Apêndice é parte integrante d</w:t>
      </w:r>
      <w:r w:rsidR="00A52DD6" w:rsidRPr="007775ED">
        <w:rPr>
          <w:rFonts w:ascii="Times New Roman" w:hAnsi="Times New Roman" w:cs="Times New Roman"/>
          <w:b w:val="0"/>
          <w:bCs/>
          <w:sz w:val="24"/>
          <w:szCs w:val="24"/>
        </w:rPr>
        <w:t>o Pronunciamento Técnico</w:t>
      </w:r>
      <w:r w:rsidRPr="007775ED">
        <w:rPr>
          <w:rFonts w:ascii="Times New Roman" w:hAnsi="Times New Roman" w:cs="Times New Roman"/>
          <w:b w:val="0"/>
          <w:bCs/>
          <w:sz w:val="24"/>
          <w:szCs w:val="24"/>
        </w:rPr>
        <w:t>.</w:t>
      </w:r>
    </w:p>
    <w:p w14:paraId="1C328119" w14:textId="4BADD9CA" w:rsidR="00953DE8" w:rsidRPr="007775ED" w:rsidRDefault="00953DE8" w:rsidP="007775ED">
      <w:pPr>
        <w:pStyle w:val="IASBSectionTitle1NonInd"/>
        <w:pBdr>
          <w:bottom w:val="none" w:sz="0" w:space="0" w:color="auto"/>
        </w:pBdr>
        <w:spacing w:before="0"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A1</w:t>
      </w:r>
      <w:r w:rsidRPr="007775ED">
        <w:rPr>
          <w:rFonts w:ascii="Times New Roman" w:hAnsi="Times New Roman" w:cs="Times New Roman"/>
          <w:b w:val="0"/>
          <w:bCs/>
          <w:sz w:val="24"/>
          <w:szCs w:val="24"/>
        </w:rPr>
        <w:tab/>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pode optar por aplicar este Pronunciamento Técnico para períodos de </w:t>
      </w:r>
      <w:r w:rsidR="005419DC" w:rsidRPr="007775ED">
        <w:rPr>
          <w:rFonts w:ascii="Times New Roman" w:hAnsi="Times New Roman" w:cs="Times New Roman"/>
          <w:b w:val="0"/>
          <w:bCs/>
          <w:sz w:val="24"/>
          <w:szCs w:val="24"/>
        </w:rPr>
        <w:t xml:space="preserve">reporte </w:t>
      </w:r>
      <w:r w:rsidRPr="007775ED">
        <w:rPr>
          <w:rFonts w:ascii="Times New Roman" w:hAnsi="Times New Roman" w:cs="Times New Roman"/>
          <w:b w:val="0"/>
          <w:bCs/>
          <w:sz w:val="24"/>
          <w:szCs w:val="24"/>
        </w:rPr>
        <w:t xml:space="preserve">iniciados em ou após 1º de janeiro de 2027. De acordo com o item 14, se </w:t>
      </w:r>
      <w:r w:rsidR="00FA283A" w:rsidRPr="007775ED">
        <w:rPr>
          <w:rFonts w:ascii="Times New Roman" w:hAnsi="Times New Roman" w:cs="Times New Roman"/>
          <w:b w:val="0"/>
          <w:bCs/>
          <w:sz w:val="24"/>
          <w:szCs w:val="24"/>
        </w:rPr>
        <w:t xml:space="preserve">a </w:t>
      </w:r>
      <w:r w:rsidRPr="007775ED">
        <w:rPr>
          <w:rFonts w:ascii="Times New Roman" w:hAnsi="Times New Roman" w:cs="Times New Roman"/>
          <w:b w:val="0"/>
          <w:bCs/>
          <w:sz w:val="24"/>
          <w:szCs w:val="24"/>
        </w:rPr>
        <w:t xml:space="preserve">entidade aplicar este Pronunciamento Técnico no </w:t>
      </w:r>
      <w:r w:rsidR="005706F5" w:rsidRPr="007775ED">
        <w:rPr>
          <w:rFonts w:ascii="Times New Roman" w:hAnsi="Times New Roman" w:cs="Times New Roman"/>
          <w:b w:val="0"/>
          <w:bCs/>
          <w:sz w:val="24"/>
          <w:szCs w:val="24"/>
        </w:rPr>
        <w:t>período de reporte</w:t>
      </w:r>
      <w:r w:rsidRPr="007775ED">
        <w:rPr>
          <w:rFonts w:ascii="Times New Roman" w:hAnsi="Times New Roman" w:cs="Times New Roman"/>
          <w:b w:val="0"/>
          <w:bCs/>
          <w:sz w:val="24"/>
          <w:szCs w:val="24"/>
        </w:rPr>
        <w:t xml:space="preserve"> atual, mas não no período imediatamente anterior, ela deverá fornecer informações comparativas (ou seja, informações do período anterior) para todos os valores informados nas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do período atual, salvo se este Pronunciamento Técnico ou </w:t>
      </w:r>
      <w:r w:rsidR="00820A39" w:rsidRPr="007775ED">
        <w:rPr>
          <w:rFonts w:ascii="Times New Roman" w:hAnsi="Times New Roman" w:cs="Times New Roman"/>
          <w:b w:val="0"/>
          <w:bCs/>
          <w:sz w:val="24"/>
          <w:szCs w:val="24"/>
        </w:rPr>
        <w:t>outro Pronunciamento Técnico do CPC</w:t>
      </w:r>
      <w:r w:rsidR="00294AC6" w:rsidRPr="007775ED">
        <w:rPr>
          <w:rFonts w:ascii="Times New Roman" w:hAnsi="Times New Roman" w:cs="Times New Roman"/>
          <w:b w:val="0"/>
          <w:bCs/>
          <w:sz w:val="24"/>
          <w:szCs w:val="24"/>
        </w:rPr>
        <w:t xml:space="preserve"> </w:t>
      </w:r>
      <w:r w:rsidRPr="007775ED">
        <w:rPr>
          <w:rFonts w:ascii="Times New Roman" w:hAnsi="Times New Roman" w:cs="Times New Roman"/>
          <w:b w:val="0"/>
          <w:bCs/>
          <w:sz w:val="24"/>
          <w:szCs w:val="24"/>
        </w:rPr>
        <w:t>permitir ou exigir o contrário.</w:t>
      </w:r>
    </w:p>
    <w:p w14:paraId="588F64C3" w14:textId="306A2B3F" w:rsidR="00953DE8" w:rsidRPr="007775ED" w:rsidRDefault="006E6079" w:rsidP="007775ED">
      <w:pPr>
        <w:pStyle w:val="IASBSectionTitle1NonInd"/>
        <w:pBdr>
          <w:bottom w:val="none" w:sz="0" w:space="0" w:color="auto"/>
        </w:pBdr>
        <w:spacing w:before="0" w:after="240"/>
        <w:ind w:left="567" w:hanging="567"/>
        <w:jc w:val="both"/>
        <w:rPr>
          <w:rFonts w:ascii="Times New Roman" w:hAnsi="Times New Roman" w:cs="Times New Roman"/>
          <w:b w:val="0"/>
          <w:bCs/>
          <w:i/>
          <w:iCs/>
          <w:sz w:val="24"/>
          <w:szCs w:val="24"/>
        </w:rPr>
      </w:pPr>
      <w:r w:rsidRPr="007775ED">
        <w:rPr>
          <w:rFonts w:ascii="Times New Roman" w:hAnsi="Times New Roman" w:cs="Times New Roman"/>
          <w:b w:val="0"/>
          <w:bCs/>
          <w:i/>
          <w:iCs/>
          <w:sz w:val="24"/>
          <w:szCs w:val="24"/>
        </w:rPr>
        <w:t>CPC 51</w:t>
      </w:r>
      <w:r w:rsidR="00953DE8" w:rsidRPr="007775ED">
        <w:rPr>
          <w:rFonts w:ascii="Times New Roman" w:hAnsi="Times New Roman" w:cs="Times New Roman"/>
          <w:b w:val="0"/>
          <w:bCs/>
          <w:i/>
          <w:iCs/>
          <w:sz w:val="24"/>
          <w:szCs w:val="24"/>
        </w:rPr>
        <w:t xml:space="preserve"> – Apresentação e Divulgação </w:t>
      </w:r>
      <w:r w:rsidRPr="007775ED">
        <w:rPr>
          <w:rFonts w:ascii="Times New Roman" w:hAnsi="Times New Roman" w:cs="Times New Roman"/>
          <w:b w:val="0"/>
          <w:bCs/>
          <w:i/>
          <w:iCs/>
          <w:sz w:val="24"/>
          <w:szCs w:val="24"/>
        </w:rPr>
        <w:t>nas</w:t>
      </w:r>
      <w:r w:rsidR="00953DE8" w:rsidRPr="007775ED">
        <w:rPr>
          <w:rFonts w:ascii="Times New Roman" w:hAnsi="Times New Roman" w:cs="Times New Roman"/>
          <w:b w:val="0"/>
          <w:bCs/>
          <w:i/>
          <w:iCs/>
          <w:sz w:val="24"/>
          <w:szCs w:val="24"/>
        </w:rPr>
        <w:t xml:space="preserve"> </w:t>
      </w:r>
      <w:r w:rsidRPr="007775ED">
        <w:rPr>
          <w:rFonts w:ascii="Times New Roman" w:hAnsi="Times New Roman" w:cs="Times New Roman"/>
          <w:b w:val="0"/>
          <w:bCs/>
          <w:i/>
          <w:iCs/>
          <w:sz w:val="24"/>
          <w:szCs w:val="24"/>
        </w:rPr>
        <w:t>Demonstrações Contábeis</w:t>
      </w:r>
    </w:p>
    <w:p w14:paraId="10196E06" w14:textId="760E325B" w:rsidR="00953DE8" w:rsidRPr="007775ED" w:rsidRDefault="00953DE8" w:rsidP="007775ED">
      <w:pPr>
        <w:pStyle w:val="IASBSectionTitle1NonInd"/>
        <w:pBdr>
          <w:bottom w:val="none" w:sz="0" w:space="0" w:color="auto"/>
        </w:pBdr>
        <w:spacing w:before="0"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A2</w:t>
      </w:r>
      <w:r w:rsidRPr="007775ED">
        <w:rPr>
          <w:rFonts w:ascii="Times New Roman" w:hAnsi="Times New Roman" w:cs="Times New Roman"/>
          <w:b w:val="0"/>
          <w:bCs/>
          <w:sz w:val="24"/>
          <w:szCs w:val="24"/>
        </w:rPr>
        <w:tab/>
      </w:r>
      <w:r w:rsidR="00294AC6" w:rsidRPr="007775ED">
        <w:rPr>
          <w:rFonts w:ascii="Times New Roman" w:hAnsi="Times New Roman" w:cs="Times New Roman"/>
          <w:b w:val="0"/>
          <w:bCs/>
          <w:sz w:val="24"/>
          <w:szCs w:val="24"/>
        </w:rPr>
        <w:t xml:space="preserve">O </w:t>
      </w:r>
      <w:r w:rsidR="006E6079" w:rsidRPr="007775ED">
        <w:rPr>
          <w:rFonts w:ascii="Times New Roman" w:hAnsi="Times New Roman" w:cs="Times New Roman"/>
          <w:b w:val="0"/>
          <w:bCs/>
          <w:sz w:val="24"/>
          <w:szCs w:val="24"/>
        </w:rPr>
        <w:t>CPC 51</w:t>
      </w:r>
      <w:r w:rsidRPr="007775ED">
        <w:rPr>
          <w:rFonts w:ascii="Times New Roman" w:hAnsi="Times New Roman" w:cs="Times New Roman"/>
          <w:b w:val="0"/>
          <w:bCs/>
          <w:sz w:val="24"/>
          <w:szCs w:val="24"/>
        </w:rPr>
        <w:t>, emitid</w:t>
      </w:r>
      <w:r w:rsidR="00294AC6" w:rsidRPr="007775ED">
        <w:rPr>
          <w:rFonts w:ascii="Times New Roman" w:hAnsi="Times New Roman" w:cs="Times New Roman"/>
          <w:b w:val="0"/>
          <w:bCs/>
          <w:sz w:val="24"/>
          <w:szCs w:val="24"/>
        </w:rPr>
        <w:t>o</w:t>
      </w:r>
      <w:r w:rsidRPr="007775ED">
        <w:rPr>
          <w:rFonts w:ascii="Times New Roman" w:hAnsi="Times New Roman" w:cs="Times New Roman"/>
          <w:b w:val="0"/>
          <w:bCs/>
          <w:sz w:val="24"/>
          <w:szCs w:val="24"/>
        </w:rPr>
        <w:t xml:space="preserve"> em </w:t>
      </w:r>
      <w:r w:rsidR="00294AC6" w:rsidRPr="007775ED">
        <w:rPr>
          <w:rFonts w:ascii="Times New Roman" w:hAnsi="Times New Roman" w:cs="Times New Roman"/>
          <w:b w:val="0"/>
          <w:bCs/>
          <w:sz w:val="24"/>
          <w:szCs w:val="24"/>
        </w:rPr>
        <w:t xml:space="preserve">dezembro </w:t>
      </w:r>
      <w:r w:rsidRPr="007775ED">
        <w:rPr>
          <w:rFonts w:ascii="Times New Roman" w:hAnsi="Times New Roman" w:cs="Times New Roman"/>
          <w:b w:val="0"/>
          <w:bCs/>
          <w:sz w:val="24"/>
          <w:szCs w:val="24"/>
        </w:rPr>
        <w:t>de 202</w:t>
      </w:r>
      <w:r w:rsidR="00294AC6" w:rsidRPr="007775ED">
        <w:rPr>
          <w:rFonts w:ascii="Times New Roman" w:hAnsi="Times New Roman" w:cs="Times New Roman"/>
          <w:b w:val="0"/>
          <w:bCs/>
          <w:sz w:val="24"/>
          <w:szCs w:val="24"/>
        </w:rPr>
        <w:t>5</w:t>
      </w:r>
      <w:r w:rsidRPr="007775ED">
        <w:rPr>
          <w:rFonts w:ascii="Times New Roman" w:hAnsi="Times New Roman" w:cs="Times New Roman"/>
          <w:b w:val="0"/>
          <w:bCs/>
          <w:sz w:val="24"/>
          <w:szCs w:val="24"/>
        </w:rPr>
        <w:t xml:space="preserve">, substitui </w:t>
      </w:r>
      <w:r w:rsidR="00294AC6" w:rsidRPr="007775ED">
        <w:rPr>
          <w:rFonts w:ascii="Times New Roman" w:hAnsi="Times New Roman" w:cs="Times New Roman"/>
          <w:b w:val="0"/>
          <w:bCs/>
          <w:sz w:val="24"/>
          <w:szCs w:val="24"/>
        </w:rPr>
        <w:t xml:space="preserve">o Pronunciamento Técnico CPC 26 – </w:t>
      </w:r>
      <w:r w:rsidRPr="007775ED">
        <w:rPr>
          <w:rFonts w:ascii="Times New Roman" w:hAnsi="Times New Roman" w:cs="Times New Roman"/>
          <w:b w:val="0"/>
          <w:bCs/>
          <w:sz w:val="24"/>
          <w:szCs w:val="24"/>
        </w:rPr>
        <w:t>Apresentação</w:t>
      </w:r>
      <w:r w:rsidR="00294AC6" w:rsidRPr="007775ED">
        <w:rPr>
          <w:rFonts w:ascii="Times New Roman" w:hAnsi="Times New Roman" w:cs="Times New Roman"/>
          <w:b w:val="0"/>
          <w:bCs/>
          <w:sz w:val="24"/>
          <w:szCs w:val="24"/>
        </w:rPr>
        <w:t xml:space="preserve"> das </w:t>
      </w:r>
      <w:r w:rsidR="006E6079" w:rsidRPr="007775ED">
        <w:rPr>
          <w:rFonts w:ascii="Times New Roman" w:hAnsi="Times New Roman" w:cs="Times New Roman"/>
          <w:b w:val="0"/>
          <w:bCs/>
          <w:sz w:val="24"/>
          <w:szCs w:val="24"/>
        </w:rPr>
        <w:t>Demonstrações Contábeis</w:t>
      </w:r>
      <w:r w:rsidRPr="007775ED">
        <w:rPr>
          <w:rFonts w:ascii="Times New Roman" w:hAnsi="Times New Roman" w:cs="Times New Roman"/>
          <w:b w:val="0"/>
          <w:bCs/>
          <w:sz w:val="24"/>
          <w:szCs w:val="24"/>
        </w:rPr>
        <w:t xml:space="preserve">. </w:t>
      </w:r>
      <w:r w:rsidR="00294AC6" w:rsidRPr="007775ED">
        <w:rPr>
          <w:rFonts w:ascii="Times New Roman" w:hAnsi="Times New Roman" w:cs="Times New Roman"/>
          <w:b w:val="0"/>
          <w:bCs/>
          <w:sz w:val="24"/>
          <w:szCs w:val="24"/>
        </w:rPr>
        <w:t xml:space="preserve">O </w:t>
      </w:r>
      <w:r w:rsidR="006E6079" w:rsidRPr="007775ED">
        <w:rPr>
          <w:rFonts w:ascii="Times New Roman" w:hAnsi="Times New Roman" w:cs="Times New Roman"/>
          <w:b w:val="0"/>
          <w:bCs/>
          <w:sz w:val="24"/>
          <w:szCs w:val="24"/>
        </w:rPr>
        <w:t>CPC 51</w:t>
      </w:r>
      <w:r w:rsidRPr="007775ED">
        <w:rPr>
          <w:rFonts w:ascii="Times New Roman" w:hAnsi="Times New Roman" w:cs="Times New Roman"/>
          <w:b w:val="0"/>
          <w:bCs/>
          <w:sz w:val="24"/>
          <w:szCs w:val="24"/>
        </w:rPr>
        <w:t xml:space="preserve"> aplica-se a períodos de </w:t>
      </w:r>
      <w:r w:rsidR="005419DC" w:rsidRPr="007775ED">
        <w:rPr>
          <w:rFonts w:ascii="Times New Roman" w:hAnsi="Times New Roman" w:cs="Times New Roman"/>
          <w:b w:val="0"/>
          <w:bCs/>
          <w:sz w:val="24"/>
          <w:szCs w:val="24"/>
        </w:rPr>
        <w:t xml:space="preserve">reporte </w:t>
      </w:r>
      <w:r w:rsidRPr="007775ED">
        <w:rPr>
          <w:rFonts w:ascii="Times New Roman" w:hAnsi="Times New Roman" w:cs="Times New Roman"/>
          <w:b w:val="0"/>
          <w:bCs/>
          <w:sz w:val="24"/>
          <w:szCs w:val="24"/>
        </w:rPr>
        <w:t>anuais iniciados em 1º de janeiro de 2027.</w:t>
      </w:r>
    </w:p>
    <w:p w14:paraId="2289DB9E" w14:textId="585068BB" w:rsidR="00953DE8" w:rsidRPr="00953DE8" w:rsidRDefault="00953DE8" w:rsidP="007775ED">
      <w:pPr>
        <w:pStyle w:val="IASBSectionTitle1NonInd"/>
        <w:pBdr>
          <w:bottom w:val="none" w:sz="0" w:space="0" w:color="auto"/>
        </w:pBdr>
        <w:spacing w:before="0" w:after="240"/>
        <w:ind w:left="567" w:hanging="567"/>
        <w:jc w:val="both"/>
        <w:rPr>
          <w:rFonts w:ascii="Times New Roman" w:hAnsi="Times New Roman" w:cs="Times New Roman"/>
          <w:b w:val="0"/>
          <w:bCs/>
          <w:sz w:val="24"/>
          <w:szCs w:val="24"/>
        </w:rPr>
      </w:pPr>
      <w:r w:rsidRPr="007775ED">
        <w:rPr>
          <w:rFonts w:ascii="Times New Roman" w:hAnsi="Times New Roman" w:cs="Times New Roman"/>
          <w:b w:val="0"/>
          <w:bCs/>
          <w:sz w:val="24"/>
          <w:szCs w:val="24"/>
        </w:rPr>
        <w:t>A3</w:t>
      </w:r>
      <w:r w:rsidR="00EA1AEF" w:rsidRPr="007775ED">
        <w:rPr>
          <w:rFonts w:ascii="Times New Roman" w:hAnsi="Times New Roman" w:cs="Times New Roman"/>
          <w:b w:val="0"/>
          <w:bCs/>
          <w:sz w:val="24"/>
          <w:szCs w:val="24"/>
        </w:rPr>
        <w:t xml:space="preserve"> a A6. Não utilizado.</w:t>
      </w:r>
    </w:p>
    <w:sectPr w:rsidR="00953DE8" w:rsidRPr="00953DE8" w:rsidSect="00EA1AEF">
      <w:headerReference w:type="even" r:id="rId10"/>
      <w:headerReference w:type="default" r:id="rId11"/>
      <w:headerReference w:type="first" r:id="rId12"/>
      <w:pgSz w:w="11907" w:h="16840" w:code="9"/>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3EC4" w14:textId="77777777" w:rsidR="009E1F41" w:rsidRPr="00011700" w:rsidRDefault="009E1F41">
      <w:r w:rsidRPr="00011700">
        <w:separator/>
      </w:r>
    </w:p>
  </w:endnote>
  <w:endnote w:type="continuationSeparator" w:id="0">
    <w:p w14:paraId="3FFC062E" w14:textId="77777777" w:rsidR="009E1F41" w:rsidRPr="00011700" w:rsidRDefault="009E1F41">
      <w:r w:rsidRPr="00011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764B" w14:textId="77777777" w:rsidR="009E1F41" w:rsidRPr="00011700" w:rsidRDefault="009E1F41">
      <w:r w:rsidRPr="00011700">
        <w:separator/>
      </w:r>
    </w:p>
  </w:footnote>
  <w:footnote w:type="continuationSeparator" w:id="0">
    <w:p w14:paraId="031F1876" w14:textId="77777777" w:rsidR="009E1F41" w:rsidRPr="00011700" w:rsidRDefault="009E1F41">
      <w:r w:rsidRPr="000117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E119" w14:textId="59EC6A39" w:rsidR="00DE7D4A" w:rsidRPr="00011700" w:rsidRDefault="009E1F41">
    <w:pPr>
      <w:pStyle w:val="IASBNormalnparaL3"/>
      <w:tabs>
        <w:tab w:val="right" w:pos="9354"/>
      </w:tabs>
      <w:spacing w:before="0"/>
      <w:ind w:left="0" w:firstLine="0"/>
      <w:jc w:val="left"/>
      <w:rPr>
        <w:sz w:val="20"/>
      </w:rPr>
    </w:pPr>
    <w:r>
      <w:pict w14:anchorId="03EFF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47963" o:spid="_x0000_s1027" type="#_x0000_t136" alt="" style="position:absolute;margin-left:0;margin-top:0;width:494.95pt;height:141.4pt;rotation:315;z-index:-2516367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MINUT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07B4" w14:textId="4BAADF45" w:rsidR="00922630" w:rsidRPr="00011700" w:rsidRDefault="009E1F41">
    <w:pPr>
      <w:pStyle w:val="Cabealho"/>
    </w:pPr>
    <w:r>
      <w:pict w14:anchorId="069AF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47964" o:spid="_x0000_s1026" type="#_x0000_t136" alt="" style="position:absolute;margin-left:0;margin-top:0;width:494.95pt;height:141.4pt;rotation:315;z-index:-2516346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MINUT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FEED" w14:textId="47919D32" w:rsidR="00922630" w:rsidRPr="00011700" w:rsidRDefault="009E1F41">
    <w:pPr>
      <w:pStyle w:val="Cabealho"/>
    </w:pPr>
    <w:r>
      <w:pict w14:anchorId="6AADC1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47962" o:spid="_x0000_s1025" type="#_x0000_t136" alt="" style="position:absolute;margin-left:0;margin-top:0;width:494.95pt;height:141.4pt;rotation:315;z-index:-2516387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MINUT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2D8"/>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4F12E79"/>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0775A2"/>
    <w:multiLevelType w:val="multilevel"/>
    <w:tmpl w:val="E0860F98"/>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6B1650"/>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F112A85"/>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0FEF688E"/>
    <w:multiLevelType w:val="multilevel"/>
    <w:tmpl w:val="228A6432"/>
    <w:lvl w:ilvl="0">
      <w:start w:val="103"/>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752E6A"/>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 w15:restartNumberingAfterBreak="0">
    <w:nsid w:val="1BFA6FA9"/>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 w15:restartNumberingAfterBreak="0">
    <w:nsid w:val="1CA34031"/>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 w15:restartNumberingAfterBreak="0">
    <w:nsid w:val="222521A5"/>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8BF6D82"/>
    <w:multiLevelType w:val="multilevel"/>
    <w:tmpl w:val="E0860F98"/>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B0756D1"/>
    <w:multiLevelType w:val="multilevel"/>
    <w:tmpl w:val="6A9AF558"/>
    <w:lvl w:ilvl="0">
      <w:start w:val="160"/>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53901AB"/>
    <w:multiLevelType w:val="hybridMultilevel"/>
    <w:tmpl w:val="E7985E7C"/>
    <w:lvl w:ilvl="0" w:tplc="9BF44EBC">
      <w:start w:val="1"/>
      <w:numFmt w:val="low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3" w15:restartNumberingAfterBreak="0">
    <w:nsid w:val="362D19A3"/>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83E5B6C"/>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397575D9"/>
    <w:multiLevelType w:val="multilevel"/>
    <w:tmpl w:val="84F4E318"/>
    <w:lvl w:ilvl="0">
      <w:start w:val="65"/>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4385B41"/>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45760175"/>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BE27410"/>
    <w:multiLevelType w:val="hybridMultilevel"/>
    <w:tmpl w:val="08645B1A"/>
    <w:lvl w:ilvl="0" w:tplc="73F88EDC">
      <w:start w:val="1"/>
      <w:numFmt w:val="lowerLetter"/>
      <w:lvlText w:val="(%1)"/>
      <w:lvlJc w:val="left"/>
      <w:pPr>
        <w:ind w:left="1130" w:hanging="563"/>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9" w15:restartNumberingAfterBreak="0">
    <w:nsid w:val="4C6F15CD"/>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4DB903C7"/>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4E474373"/>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56AE1046"/>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578F5197"/>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5AAB2909"/>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5E187C5D"/>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63092E6A"/>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 w15:restartNumberingAfterBreak="0">
    <w:nsid w:val="66564720"/>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 w15:restartNumberingAfterBreak="0">
    <w:nsid w:val="67932F78"/>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 w15:restartNumberingAfterBreak="0">
    <w:nsid w:val="6C611D62"/>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6E847DE9"/>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713434C3"/>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76501D50"/>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77C46A78"/>
    <w:multiLevelType w:val="hybridMultilevel"/>
    <w:tmpl w:val="08645B1A"/>
    <w:lvl w:ilvl="0" w:tplc="FFFFFFFF">
      <w:start w:val="1"/>
      <w:numFmt w:val="lowerLetter"/>
      <w:lvlText w:val="(%1)"/>
      <w:lvlJc w:val="left"/>
      <w:pPr>
        <w:ind w:left="1130" w:hanging="563"/>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79FC0750"/>
    <w:multiLevelType w:val="hybridMultilevel"/>
    <w:tmpl w:val="E7985E7C"/>
    <w:lvl w:ilvl="0" w:tplc="FFFFFFFF">
      <w:start w:val="1"/>
      <w:numFmt w:val="lowerRoman"/>
      <w:lvlText w:val="(%1)"/>
      <w:lvlJc w:val="lef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1523088001">
    <w:abstractNumId w:val="2"/>
  </w:num>
  <w:num w:numId="2" w16cid:durableId="899370176">
    <w:abstractNumId w:val="18"/>
  </w:num>
  <w:num w:numId="3" w16cid:durableId="2126996782">
    <w:abstractNumId w:val="24"/>
  </w:num>
  <w:num w:numId="4" w16cid:durableId="686713801">
    <w:abstractNumId w:val="30"/>
  </w:num>
  <w:num w:numId="5" w16cid:durableId="1692490541">
    <w:abstractNumId w:val="9"/>
  </w:num>
  <w:num w:numId="6" w16cid:durableId="2126801345">
    <w:abstractNumId w:val="12"/>
  </w:num>
  <w:num w:numId="7" w16cid:durableId="139612270">
    <w:abstractNumId w:val="17"/>
  </w:num>
  <w:num w:numId="8" w16cid:durableId="1410351173">
    <w:abstractNumId w:val="6"/>
  </w:num>
  <w:num w:numId="9" w16cid:durableId="1075904629">
    <w:abstractNumId w:val="25"/>
  </w:num>
  <w:num w:numId="10" w16cid:durableId="1674530927">
    <w:abstractNumId w:val="31"/>
  </w:num>
  <w:num w:numId="11" w16cid:durableId="1656570612">
    <w:abstractNumId w:val="23"/>
  </w:num>
  <w:num w:numId="12" w16cid:durableId="1577937818">
    <w:abstractNumId w:val="8"/>
  </w:num>
  <w:num w:numId="13" w16cid:durableId="1230385684">
    <w:abstractNumId w:val="28"/>
  </w:num>
  <w:num w:numId="14" w16cid:durableId="1493762794">
    <w:abstractNumId w:val="27"/>
  </w:num>
  <w:num w:numId="15" w16cid:durableId="1370908659">
    <w:abstractNumId w:val="0"/>
  </w:num>
  <w:num w:numId="16" w16cid:durableId="1274751468">
    <w:abstractNumId w:val="32"/>
  </w:num>
  <w:num w:numId="17" w16cid:durableId="107244508">
    <w:abstractNumId w:val="14"/>
  </w:num>
  <w:num w:numId="18" w16cid:durableId="1251161267">
    <w:abstractNumId w:val="33"/>
  </w:num>
  <w:num w:numId="19" w16cid:durableId="255024253">
    <w:abstractNumId w:val="1"/>
  </w:num>
  <w:num w:numId="20" w16cid:durableId="124592357">
    <w:abstractNumId w:val="7"/>
  </w:num>
  <w:num w:numId="21" w16cid:durableId="1214776155">
    <w:abstractNumId w:val="34"/>
  </w:num>
  <w:num w:numId="22" w16cid:durableId="517045214">
    <w:abstractNumId w:val="3"/>
  </w:num>
  <w:num w:numId="23" w16cid:durableId="676923591">
    <w:abstractNumId w:val="20"/>
  </w:num>
  <w:num w:numId="24" w16cid:durableId="601886087">
    <w:abstractNumId w:val="16"/>
  </w:num>
  <w:num w:numId="25" w16cid:durableId="488181231">
    <w:abstractNumId w:val="19"/>
  </w:num>
  <w:num w:numId="26" w16cid:durableId="662860610">
    <w:abstractNumId w:val="13"/>
  </w:num>
  <w:num w:numId="27" w16cid:durableId="189412509">
    <w:abstractNumId w:val="22"/>
  </w:num>
  <w:num w:numId="28" w16cid:durableId="1940023587">
    <w:abstractNumId w:val="4"/>
  </w:num>
  <w:num w:numId="29" w16cid:durableId="1597320614">
    <w:abstractNumId w:val="21"/>
  </w:num>
  <w:num w:numId="30" w16cid:durableId="1580677963">
    <w:abstractNumId w:val="29"/>
  </w:num>
  <w:num w:numId="31" w16cid:durableId="851408480">
    <w:abstractNumId w:val="5"/>
  </w:num>
  <w:num w:numId="32" w16cid:durableId="1514875653">
    <w:abstractNumId w:val="10"/>
  </w:num>
  <w:num w:numId="33" w16cid:durableId="1255479892">
    <w:abstractNumId w:val="15"/>
  </w:num>
  <w:num w:numId="34" w16cid:durableId="1823622182">
    <w:abstractNumId w:val="11"/>
  </w:num>
  <w:num w:numId="35" w16cid:durableId="1515072107">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625"/>
    <w:rsid w:val="00000281"/>
    <w:rsid w:val="000024C7"/>
    <w:rsid w:val="000076FC"/>
    <w:rsid w:val="00010174"/>
    <w:rsid w:val="00011700"/>
    <w:rsid w:val="000175C2"/>
    <w:rsid w:val="00023B49"/>
    <w:rsid w:val="00025F99"/>
    <w:rsid w:val="000262D8"/>
    <w:rsid w:val="00032DCE"/>
    <w:rsid w:val="000377FA"/>
    <w:rsid w:val="00044B3D"/>
    <w:rsid w:val="00046907"/>
    <w:rsid w:val="00057CA1"/>
    <w:rsid w:val="000606F2"/>
    <w:rsid w:val="00063778"/>
    <w:rsid w:val="00065CAF"/>
    <w:rsid w:val="0007027B"/>
    <w:rsid w:val="00070701"/>
    <w:rsid w:val="00071A05"/>
    <w:rsid w:val="0007506F"/>
    <w:rsid w:val="00081D4F"/>
    <w:rsid w:val="00082FD9"/>
    <w:rsid w:val="0009352F"/>
    <w:rsid w:val="00093889"/>
    <w:rsid w:val="000976FD"/>
    <w:rsid w:val="000A4A08"/>
    <w:rsid w:val="000A71CD"/>
    <w:rsid w:val="000B3676"/>
    <w:rsid w:val="000B3F82"/>
    <w:rsid w:val="000B66A5"/>
    <w:rsid w:val="000B67D3"/>
    <w:rsid w:val="000B7741"/>
    <w:rsid w:val="000C0AE9"/>
    <w:rsid w:val="000C5E4A"/>
    <w:rsid w:val="000D0B19"/>
    <w:rsid w:val="000D65A7"/>
    <w:rsid w:val="000E4918"/>
    <w:rsid w:val="000E6473"/>
    <w:rsid w:val="000E7B32"/>
    <w:rsid w:val="000F24C9"/>
    <w:rsid w:val="000F4F9D"/>
    <w:rsid w:val="000F64EE"/>
    <w:rsid w:val="000F6A61"/>
    <w:rsid w:val="000F6ED6"/>
    <w:rsid w:val="0010112C"/>
    <w:rsid w:val="001017C6"/>
    <w:rsid w:val="001026E4"/>
    <w:rsid w:val="001076A5"/>
    <w:rsid w:val="00117BF9"/>
    <w:rsid w:val="001205B6"/>
    <w:rsid w:val="00120FF2"/>
    <w:rsid w:val="001351C3"/>
    <w:rsid w:val="001364F6"/>
    <w:rsid w:val="00142389"/>
    <w:rsid w:val="00145E4F"/>
    <w:rsid w:val="00147ADE"/>
    <w:rsid w:val="00147F7D"/>
    <w:rsid w:val="00154A38"/>
    <w:rsid w:val="001563BD"/>
    <w:rsid w:val="00160F6C"/>
    <w:rsid w:val="00162991"/>
    <w:rsid w:val="00163633"/>
    <w:rsid w:val="00166AC1"/>
    <w:rsid w:val="00171500"/>
    <w:rsid w:val="00172581"/>
    <w:rsid w:val="00175036"/>
    <w:rsid w:val="00175D4B"/>
    <w:rsid w:val="0017705A"/>
    <w:rsid w:val="00181FDE"/>
    <w:rsid w:val="00182607"/>
    <w:rsid w:val="001826B7"/>
    <w:rsid w:val="001835D5"/>
    <w:rsid w:val="001836A4"/>
    <w:rsid w:val="001909A2"/>
    <w:rsid w:val="00194BE3"/>
    <w:rsid w:val="001A376D"/>
    <w:rsid w:val="001A5974"/>
    <w:rsid w:val="001A5D17"/>
    <w:rsid w:val="001B0F5B"/>
    <w:rsid w:val="001B2573"/>
    <w:rsid w:val="001B4732"/>
    <w:rsid w:val="001C0B18"/>
    <w:rsid w:val="001C1CE7"/>
    <w:rsid w:val="001C27E1"/>
    <w:rsid w:val="001C4546"/>
    <w:rsid w:val="001D1E50"/>
    <w:rsid w:val="001D3D37"/>
    <w:rsid w:val="001D4B0A"/>
    <w:rsid w:val="001D62F9"/>
    <w:rsid w:val="001D7473"/>
    <w:rsid w:val="001D74DB"/>
    <w:rsid w:val="001E315A"/>
    <w:rsid w:val="001E4FDA"/>
    <w:rsid w:val="001E7F40"/>
    <w:rsid w:val="001F0EAD"/>
    <w:rsid w:val="001F15A7"/>
    <w:rsid w:val="001F1A5F"/>
    <w:rsid w:val="0020456A"/>
    <w:rsid w:val="002063D4"/>
    <w:rsid w:val="00206904"/>
    <w:rsid w:val="0021013E"/>
    <w:rsid w:val="0021086C"/>
    <w:rsid w:val="00211295"/>
    <w:rsid w:val="00211B20"/>
    <w:rsid w:val="00211F26"/>
    <w:rsid w:val="002166B7"/>
    <w:rsid w:val="00216857"/>
    <w:rsid w:val="00220378"/>
    <w:rsid w:val="002219F6"/>
    <w:rsid w:val="00225E53"/>
    <w:rsid w:val="00230256"/>
    <w:rsid w:val="00234F0D"/>
    <w:rsid w:val="00241640"/>
    <w:rsid w:val="002420CD"/>
    <w:rsid w:val="002507E1"/>
    <w:rsid w:val="0025230B"/>
    <w:rsid w:val="00253205"/>
    <w:rsid w:val="002553A4"/>
    <w:rsid w:val="00256962"/>
    <w:rsid w:val="0027026C"/>
    <w:rsid w:val="00281052"/>
    <w:rsid w:val="002901FF"/>
    <w:rsid w:val="00290B59"/>
    <w:rsid w:val="0029404E"/>
    <w:rsid w:val="0029491C"/>
    <w:rsid w:val="00294AC6"/>
    <w:rsid w:val="0029796E"/>
    <w:rsid w:val="002A1087"/>
    <w:rsid w:val="002A21C2"/>
    <w:rsid w:val="002A53D0"/>
    <w:rsid w:val="002B1102"/>
    <w:rsid w:val="002C0AFC"/>
    <w:rsid w:val="002D13D4"/>
    <w:rsid w:val="002D5DC1"/>
    <w:rsid w:val="002D7F6F"/>
    <w:rsid w:val="002E215A"/>
    <w:rsid w:val="002E3809"/>
    <w:rsid w:val="002F04D8"/>
    <w:rsid w:val="002F5EF0"/>
    <w:rsid w:val="003050FB"/>
    <w:rsid w:val="00307E04"/>
    <w:rsid w:val="0031057A"/>
    <w:rsid w:val="003108E8"/>
    <w:rsid w:val="003118BB"/>
    <w:rsid w:val="00312765"/>
    <w:rsid w:val="00312B2C"/>
    <w:rsid w:val="00314928"/>
    <w:rsid w:val="003236B2"/>
    <w:rsid w:val="00325FE5"/>
    <w:rsid w:val="003263CE"/>
    <w:rsid w:val="00333C17"/>
    <w:rsid w:val="00333F9D"/>
    <w:rsid w:val="0034058A"/>
    <w:rsid w:val="00343F56"/>
    <w:rsid w:val="00361C56"/>
    <w:rsid w:val="003722B1"/>
    <w:rsid w:val="0038150C"/>
    <w:rsid w:val="00382B77"/>
    <w:rsid w:val="0038697F"/>
    <w:rsid w:val="00392A65"/>
    <w:rsid w:val="00392C39"/>
    <w:rsid w:val="003963E7"/>
    <w:rsid w:val="00396CC0"/>
    <w:rsid w:val="003A116F"/>
    <w:rsid w:val="003A291C"/>
    <w:rsid w:val="003A2A2E"/>
    <w:rsid w:val="003A2D7A"/>
    <w:rsid w:val="003A3AFF"/>
    <w:rsid w:val="003B4E40"/>
    <w:rsid w:val="003B722E"/>
    <w:rsid w:val="003C0E81"/>
    <w:rsid w:val="003C1E4A"/>
    <w:rsid w:val="003C30D6"/>
    <w:rsid w:val="003C51D6"/>
    <w:rsid w:val="003C695D"/>
    <w:rsid w:val="003D240B"/>
    <w:rsid w:val="003D265B"/>
    <w:rsid w:val="003D2E47"/>
    <w:rsid w:val="003D3B65"/>
    <w:rsid w:val="003D3E9F"/>
    <w:rsid w:val="003D45CE"/>
    <w:rsid w:val="003E0F28"/>
    <w:rsid w:val="003E7EED"/>
    <w:rsid w:val="003F330A"/>
    <w:rsid w:val="003F64AD"/>
    <w:rsid w:val="003F736F"/>
    <w:rsid w:val="004055B7"/>
    <w:rsid w:val="00407354"/>
    <w:rsid w:val="00410853"/>
    <w:rsid w:val="0041729C"/>
    <w:rsid w:val="00420553"/>
    <w:rsid w:val="00424F09"/>
    <w:rsid w:val="00436BC9"/>
    <w:rsid w:val="00437FA2"/>
    <w:rsid w:val="00452039"/>
    <w:rsid w:val="004571B6"/>
    <w:rsid w:val="004603AD"/>
    <w:rsid w:val="00460596"/>
    <w:rsid w:val="00466C32"/>
    <w:rsid w:val="00467895"/>
    <w:rsid w:val="00471896"/>
    <w:rsid w:val="00471F6F"/>
    <w:rsid w:val="00473A6D"/>
    <w:rsid w:val="00475D3D"/>
    <w:rsid w:val="004824F3"/>
    <w:rsid w:val="0048516D"/>
    <w:rsid w:val="004855FB"/>
    <w:rsid w:val="004858C7"/>
    <w:rsid w:val="00492B50"/>
    <w:rsid w:val="00496705"/>
    <w:rsid w:val="004A419A"/>
    <w:rsid w:val="004A4824"/>
    <w:rsid w:val="004B09B8"/>
    <w:rsid w:val="004B1676"/>
    <w:rsid w:val="004B26BF"/>
    <w:rsid w:val="004B2A5A"/>
    <w:rsid w:val="004B60F3"/>
    <w:rsid w:val="004C0EB0"/>
    <w:rsid w:val="004C4EDB"/>
    <w:rsid w:val="004C58FA"/>
    <w:rsid w:val="004C5CB4"/>
    <w:rsid w:val="004D2578"/>
    <w:rsid w:val="004D582C"/>
    <w:rsid w:val="004E1332"/>
    <w:rsid w:val="004E3CA5"/>
    <w:rsid w:val="004F008E"/>
    <w:rsid w:val="004F1708"/>
    <w:rsid w:val="004F170E"/>
    <w:rsid w:val="004F413D"/>
    <w:rsid w:val="00500781"/>
    <w:rsid w:val="00505733"/>
    <w:rsid w:val="00511FAB"/>
    <w:rsid w:val="00513A70"/>
    <w:rsid w:val="0051756C"/>
    <w:rsid w:val="00530EAE"/>
    <w:rsid w:val="00532A7A"/>
    <w:rsid w:val="00534BF3"/>
    <w:rsid w:val="00540CBC"/>
    <w:rsid w:val="005419DC"/>
    <w:rsid w:val="00544025"/>
    <w:rsid w:val="00544210"/>
    <w:rsid w:val="00544704"/>
    <w:rsid w:val="00546658"/>
    <w:rsid w:val="00546990"/>
    <w:rsid w:val="005477EA"/>
    <w:rsid w:val="00550C27"/>
    <w:rsid w:val="005534B1"/>
    <w:rsid w:val="0055723A"/>
    <w:rsid w:val="00561C47"/>
    <w:rsid w:val="00562698"/>
    <w:rsid w:val="00565F53"/>
    <w:rsid w:val="00567D0A"/>
    <w:rsid w:val="005706F5"/>
    <w:rsid w:val="0057226E"/>
    <w:rsid w:val="0057273B"/>
    <w:rsid w:val="00572D8B"/>
    <w:rsid w:val="0057499A"/>
    <w:rsid w:val="005764FE"/>
    <w:rsid w:val="00576BF2"/>
    <w:rsid w:val="00576C8A"/>
    <w:rsid w:val="00577B5B"/>
    <w:rsid w:val="00577ECC"/>
    <w:rsid w:val="00582D8F"/>
    <w:rsid w:val="005831C4"/>
    <w:rsid w:val="005850F0"/>
    <w:rsid w:val="00587EC8"/>
    <w:rsid w:val="00591D28"/>
    <w:rsid w:val="005A09B2"/>
    <w:rsid w:val="005A2BD7"/>
    <w:rsid w:val="005A4450"/>
    <w:rsid w:val="005A45DE"/>
    <w:rsid w:val="005B27B8"/>
    <w:rsid w:val="005B3760"/>
    <w:rsid w:val="005B4210"/>
    <w:rsid w:val="005B6A6E"/>
    <w:rsid w:val="005C0AF1"/>
    <w:rsid w:val="005C19F8"/>
    <w:rsid w:val="005C668C"/>
    <w:rsid w:val="005D07F2"/>
    <w:rsid w:val="005D3B16"/>
    <w:rsid w:val="005D54CA"/>
    <w:rsid w:val="005D6B51"/>
    <w:rsid w:val="005E0A66"/>
    <w:rsid w:val="005E5A97"/>
    <w:rsid w:val="005E7548"/>
    <w:rsid w:val="005F2A8B"/>
    <w:rsid w:val="005F46CC"/>
    <w:rsid w:val="005F56B4"/>
    <w:rsid w:val="005F5BAF"/>
    <w:rsid w:val="0061033C"/>
    <w:rsid w:val="0061359B"/>
    <w:rsid w:val="0062150C"/>
    <w:rsid w:val="00621C09"/>
    <w:rsid w:val="0062207F"/>
    <w:rsid w:val="00622B48"/>
    <w:rsid w:val="00622E71"/>
    <w:rsid w:val="00625D41"/>
    <w:rsid w:val="00632EDA"/>
    <w:rsid w:val="0063758C"/>
    <w:rsid w:val="00642410"/>
    <w:rsid w:val="006424F5"/>
    <w:rsid w:val="00642B34"/>
    <w:rsid w:val="00644118"/>
    <w:rsid w:val="00645E75"/>
    <w:rsid w:val="00645FAA"/>
    <w:rsid w:val="00651F9B"/>
    <w:rsid w:val="00652E19"/>
    <w:rsid w:val="006637E2"/>
    <w:rsid w:val="006664B9"/>
    <w:rsid w:val="00666762"/>
    <w:rsid w:val="00671BED"/>
    <w:rsid w:val="00672B20"/>
    <w:rsid w:val="006742BF"/>
    <w:rsid w:val="0067475F"/>
    <w:rsid w:val="006769F5"/>
    <w:rsid w:val="00676D4B"/>
    <w:rsid w:val="006773B3"/>
    <w:rsid w:val="006829A3"/>
    <w:rsid w:val="00684511"/>
    <w:rsid w:val="00687784"/>
    <w:rsid w:val="00693EC7"/>
    <w:rsid w:val="00697A23"/>
    <w:rsid w:val="006A27D7"/>
    <w:rsid w:val="006A329A"/>
    <w:rsid w:val="006A32F7"/>
    <w:rsid w:val="006A5A84"/>
    <w:rsid w:val="006A61DD"/>
    <w:rsid w:val="006A7137"/>
    <w:rsid w:val="006B1A62"/>
    <w:rsid w:val="006B42DD"/>
    <w:rsid w:val="006B5176"/>
    <w:rsid w:val="006C0406"/>
    <w:rsid w:val="006C0FCA"/>
    <w:rsid w:val="006C393C"/>
    <w:rsid w:val="006D25AF"/>
    <w:rsid w:val="006D74B7"/>
    <w:rsid w:val="006E2F13"/>
    <w:rsid w:val="006E3161"/>
    <w:rsid w:val="006E36D6"/>
    <w:rsid w:val="006E6079"/>
    <w:rsid w:val="006E6251"/>
    <w:rsid w:val="006F1701"/>
    <w:rsid w:val="006F429E"/>
    <w:rsid w:val="006F4E3D"/>
    <w:rsid w:val="006F5211"/>
    <w:rsid w:val="006F704B"/>
    <w:rsid w:val="00703423"/>
    <w:rsid w:val="00703533"/>
    <w:rsid w:val="007064DD"/>
    <w:rsid w:val="00712261"/>
    <w:rsid w:val="00712B49"/>
    <w:rsid w:val="00714F47"/>
    <w:rsid w:val="00717ADA"/>
    <w:rsid w:val="00724EBC"/>
    <w:rsid w:val="00725A41"/>
    <w:rsid w:val="0072795A"/>
    <w:rsid w:val="007325A2"/>
    <w:rsid w:val="00732BE4"/>
    <w:rsid w:val="00732EA4"/>
    <w:rsid w:val="0073301A"/>
    <w:rsid w:val="007369D9"/>
    <w:rsid w:val="007402B3"/>
    <w:rsid w:val="00741BFC"/>
    <w:rsid w:val="00743DD7"/>
    <w:rsid w:val="00744D5C"/>
    <w:rsid w:val="007450A7"/>
    <w:rsid w:val="00747060"/>
    <w:rsid w:val="007511FF"/>
    <w:rsid w:val="00751B2E"/>
    <w:rsid w:val="0075459E"/>
    <w:rsid w:val="007558DD"/>
    <w:rsid w:val="007632A4"/>
    <w:rsid w:val="0076422D"/>
    <w:rsid w:val="00765CAD"/>
    <w:rsid w:val="00766F30"/>
    <w:rsid w:val="00771612"/>
    <w:rsid w:val="00771CC3"/>
    <w:rsid w:val="00772A45"/>
    <w:rsid w:val="00774144"/>
    <w:rsid w:val="007757AA"/>
    <w:rsid w:val="007775ED"/>
    <w:rsid w:val="007817C8"/>
    <w:rsid w:val="00791A4B"/>
    <w:rsid w:val="00792BC3"/>
    <w:rsid w:val="00793506"/>
    <w:rsid w:val="00794680"/>
    <w:rsid w:val="007A44B9"/>
    <w:rsid w:val="007A73E5"/>
    <w:rsid w:val="007A7C42"/>
    <w:rsid w:val="007B09FE"/>
    <w:rsid w:val="007B2FDE"/>
    <w:rsid w:val="007B394C"/>
    <w:rsid w:val="007B3A1C"/>
    <w:rsid w:val="007C22AA"/>
    <w:rsid w:val="007C6BEA"/>
    <w:rsid w:val="007D4F76"/>
    <w:rsid w:val="007D65AC"/>
    <w:rsid w:val="007E0113"/>
    <w:rsid w:val="007F29CE"/>
    <w:rsid w:val="007F488F"/>
    <w:rsid w:val="007F7786"/>
    <w:rsid w:val="008108DF"/>
    <w:rsid w:val="00814E74"/>
    <w:rsid w:val="00815CB2"/>
    <w:rsid w:val="00816B2F"/>
    <w:rsid w:val="00820A39"/>
    <w:rsid w:val="00820D36"/>
    <w:rsid w:val="00823109"/>
    <w:rsid w:val="008309B5"/>
    <w:rsid w:val="00832755"/>
    <w:rsid w:val="00833AAD"/>
    <w:rsid w:val="00834C21"/>
    <w:rsid w:val="0083565B"/>
    <w:rsid w:val="0084261B"/>
    <w:rsid w:val="00844E55"/>
    <w:rsid w:val="00845152"/>
    <w:rsid w:val="00846277"/>
    <w:rsid w:val="00847956"/>
    <w:rsid w:val="008505A3"/>
    <w:rsid w:val="00850916"/>
    <w:rsid w:val="008601F3"/>
    <w:rsid w:val="008673FF"/>
    <w:rsid w:val="00871EF3"/>
    <w:rsid w:val="008725D2"/>
    <w:rsid w:val="00875177"/>
    <w:rsid w:val="00881203"/>
    <w:rsid w:val="00882071"/>
    <w:rsid w:val="0088294D"/>
    <w:rsid w:val="00893671"/>
    <w:rsid w:val="0089373C"/>
    <w:rsid w:val="00894BF3"/>
    <w:rsid w:val="00894F7E"/>
    <w:rsid w:val="00896395"/>
    <w:rsid w:val="008A3705"/>
    <w:rsid w:val="008A3B53"/>
    <w:rsid w:val="008A5CC7"/>
    <w:rsid w:val="008A5FA0"/>
    <w:rsid w:val="008A6157"/>
    <w:rsid w:val="008B086A"/>
    <w:rsid w:val="008B1518"/>
    <w:rsid w:val="008B71B5"/>
    <w:rsid w:val="008B7431"/>
    <w:rsid w:val="008B7C2B"/>
    <w:rsid w:val="008C1418"/>
    <w:rsid w:val="008C5368"/>
    <w:rsid w:val="008D1329"/>
    <w:rsid w:val="008D146B"/>
    <w:rsid w:val="008D1D3E"/>
    <w:rsid w:val="008E75B3"/>
    <w:rsid w:val="008E781A"/>
    <w:rsid w:val="008F343A"/>
    <w:rsid w:val="008F4FE7"/>
    <w:rsid w:val="008F7FAE"/>
    <w:rsid w:val="00901E7E"/>
    <w:rsid w:val="00901F91"/>
    <w:rsid w:val="00902BCE"/>
    <w:rsid w:val="00903E80"/>
    <w:rsid w:val="00904147"/>
    <w:rsid w:val="00912F35"/>
    <w:rsid w:val="009159E2"/>
    <w:rsid w:val="00915B1A"/>
    <w:rsid w:val="009169A2"/>
    <w:rsid w:val="00916EB5"/>
    <w:rsid w:val="0092091B"/>
    <w:rsid w:val="00922630"/>
    <w:rsid w:val="0092508D"/>
    <w:rsid w:val="00925EF1"/>
    <w:rsid w:val="009269E5"/>
    <w:rsid w:val="00927DE1"/>
    <w:rsid w:val="00933AB9"/>
    <w:rsid w:val="009363DD"/>
    <w:rsid w:val="009425A9"/>
    <w:rsid w:val="0094280A"/>
    <w:rsid w:val="00945317"/>
    <w:rsid w:val="0095059F"/>
    <w:rsid w:val="0095248A"/>
    <w:rsid w:val="00953DE8"/>
    <w:rsid w:val="009574FB"/>
    <w:rsid w:val="0095784E"/>
    <w:rsid w:val="009607A8"/>
    <w:rsid w:val="00965DAB"/>
    <w:rsid w:val="00967761"/>
    <w:rsid w:val="00967EF4"/>
    <w:rsid w:val="00970112"/>
    <w:rsid w:val="00970A66"/>
    <w:rsid w:val="00972E40"/>
    <w:rsid w:val="00977777"/>
    <w:rsid w:val="00977C3A"/>
    <w:rsid w:val="00986509"/>
    <w:rsid w:val="009866F1"/>
    <w:rsid w:val="00986E08"/>
    <w:rsid w:val="00987CC2"/>
    <w:rsid w:val="00992F58"/>
    <w:rsid w:val="00993172"/>
    <w:rsid w:val="0099504B"/>
    <w:rsid w:val="00996297"/>
    <w:rsid w:val="009A3EB7"/>
    <w:rsid w:val="009A4BC4"/>
    <w:rsid w:val="009A68A9"/>
    <w:rsid w:val="009A6A5B"/>
    <w:rsid w:val="009B4DF1"/>
    <w:rsid w:val="009B4F11"/>
    <w:rsid w:val="009C4F07"/>
    <w:rsid w:val="009C604A"/>
    <w:rsid w:val="009D1DB4"/>
    <w:rsid w:val="009D2BD0"/>
    <w:rsid w:val="009D6A26"/>
    <w:rsid w:val="009E1A40"/>
    <w:rsid w:val="009E1F41"/>
    <w:rsid w:val="009E3715"/>
    <w:rsid w:val="009E543A"/>
    <w:rsid w:val="009F0E89"/>
    <w:rsid w:val="009F4E3A"/>
    <w:rsid w:val="009F4F10"/>
    <w:rsid w:val="00A03648"/>
    <w:rsid w:val="00A0577A"/>
    <w:rsid w:val="00A060A4"/>
    <w:rsid w:val="00A062FC"/>
    <w:rsid w:val="00A14FFF"/>
    <w:rsid w:val="00A16927"/>
    <w:rsid w:val="00A207C3"/>
    <w:rsid w:val="00A245B1"/>
    <w:rsid w:val="00A26CAB"/>
    <w:rsid w:val="00A32326"/>
    <w:rsid w:val="00A3478F"/>
    <w:rsid w:val="00A3666A"/>
    <w:rsid w:val="00A376D5"/>
    <w:rsid w:val="00A40101"/>
    <w:rsid w:val="00A41EFA"/>
    <w:rsid w:val="00A428FC"/>
    <w:rsid w:val="00A446D1"/>
    <w:rsid w:val="00A4470B"/>
    <w:rsid w:val="00A52DD6"/>
    <w:rsid w:val="00A53571"/>
    <w:rsid w:val="00A5423E"/>
    <w:rsid w:val="00A57B5C"/>
    <w:rsid w:val="00A65DC0"/>
    <w:rsid w:val="00A65FDF"/>
    <w:rsid w:val="00A67CF3"/>
    <w:rsid w:val="00A70F21"/>
    <w:rsid w:val="00A7699D"/>
    <w:rsid w:val="00A77849"/>
    <w:rsid w:val="00A811D8"/>
    <w:rsid w:val="00A81433"/>
    <w:rsid w:val="00A81A5F"/>
    <w:rsid w:val="00A84A92"/>
    <w:rsid w:val="00A85645"/>
    <w:rsid w:val="00AA1CBB"/>
    <w:rsid w:val="00AA501B"/>
    <w:rsid w:val="00AA6851"/>
    <w:rsid w:val="00AA6FDC"/>
    <w:rsid w:val="00AA7D37"/>
    <w:rsid w:val="00AB5AD2"/>
    <w:rsid w:val="00AC38ED"/>
    <w:rsid w:val="00AC5C87"/>
    <w:rsid w:val="00AC658F"/>
    <w:rsid w:val="00AC7371"/>
    <w:rsid w:val="00AD051B"/>
    <w:rsid w:val="00AD3564"/>
    <w:rsid w:val="00AE16CC"/>
    <w:rsid w:val="00AE1AE8"/>
    <w:rsid w:val="00AE1FF3"/>
    <w:rsid w:val="00AE3B4F"/>
    <w:rsid w:val="00AE4FC4"/>
    <w:rsid w:val="00AE6064"/>
    <w:rsid w:val="00AE6EFF"/>
    <w:rsid w:val="00AE7ADA"/>
    <w:rsid w:val="00AF29D6"/>
    <w:rsid w:val="00AF50E3"/>
    <w:rsid w:val="00AF6827"/>
    <w:rsid w:val="00B01DBE"/>
    <w:rsid w:val="00B027C4"/>
    <w:rsid w:val="00B10E3F"/>
    <w:rsid w:val="00B2156B"/>
    <w:rsid w:val="00B255EC"/>
    <w:rsid w:val="00B27CFD"/>
    <w:rsid w:val="00B32D39"/>
    <w:rsid w:val="00B333C4"/>
    <w:rsid w:val="00B35394"/>
    <w:rsid w:val="00B413EF"/>
    <w:rsid w:val="00B41F60"/>
    <w:rsid w:val="00B530D9"/>
    <w:rsid w:val="00B54BA0"/>
    <w:rsid w:val="00B55999"/>
    <w:rsid w:val="00B56FBD"/>
    <w:rsid w:val="00B624CE"/>
    <w:rsid w:val="00B62636"/>
    <w:rsid w:val="00B6333E"/>
    <w:rsid w:val="00B64555"/>
    <w:rsid w:val="00B64E37"/>
    <w:rsid w:val="00B728CF"/>
    <w:rsid w:val="00B74930"/>
    <w:rsid w:val="00B830CC"/>
    <w:rsid w:val="00B83633"/>
    <w:rsid w:val="00B84C3E"/>
    <w:rsid w:val="00B90CC4"/>
    <w:rsid w:val="00B93155"/>
    <w:rsid w:val="00B944F0"/>
    <w:rsid w:val="00BA3EB5"/>
    <w:rsid w:val="00BA6F7C"/>
    <w:rsid w:val="00BB193A"/>
    <w:rsid w:val="00BB1CDF"/>
    <w:rsid w:val="00BB3054"/>
    <w:rsid w:val="00BB57CC"/>
    <w:rsid w:val="00BB6200"/>
    <w:rsid w:val="00BB679E"/>
    <w:rsid w:val="00BB7001"/>
    <w:rsid w:val="00BC18C9"/>
    <w:rsid w:val="00BD0451"/>
    <w:rsid w:val="00BD70CC"/>
    <w:rsid w:val="00BE60C4"/>
    <w:rsid w:val="00BF1915"/>
    <w:rsid w:val="00BF4197"/>
    <w:rsid w:val="00C0296D"/>
    <w:rsid w:val="00C06A25"/>
    <w:rsid w:val="00C126DF"/>
    <w:rsid w:val="00C17302"/>
    <w:rsid w:val="00C20535"/>
    <w:rsid w:val="00C23AA0"/>
    <w:rsid w:val="00C243C8"/>
    <w:rsid w:val="00C300F2"/>
    <w:rsid w:val="00C361ED"/>
    <w:rsid w:val="00C4106B"/>
    <w:rsid w:val="00C42107"/>
    <w:rsid w:val="00C4359B"/>
    <w:rsid w:val="00C44F7C"/>
    <w:rsid w:val="00C56D97"/>
    <w:rsid w:val="00C71C01"/>
    <w:rsid w:val="00C737FF"/>
    <w:rsid w:val="00C76F2C"/>
    <w:rsid w:val="00C82CB9"/>
    <w:rsid w:val="00C83EE8"/>
    <w:rsid w:val="00C866F9"/>
    <w:rsid w:val="00C87BA1"/>
    <w:rsid w:val="00C9378D"/>
    <w:rsid w:val="00CB730D"/>
    <w:rsid w:val="00CC19C9"/>
    <w:rsid w:val="00CD0289"/>
    <w:rsid w:val="00CD0DD2"/>
    <w:rsid w:val="00CD10B3"/>
    <w:rsid w:val="00CE211C"/>
    <w:rsid w:val="00CE262E"/>
    <w:rsid w:val="00CE2EE1"/>
    <w:rsid w:val="00CE44A9"/>
    <w:rsid w:val="00CF30AF"/>
    <w:rsid w:val="00D02141"/>
    <w:rsid w:val="00D06DCD"/>
    <w:rsid w:val="00D132AB"/>
    <w:rsid w:val="00D14122"/>
    <w:rsid w:val="00D16D42"/>
    <w:rsid w:val="00D23D1A"/>
    <w:rsid w:val="00D247D8"/>
    <w:rsid w:val="00D25B66"/>
    <w:rsid w:val="00D35F68"/>
    <w:rsid w:val="00D3696B"/>
    <w:rsid w:val="00D37283"/>
    <w:rsid w:val="00D41200"/>
    <w:rsid w:val="00D416EF"/>
    <w:rsid w:val="00D4272D"/>
    <w:rsid w:val="00D43846"/>
    <w:rsid w:val="00D438CD"/>
    <w:rsid w:val="00D47B7E"/>
    <w:rsid w:val="00D50BD5"/>
    <w:rsid w:val="00D50FF1"/>
    <w:rsid w:val="00D518C7"/>
    <w:rsid w:val="00D51A3D"/>
    <w:rsid w:val="00D51B59"/>
    <w:rsid w:val="00D57FBE"/>
    <w:rsid w:val="00D62E04"/>
    <w:rsid w:val="00D64FBE"/>
    <w:rsid w:val="00D70240"/>
    <w:rsid w:val="00D74C72"/>
    <w:rsid w:val="00D75F55"/>
    <w:rsid w:val="00D778F7"/>
    <w:rsid w:val="00D82BF2"/>
    <w:rsid w:val="00D82EF0"/>
    <w:rsid w:val="00D83980"/>
    <w:rsid w:val="00D83B18"/>
    <w:rsid w:val="00D84A4E"/>
    <w:rsid w:val="00D85A37"/>
    <w:rsid w:val="00D9045C"/>
    <w:rsid w:val="00D92086"/>
    <w:rsid w:val="00D93EB0"/>
    <w:rsid w:val="00DA00D3"/>
    <w:rsid w:val="00DA5F36"/>
    <w:rsid w:val="00DB501A"/>
    <w:rsid w:val="00DB700C"/>
    <w:rsid w:val="00DC0902"/>
    <w:rsid w:val="00DC16D0"/>
    <w:rsid w:val="00DC1710"/>
    <w:rsid w:val="00DC2184"/>
    <w:rsid w:val="00DC5204"/>
    <w:rsid w:val="00DC52AE"/>
    <w:rsid w:val="00DD4A21"/>
    <w:rsid w:val="00DE1124"/>
    <w:rsid w:val="00DE1BBE"/>
    <w:rsid w:val="00DE336B"/>
    <w:rsid w:val="00DE3A5F"/>
    <w:rsid w:val="00DE4AEF"/>
    <w:rsid w:val="00DE7D4A"/>
    <w:rsid w:val="00DE7EA6"/>
    <w:rsid w:val="00DF00A2"/>
    <w:rsid w:val="00E00EC1"/>
    <w:rsid w:val="00E016CF"/>
    <w:rsid w:val="00E068C2"/>
    <w:rsid w:val="00E125B6"/>
    <w:rsid w:val="00E15154"/>
    <w:rsid w:val="00E1719C"/>
    <w:rsid w:val="00E22E73"/>
    <w:rsid w:val="00E24625"/>
    <w:rsid w:val="00E33DA6"/>
    <w:rsid w:val="00E3537E"/>
    <w:rsid w:val="00E3690A"/>
    <w:rsid w:val="00E374E1"/>
    <w:rsid w:val="00E5248D"/>
    <w:rsid w:val="00E54DF0"/>
    <w:rsid w:val="00E5566E"/>
    <w:rsid w:val="00E56819"/>
    <w:rsid w:val="00E57E5F"/>
    <w:rsid w:val="00E625F6"/>
    <w:rsid w:val="00E638F3"/>
    <w:rsid w:val="00E64560"/>
    <w:rsid w:val="00E64562"/>
    <w:rsid w:val="00E745E0"/>
    <w:rsid w:val="00E76DAB"/>
    <w:rsid w:val="00E82CCD"/>
    <w:rsid w:val="00E840BF"/>
    <w:rsid w:val="00E8695D"/>
    <w:rsid w:val="00E9362A"/>
    <w:rsid w:val="00EA1AEF"/>
    <w:rsid w:val="00EA28E5"/>
    <w:rsid w:val="00EA3D2B"/>
    <w:rsid w:val="00EA5867"/>
    <w:rsid w:val="00EA58D1"/>
    <w:rsid w:val="00EA7815"/>
    <w:rsid w:val="00EB08AE"/>
    <w:rsid w:val="00EB4840"/>
    <w:rsid w:val="00EC2C12"/>
    <w:rsid w:val="00ED47AC"/>
    <w:rsid w:val="00EE3E2F"/>
    <w:rsid w:val="00EE43B1"/>
    <w:rsid w:val="00EE5C42"/>
    <w:rsid w:val="00EE5DD2"/>
    <w:rsid w:val="00EF521C"/>
    <w:rsid w:val="00EF65F9"/>
    <w:rsid w:val="00F02FFB"/>
    <w:rsid w:val="00F0799D"/>
    <w:rsid w:val="00F14395"/>
    <w:rsid w:val="00F14DA0"/>
    <w:rsid w:val="00F16667"/>
    <w:rsid w:val="00F24368"/>
    <w:rsid w:val="00F247C0"/>
    <w:rsid w:val="00F25EC2"/>
    <w:rsid w:val="00F31635"/>
    <w:rsid w:val="00F35585"/>
    <w:rsid w:val="00F43312"/>
    <w:rsid w:val="00F4337E"/>
    <w:rsid w:val="00F43A3A"/>
    <w:rsid w:val="00F475D1"/>
    <w:rsid w:val="00F47CE1"/>
    <w:rsid w:val="00F50EC2"/>
    <w:rsid w:val="00F51B27"/>
    <w:rsid w:val="00F54FF3"/>
    <w:rsid w:val="00F5541C"/>
    <w:rsid w:val="00F56C54"/>
    <w:rsid w:val="00F628DA"/>
    <w:rsid w:val="00F6386F"/>
    <w:rsid w:val="00F7098E"/>
    <w:rsid w:val="00F7162D"/>
    <w:rsid w:val="00F727B3"/>
    <w:rsid w:val="00F74D5C"/>
    <w:rsid w:val="00F75E32"/>
    <w:rsid w:val="00F80933"/>
    <w:rsid w:val="00F80B6B"/>
    <w:rsid w:val="00F84540"/>
    <w:rsid w:val="00F84903"/>
    <w:rsid w:val="00F84AD5"/>
    <w:rsid w:val="00F91A97"/>
    <w:rsid w:val="00F91DAA"/>
    <w:rsid w:val="00F951EC"/>
    <w:rsid w:val="00F96BCA"/>
    <w:rsid w:val="00FA283A"/>
    <w:rsid w:val="00FA3760"/>
    <w:rsid w:val="00FA3F27"/>
    <w:rsid w:val="00FA666B"/>
    <w:rsid w:val="00FA7853"/>
    <w:rsid w:val="00FB0983"/>
    <w:rsid w:val="00FB4783"/>
    <w:rsid w:val="00FC1025"/>
    <w:rsid w:val="00FC2FB3"/>
    <w:rsid w:val="00FC4BAD"/>
    <w:rsid w:val="00FC554B"/>
    <w:rsid w:val="00FC75EA"/>
    <w:rsid w:val="00FD1A32"/>
    <w:rsid w:val="00FE1763"/>
    <w:rsid w:val="00FE2D09"/>
    <w:rsid w:val="00FE3B68"/>
    <w:rsid w:val="00FE5F4C"/>
    <w:rsid w:val="00FF194F"/>
    <w:rsid w:val="00FF3F6E"/>
    <w:rsid w:val="00FF431D"/>
    <w:rsid w:val="00FF4D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7171B9"/>
  <w15:docId w15:val="{A73A906F-A30E-4FBC-82F9-C1C7F2B5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D1A"/>
    <w:rPr>
      <w:sz w:val="24"/>
      <w:szCs w:val="24"/>
    </w:rPr>
  </w:style>
  <w:style w:type="paragraph" w:styleId="Ttulo5">
    <w:name w:val="heading 5"/>
    <w:basedOn w:val="Normal"/>
    <w:next w:val="Normal"/>
    <w:link w:val="Ttulo5Char"/>
    <w:uiPriority w:val="9"/>
    <w:unhideWhenUsed/>
    <w:qFormat/>
    <w:rsid w:val="000175C2"/>
    <w:pPr>
      <w:keepNext/>
      <w:keepLines/>
      <w:spacing w:before="40"/>
      <w:outlineLvl w:val="4"/>
    </w:pPr>
    <w:rPr>
      <w:rFonts w:ascii="Cambria" w:hAnsi="Cambria"/>
      <w:color w:val="365F9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IASBNormal">
    <w:name w:val="IASB Normal"/>
    <w:rsid w:val="00D23D1A"/>
    <w:pPr>
      <w:tabs>
        <w:tab w:val="left" w:pos="4253"/>
      </w:tabs>
      <w:spacing w:before="100" w:after="100"/>
      <w:jc w:val="both"/>
    </w:pPr>
    <w:rPr>
      <w:sz w:val="19"/>
    </w:rPr>
  </w:style>
  <w:style w:type="paragraph" w:customStyle="1" w:styleId="IASBNormalnpara">
    <w:name w:val="IASB Normal npara"/>
    <w:basedOn w:val="IASBNormal"/>
    <w:rsid w:val="00D23D1A"/>
    <w:pPr>
      <w:tabs>
        <w:tab w:val="clear" w:pos="4253"/>
      </w:tabs>
      <w:spacing w:after="0"/>
      <w:ind w:left="782" w:hanging="782"/>
    </w:pPr>
  </w:style>
  <w:style w:type="paragraph" w:customStyle="1" w:styleId="IASBSectionTitle1Ind">
    <w:name w:val="IASB Section Title 1 Ind"/>
    <w:basedOn w:val="Normal"/>
    <w:rsid w:val="00D23D1A"/>
    <w:pPr>
      <w:keepNext/>
      <w:keepLines/>
      <w:pBdr>
        <w:bottom w:val="single" w:sz="4" w:space="0" w:color="auto"/>
      </w:pBdr>
      <w:spacing w:before="400" w:after="200"/>
      <w:ind w:left="782"/>
    </w:pPr>
    <w:rPr>
      <w:rFonts w:ascii="Arial" w:hAnsi="Arial" w:cs="Arial"/>
      <w:b/>
      <w:sz w:val="26"/>
      <w:szCs w:val="20"/>
    </w:rPr>
  </w:style>
  <w:style w:type="paragraph" w:customStyle="1" w:styleId="IASBSectionTitle1NonInd">
    <w:name w:val="IASB Section Title 1 NonInd"/>
    <w:basedOn w:val="Normal"/>
    <w:rsid w:val="00D23D1A"/>
    <w:pPr>
      <w:keepNext/>
      <w:keepLines/>
      <w:pBdr>
        <w:bottom w:val="single" w:sz="4" w:space="0" w:color="auto"/>
      </w:pBdr>
      <w:spacing w:before="400" w:after="200"/>
    </w:pPr>
    <w:rPr>
      <w:rFonts w:ascii="Arial" w:hAnsi="Arial" w:cs="Arial"/>
      <w:b/>
      <w:sz w:val="26"/>
      <w:szCs w:val="20"/>
    </w:rPr>
  </w:style>
  <w:style w:type="paragraph" w:customStyle="1" w:styleId="IASBSectionTitle2NonInd">
    <w:name w:val="IASB Section Title 2 NonInd"/>
    <w:basedOn w:val="Normal"/>
    <w:rsid w:val="00D23D1A"/>
    <w:pPr>
      <w:keepNext/>
      <w:keepLines/>
      <w:spacing w:before="300" w:after="200"/>
    </w:pPr>
    <w:rPr>
      <w:rFonts w:ascii="Arial" w:hAnsi="Arial" w:cs="Arial"/>
      <w:b/>
      <w:sz w:val="26"/>
      <w:szCs w:val="20"/>
    </w:rPr>
  </w:style>
  <w:style w:type="paragraph" w:customStyle="1" w:styleId="IASBSectionTitle2Ind">
    <w:name w:val="IASB Section Title 2 Ind"/>
    <w:basedOn w:val="IASBSectionTitle2NonInd"/>
    <w:rsid w:val="00D23D1A"/>
    <w:pPr>
      <w:spacing w:before="240"/>
      <w:ind w:left="782"/>
    </w:pPr>
  </w:style>
  <w:style w:type="paragraph" w:customStyle="1" w:styleId="IASBSectionTitle3NonInd">
    <w:name w:val="IASB Section Title 3 NonInd"/>
    <w:basedOn w:val="Normal"/>
    <w:rsid w:val="00D23D1A"/>
    <w:pPr>
      <w:keepNext/>
      <w:keepLines/>
      <w:spacing w:before="300" w:after="200"/>
    </w:pPr>
    <w:rPr>
      <w:rFonts w:ascii="Arial" w:hAnsi="Arial" w:cs="Arial"/>
      <w:b/>
      <w:sz w:val="22"/>
      <w:szCs w:val="20"/>
    </w:rPr>
  </w:style>
  <w:style w:type="paragraph" w:customStyle="1" w:styleId="IASBSectionTitle3Ind">
    <w:name w:val="IASB Section Title 3 Ind"/>
    <w:basedOn w:val="IASBSectionTitle3NonInd"/>
    <w:rsid w:val="00D23D1A"/>
    <w:pPr>
      <w:spacing w:before="240"/>
      <w:ind w:left="782"/>
    </w:pPr>
  </w:style>
  <w:style w:type="paragraph" w:customStyle="1" w:styleId="IASBSectionTitle4NonInd">
    <w:name w:val="IASB Section Title 4 NonInd"/>
    <w:basedOn w:val="Normal"/>
    <w:rsid w:val="00D23D1A"/>
    <w:pPr>
      <w:keepNext/>
      <w:keepLines/>
      <w:spacing w:before="300" w:after="200"/>
    </w:pPr>
    <w:rPr>
      <w:rFonts w:ascii="Arial" w:hAnsi="Arial" w:cs="Arial"/>
      <w:i/>
      <w:sz w:val="22"/>
      <w:szCs w:val="20"/>
    </w:rPr>
  </w:style>
  <w:style w:type="paragraph" w:customStyle="1" w:styleId="IASBSectionTitle4Ind">
    <w:name w:val="IASB Section Title 4 Ind"/>
    <w:basedOn w:val="IASBSectionTitle4NonInd"/>
    <w:rsid w:val="00D23D1A"/>
    <w:pPr>
      <w:ind w:left="782"/>
    </w:pPr>
  </w:style>
  <w:style w:type="paragraph" w:customStyle="1" w:styleId="IASBSectionTitle5NonInd">
    <w:name w:val="IASB Section Title 5 NonInd"/>
    <w:basedOn w:val="Normal"/>
    <w:rsid w:val="00D23D1A"/>
    <w:pPr>
      <w:keepNext/>
      <w:keepLines/>
      <w:spacing w:before="300" w:after="200"/>
    </w:pPr>
    <w:rPr>
      <w:rFonts w:ascii="Arial" w:hAnsi="Arial" w:cs="Arial"/>
      <w:b/>
      <w:sz w:val="20"/>
      <w:szCs w:val="20"/>
    </w:rPr>
  </w:style>
  <w:style w:type="paragraph" w:customStyle="1" w:styleId="IASBSectionTitle5Ind">
    <w:name w:val="IASB Section Title 5 Ind"/>
    <w:basedOn w:val="IASBSectionTitle5NonInd"/>
    <w:rsid w:val="00D23D1A"/>
    <w:pPr>
      <w:ind w:left="782"/>
    </w:pPr>
  </w:style>
  <w:style w:type="paragraph" w:customStyle="1" w:styleId="IASBSectionTitle6NonInd">
    <w:name w:val="IASB Section Title 6 NonInd"/>
    <w:basedOn w:val="IASBSectionTitle5NonInd"/>
    <w:rsid w:val="00D23D1A"/>
    <w:rPr>
      <w:b w:val="0"/>
      <w:i/>
    </w:rPr>
  </w:style>
  <w:style w:type="paragraph" w:customStyle="1" w:styleId="IASBSectionTitle6Ind">
    <w:name w:val="IASB Section Title 6 Ind"/>
    <w:basedOn w:val="IASBSectionTitle6NonInd"/>
    <w:rsid w:val="00D23D1A"/>
    <w:pPr>
      <w:ind w:left="782"/>
    </w:pPr>
  </w:style>
  <w:style w:type="paragraph" w:customStyle="1" w:styleId="IASBTitle">
    <w:name w:val="IASB Title"/>
    <w:rsid w:val="00D23D1A"/>
    <w:pPr>
      <w:keepNext/>
      <w:keepLines/>
      <w:spacing w:before="300" w:after="400"/>
    </w:pPr>
    <w:rPr>
      <w:rFonts w:cs="Arial"/>
      <w:sz w:val="36"/>
    </w:rPr>
  </w:style>
  <w:style w:type="paragraph" w:customStyle="1" w:styleId="IASBNormalnparaL1">
    <w:name w:val="IASB Normal nparaL1"/>
    <w:basedOn w:val="IASBNormalnpara"/>
    <w:rsid w:val="00D23D1A"/>
    <w:pPr>
      <w:ind w:left="1564"/>
    </w:pPr>
  </w:style>
  <w:style w:type="paragraph" w:customStyle="1" w:styleId="IASBNormalnparaP">
    <w:name w:val="IASB Normal nparaP"/>
    <w:basedOn w:val="IASBNormal"/>
    <w:rsid w:val="00D23D1A"/>
    <w:pPr>
      <w:ind w:left="782"/>
    </w:pPr>
  </w:style>
  <w:style w:type="paragraph" w:customStyle="1" w:styleId="IASBIdentifier">
    <w:name w:val="IASB Identifier"/>
    <w:basedOn w:val="IASBTitle"/>
    <w:rsid w:val="00D23D1A"/>
    <w:pPr>
      <w:spacing w:after="200"/>
    </w:pPr>
    <w:rPr>
      <w:rFonts w:ascii="Arial" w:hAnsi="Arial"/>
      <w:b/>
      <w:sz w:val="23"/>
    </w:rPr>
  </w:style>
  <w:style w:type="paragraph" w:customStyle="1" w:styleId="IASBTOCPrimary">
    <w:name w:val="IASB TOC Primary"/>
    <w:basedOn w:val="Normal"/>
    <w:rsid w:val="00D23D1A"/>
    <w:pPr>
      <w:tabs>
        <w:tab w:val="right" w:pos="8647"/>
      </w:tabs>
      <w:spacing w:before="100" w:after="100"/>
    </w:pPr>
    <w:rPr>
      <w:rFonts w:ascii="Arial" w:hAnsi="Arial" w:cs="Arial"/>
      <w:b/>
      <w:caps/>
      <w:sz w:val="18"/>
      <w:szCs w:val="20"/>
    </w:rPr>
  </w:style>
  <w:style w:type="paragraph" w:customStyle="1" w:styleId="IASBTOCParagraph">
    <w:name w:val="IASB TOC Paragraph"/>
    <w:basedOn w:val="Normal"/>
    <w:rsid w:val="00D23D1A"/>
    <w:pPr>
      <w:spacing w:before="30" w:after="30"/>
    </w:pPr>
    <w:rPr>
      <w:rFonts w:ascii="Arial" w:hAnsi="Arial" w:cs="Arial"/>
      <w:i/>
      <w:sz w:val="18"/>
      <w:szCs w:val="20"/>
    </w:rPr>
  </w:style>
  <w:style w:type="paragraph" w:customStyle="1" w:styleId="IASBTOCSecondary">
    <w:name w:val="IASB TOC Secondary"/>
    <w:basedOn w:val="Normal"/>
    <w:rsid w:val="00D23D1A"/>
    <w:pPr>
      <w:tabs>
        <w:tab w:val="right" w:pos="8647"/>
      </w:tabs>
      <w:spacing w:before="30" w:after="30"/>
    </w:pPr>
    <w:rPr>
      <w:rFonts w:ascii="Arial" w:hAnsi="Arial" w:cs="Arial"/>
      <w:b/>
      <w:sz w:val="18"/>
      <w:szCs w:val="20"/>
    </w:rPr>
  </w:style>
  <w:style w:type="paragraph" w:customStyle="1" w:styleId="IASBTOCTertiary">
    <w:name w:val="IASB TOC Tertiary"/>
    <w:basedOn w:val="Normal"/>
    <w:rsid w:val="00D23D1A"/>
    <w:pPr>
      <w:tabs>
        <w:tab w:val="right" w:pos="8647"/>
      </w:tabs>
      <w:spacing w:before="30" w:after="30"/>
      <w:ind w:left="390"/>
    </w:pPr>
    <w:rPr>
      <w:rFonts w:ascii="Arial" w:hAnsi="Arial" w:cs="Arial"/>
      <w:sz w:val="18"/>
      <w:szCs w:val="20"/>
    </w:rPr>
  </w:style>
  <w:style w:type="paragraph" w:customStyle="1" w:styleId="IASBTOCExternal">
    <w:name w:val="IASB TOC External"/>
    <w:basedOn w:val="Normal"/>
    <w:rsid w:val="00D23D1A"/>
    <w:pPr>
      <w:pBdr>
        <w:top w:val="single" w:sz="4" w:space="1" w:color="auto"/>
        <w:left w:val="single" w:sz="4" w:space="4" w:color="auto"/>
        <w:bottom w:val="single" w:sz="4" w:space="1" w:color="auto"/>
        <w:right w:val="single" w:sz="4" w:space="4" w:color="auto"/>
      </w:pBdr>
      <w:spacing w:before="30" w:after="30"/>
    </w:pPr>
    <w:rPr>
      <w:rFonts w:ascii="Arial" w:hAnsi="Arial" w:cs="Arial"/>
      <w:b/>
      <w:sz w:val="18"/>
      <w:szCs w:val="20"/>
    </w:rPr>
  </w:style>
  <w:style w:type="paragraph" w:customStyle="1" w:styleId="IASBRubric">
    <w:name w:val="IASB Rubric"/>
    <w:basedOn w:val="IASBNormal"/>
    <w:rsid w:val="00D23D1A"/>
    <w:pPr>
      <w:pBdr>
        <w:top w:val="single" w:sz="2" w:space="8" w:color="auto"/>
        <w:left w:val="single" w:sz="2" w:space="5" w:color="auto"/>
        <w:bottom w:val="single" w:sz="2" w:space="5" w:color="auto"/>
        <w:right w:val="single" w:sz="2" w:space="5" w:color="auto"/>
      </w:pBdr>
    </w:pPr>
  </w:style>
  <w:style w:type="paragraph" w:customStyle="1" w:styleId="IASBNote">
    <w:name w:val="IASB Note"/>
    <w:basedOn w:val="IASBNormal"/>
    <w:rsid w:val="00D23D1A"/>
    <w:rPr>
      <w:i/>
    </w:rPr>
  </w:style>
  <w:style w:type="paragraph" w:customStyle="1" w:styleId="IASBBlockquote">
    <w:name w:val="IASB Blockquote"/>
    <w:basedOn w:val="IASBNormal"/>
    <w:rsid w:val="00D23D1A"/>
    <w:pPr>
      <w:ind w:left="1565"/>
    </w:pPr>
    <w:rPr>
      <w:sz w:val="16"/>
    </w:rPr>
  </w:style>
  <w:style w:type="character" w:customStyle="1" w:styleId="IASBEduinsert">
    <w:name w:val="IASB Edu insert"/>
    <w:qFormat/>
    <w:rsid w:val="00D23D1A"/>
  </w:style>
  <w:style w:type="character" w:styleId="Refdenotaderodap">
    <w:name w:val="footnote reference"/>
    <w:uiPriority w:val="99"/>
    <w:semiHidden/>
    <w:unhideWhenUsed/>
    <w:rsid w:val="00D23D1A"/>
    <w:rPr>
      <w:rFonts w:cs="Times New Roman"/>
      <w:vertAlign w:val="superscript"/>
      <w:lang w:val="pt-BR" w:eastAsia="pt-BR"/>
    </w:rPr>
  </w:style>
  <w:style w:type="paragraph" w:styleId="Textodenotaderodap">
    <w:name w:val="footnote text"/>
    <w:basedOn w:val="IASBSectionTitle2Ind"/>
    <w:next w:val="IASBBlockquote"/>
    <w:link w:val="TextodenotaderodapChar"/>
    <w:uiPriority w:val="99"/>
    <w:semiHidden/>
    <w:rsid w:val="00D23D1A"/>
    <w:pPr>
      <w:keepNext w:val="0"/>
      <w:keepLines w:val="0"/>
      <w:shd w:val="clear" w:color="auto" w:fill="99CCFF"/>
      <w:spacing w:before="0" w:after="0"/>
      <w:ind w:left="0"/>
    </w:pPr>
    <w:rPr>
      <w:rFonts w:ascii="Times New Roman" w:hAnsi="Times New Roman" w:cs="Times New Roman"/>
      <w:b w:val="0"/>
      <w:sz w:val="20"/>
    </w:rPr>
  </w:style>
  <w:style w:type="character" w:customStyle="1" w:styleId="TextodenotaderodapChar">
    <w:name w:val="Texto de nota de rodapé Char"/>
    <w:link w:val="Textodenotaderodap"/>
    <w:uiPriority w:val="99"/>
    <w:semiHidden/>
    <w:locked/>
    <w:rsid w:val="00D23D1A"/>
    <w:rPr>
      <w:rFonts w:cs="Times New Roman"/>
      <w:sz w:val="20"/>
      <w:szCs w:val="20"/>
      <w:lang w:val="pt-BR" w:eastAsia="pt-BR"/>
    </w:rPr>
  </w:style>
  <w:style w:type="paragraph" w:customStyle="1" w:styleId="IASBNormalL1">
    <w:name w:val="IASB Normal L1"/>
    <w:basedOn w:val="IASBNormalnpara"/>
    <w:rsid w:val="00D23D1A"/>
  </w:style>
  <w:style w:type="paragraph" w:styleId="Cabealho">
    <w:name w:val="header"/>
    <w:basedOn w:val="Normal"/>
    <w:link w:val="CabealhoChar"/>
    <w:uiPriority w:val="99"/>
    <w:rsid w:val="00D23D1A"/>
    <w:pPr>
      <w:tabs>
        <w:tab w:val="center" w:pos="4320"/>
        <w:tab w:val="right" w:pos="8640"/>
      </w:tabs>
    </w:pPr>
  </w:style>
  <w:style w:type="character" w:customStyle="1" w:styleId="CabealhoChar">
    <w:name w:val="Cabeçalho Char"/>
    <w:link w:val="Cabealho"/>
    <w:uiPriority w:val="99"/>
    <w:locked/>
    <w:rsid w:val="00D23D1A"/>
    <w:rPr>
      <w:rFonts w:cs="Times New Roman"/>
      <w:sz w:val="24"/>
      <w:szCs w:val="24"/>
      <w:lang w:val="pt-BR" w:eastAsia="pt-BR"/>
    </w:rPr>
  </w:style>
  <w:style w:type="paragraph" w:styleId="Rodap">
    <w:name w:val="footer"/>
    <w:basedOn w:val="Normal"/>
    <w:link w:val="RodapChar"/>
    <w:uiPriority w:val="99"/>
    <w:rsid w:val="00D23D1A"/>
    <w:pPr>
      <w:tabs>
        <w:tab w:val="center" w:pos="4320"/>
        <w:tab w:val="right" w:pos="8640"/>
      </w:tabs>
    </w:pPr>
  </w:style>
  <w:style w:type="character" w:customStyle="1" w:styleId="RodapChar">
    <w:name w:val="Rodapé Char"/>
    <w:link w:val="Rodap"/>
    <w:uiPriority w:val="99"/>
    <w:locked/>
    <w:rsid w:val="00D23D1A"/>
    <w:rPr>
      <w:rFonts w:cs="Times New Roman"/>
      <w:sz w:val="24"/>
      <w:szCs w:val="24"/>
      <w:lang w:val="pt-BR" w:eastAsia="pt-BR"/>
    </w:rPr>
  </w:style>
  <w:style w:type="paragraph" w:customStyle="1" w:styleId="IASBRubricL1">
    <w:name w:val="IASB RubricL1"/>
    <w:basedOn w:val="IASBRubric"/>
    <w:rsid w:val="00D23D1A"/>
    <w:pPr>
      <w:ind w:left="782" w:hanging="782"/>
      <w:jc w:val="left"/>
    </w:pPr>
  </w:style>
  <w:style w:type="paragraph" w:customStyle="1" w:styleId="IASBRubricL2">
    <w:name w:val="IASB RubricL2"/>
    <w:basedOn w:val="IASBRubricL1"/>
    <w:rsid w:val="00D23D1A"/>
    <w:pPr>
      <w:tabs>
        <w:tab w:val="left" w:pos="782"/>
      </w:tabs>
      <w:ind w:left="1565" w:hanging="1565"/>
    </w:pPr>
  </w:style>
  <w:style w:type="paragraph" w:customStyle="1" w:styleId="IASBRubricL3">
    <w:name w:val="IASB RubricL3"/>
    <w:basedOn w:val="IASBRubricL2"/>
    <w:rsid w:val="00D23D1A"/>
    <w:pPr>
      <w:tabs>
        <w:tab w:val="clear" w:pos="782"/>
        <w:tab w:val="left" w:pos="1565"/>
      </w:tabs>
      <w:ind w:left="2347" w:hanging="2347"/>
    </w:pPr>
  </w:style>
  <w:style w:type="paragraph" w:customStyle="1" w:styleId="IASBNormalnparaL2">
    <w:name w:val="IASB Normal nparaL2"/>
    <w:basedOn w:val="IASBNormalnparaL1"/>
    <w:rsid w:val="00D23D1A"/>
    <w:pPr>
      <w:ind w:left="2347"/>
    </w:pPr>
  </w:style>
  <w:style w:type="paragraph" w:customStyle="1" w:styleId="IASBNormalnparaL3">
    <w:name w:val="IASB Normal nparaL3"/>
    <w:basedOn w:val="IASBNormalnparaL2"/>
    <w:rsid w:val="00D23D1A"/>
    <w:pPr>
      <w:ind w:left="3129"/>
    </w:pPr>
  </w:style>
  <w:style w:type="paragraph" w:customStyle="1" w:styleId="IASBNormalnparaL4">
    <w:name w:val="IASB Normal nparaL4"/>
    <w:basedOn w:val="IASBNormalnparaL3"/>
    <w:rsid w:val="00D23D1A"/>
    <w:pPr>
      <w:ind w:left="3912"/>
    </w:pPr>
  </w:style>
  <w:style w:type="paragraph" w:customStyle="1" w:styleId="IASBNormalnparaL5">
    <w:name w:val="IASB Normal nparaL5"/>
    <w:basedOn w:val="IASBNormalnparaL4"/>
    <w:rsid w:val="00D23D1A"/>
    <w:pPr>
      <w:ind w:left="4694"/>
    </w:pPr>
  </w:style>
  <w:style w:type="paragraph" w:customStyle="1" w:styleId="IASBNormalnparaL1P">
    <w:name w:val="IASB Normal nparaL1P"/>
    <w:basedOn w:val="IASBNormalnparaL2"/>
    <w:rsid w:val="00D23D1A"/>
    <w:pPr>
      <w:ind w:left="1565" w:firstLine="0"/>
    </w:pPr>
  </w:style>
  <w:style w:type="paragraph" w:customStyle="1" w:styleId="IASBNormalnparaL2P">
    <w:name w:val="IASB Normal nparaL2P"/>
    <w:basedOn w:val="IASBNormalnparaL1P"/>
    <w:rsid w:val="00D23D1A"/>
    <w:pPr>
      <w:ind w:left="2347"/>
    </w:pPr>
  </w:style>
  <w:style w:type="paragraph" w:customStyle="1" w:styleId="IASBNormalnparaL3P">
    <w:name w:val="IASB Normal nparaL3P"/>
    <w:basedOn w:val="IASBNormalnparaL2P"/>
    <w:rsid w:val="00D23D1A"/>
    <w:pPr>
      <w:ind w:left="3130"/>
    </w:pPr>
  </w:style>
  <w:style w:type="paragraph" w:customStyle="1" w:styleId="IASBNormalnparaL4P">
    <w:name w:val="IASB Normal nparaL4P"/>
    <w:basedOn w:val="IASBNormalnparaL3P"/>
    <w:rsid w:val="00D23D1A"/>
    <w:pPr>
      <w:ind w:left="3912"/>
    </w:pPr>
  </w:style>
  <w:style w:type="paragraph" w:customStyle="1" w:styleId="IASBNormalnparaL5P">
    <w:name w:val="IASB Normal nparaL5P"/>
    <w:basedOn w:val="IASBNormalnparaL4P"/>
    <w:rsid w:val="00D23D1A"/>
    <w:pPr>
      <w:ind w:left="4751"/>
    </w:pPr>
  </w:style>
  <w:style w:type="paragraph" w:customStyle="1" w:styleId="IASBBlockquoteL1">
    <w:name w:val="IASB BlockquoteL1"/>
    <w:basedOn w:val="IASBBlockquote"/>
    <w:rsid w:val="00D23D1A"/>
    <w:pPr>
      <w:ind w:left="2347" w:hanging="782"/>
    </w:pPr>
  </w:style>
  <w:style w:type="paragraph" w:customStyle="1" w:styleId="IASBBlockquoteL2">
    <w:name w:val="IASB BlockquoteL2"/>
    <w:basedOn w:val="IASBBlockquoteL1"/>
    <w:rsid w:val="00D23D1A"/>
    <w:pPr>
      <w:ind w:left="3129"/>
    </w:pPr>
  </w:style>
  <w:style w:type="paragraph" w:customStyle="1" w:styleId="IASBNormalL2">
    <w:name w:val="IASB Normal L2"/>
    <w:basedOn w:val="IASBNormalL1"/>
    <w:rsid w:val="00D23D1A"/>
    <w:pPr>
      <w:ind w:left="1564"/>
    </w:pPr>
  </w:style>
  <w:style w:type="paragraph" w:customStyle="1" w:styleId="IASBTOCQuartery">
    <w:name w:val="IASB TOC Quartery"/>
    <w:basedOn w:val="IASBTOCTertiary"/>
    <w:rsid w:val="00D23D1A"/>
    <w:pPr>
      <w:ind w:left="851"/>
    </w:pPr>
  </w:style>
  <w:style w:type="paragraph" w:customStyle="1" w:styleId="IASBNoteTitle">
    <w:name w:val="IASB Note Title"/>
    <w:basedOn w:val="IASBTOCPrimary"/>
    <w:rsid w:val="00D23D1A"/>
    <w:pPr>
      <w:jc w:val="center"/>
    </w:pPr>
    <w:rPr>
      <w:b w:val="0"/>
      <w:caps w:val="0"/>
      <w:sz w:val="24"/>
    </w:rPr>
  </w:style>
  <w:style w:type="paragraph" w:customStyle="1" w:styleId="IASBNormalL1P">
    <w:name w:val="IASB Normal L1P"/>
    <w:basedOn w:val="IASBNormalL1"/>
    <w:qFormat/>
    <w:rsid w:val="00D23D1A"/>
    <w:pPr>
      <w:ind w:firstLine="0"/>
    </w:pPr>
  </w:style>
  <w:style w:type="paragraph" w:customStyle="1" w:styleId="IASBNormalL2P">
    <w:name w:val="IASB Normal L2P"/>
    <w:basedOn w:val="IASBNormalL1P"/>
    <w:qFormat/>
    <w:rsid w:val="00D23D1A"/>
    <w:pPr>
      <w:ind w:left="1565"/>
    </w:pPr>
  </w:style>
  <w:style w:type="paragraph" w:customStyle="1" w:styleId="IASBNormalnparaC">
    <w:name w:val="IASB Normal nparaC"/>
    <w:basedOn w:val="IASBNormalnpara"/>
    <w:qFormat/>
    <w:rsid w:val="00D23D1A"/>
    <w:pPr>
      <w:spacing w:before="0"/>
    </w:pPr>
  </w:style>
  <w:style w:type="paragraph" w:customStyle="1" w:styleId="IASBEdupara">
    <w:name w:val="IASB Edu para"/>
    <w:basedOn w:val="IASBNormal"/>
    <w:qFormat/>
    <w:rsid w:val="00D23D1A"/>
  </w:style>
  <w:style w:type="paragraph" w:customStyle="1" w:styleId="IASBTableBoldTNR">
    <w:name w:val="IASB Table Bold TNR"/>
    <w:basedOn w:val="Normal"/>
    <w:qFormat/>
    <w:rsid w:val="00D23D1A"/>
    <w:pPr>
      <w:spacing w:before="120"/>
    </w:pPr>
    <w:rPr>
      <w:b/>
      <w:sz w:val="19"/>
      <w:szCs w:val="20"/>
    </w:rPr>
  </w:style>
  <w:style w:type="paragraph" w:customStyle="1" w:styleId="IASBTableHeaderTNR">
    <w:name w:val="IASB Table Header TNR"/>
    <w:basedOn w:val="Normal"/>
    <w:qFormat/>
    <w:rsid w:val="00D23D1A"/>
    <w:pPr>
      <w:keepNext/>
      <w:spacing w:before="120" w:after="200" w:line="276" w:lineRule="auto"/>
    </w:pPr>
    <w:rPr>
      <w:sz w:val="19"/>
      <w:szCs w:val="20"/>
    </w:rPr>
  </w:style>
  <w:style w:type="paragraph" w:customStyle="1" w:styleId="IASBTableTNR">
    <w:name w:val="IASB Table TNR"/>
    <w:basedOn w:val="Normal"/>
    <w:qFormat/>
    <w:rsid w:val="00D23D1A"/>
    <w:pPr>
      <w:spacing w:before="120"/>
    </w:pPr>
    <w:rPr>
      <w:sz w:val="19"/>
      <w:szCs w:val="20"/>
    </w:rPr>
  </w:style>
  <w:style w:type="paragraph" w:customStyle="1" w:styleId="IASBTableArial">
    <w:name w:val="IASB Table Arial"/>
    <w:basedOn w:val="Normal"/>
    <w:rsid w:val="00D23D1A"/>
    <w:pPr>
      <w:spacing w:before="120"/>
    </w:pPr>
    <w:rPr>
      <w:rFonts w:ascii="Arial" w:hAnsi="Arial"/>
      <w:sz w:val="18"/>
      <w:szCs w:val="20"/>
    </w:rPr>
  </w:style>
  <w:style w:type="paragraph" w:customStyle="1" w:styleId="IASBTableBoldArial">
    <w:name w:val="IASB Table Bold Arial"/>
    <w:basedOn w:val="IASBTableArial"/>
    <w:qFormat/>
    <w:rsid w:val="00D23D1A"/>
    <w:rPr>
      <w:b/>
    </w:rPr>
  </w:style>
  <w:style w:type="paragraph" w:customStyle="1" w:styleId="IASBTableHeaderArial">
    <w:name w:val="IASB Table Header Arial"/>
    <w:basedOn w:val="IASBTableArial"/>
    <w:qFormat/>
    <w:rsid w:val="00D23D1A"/>
    <w:pPr>
      <w:keepNext/>
      <w:spacing w:after="200" w:line="276" w:lineRule="auto"/>
    </w:pPr>
  </w:style>
  <w:style w:type="character" w:styleId="Refdenotadefim">
    <w:name w:val="endnote reference"/>
    <w:uiPriority w:val="99"/>
    <w:semiHidden/>
    <w:unhideWhenUsed/>
    <w:rsid w:val="00D23D1A"/>
    <w:rPr>
      <w:rFonts w:cs="Times New Roman"/>
      <w:vertAlign w:val="superscript"/>
      <w:lang w:val="pt-BR" w:eastAsia="pt-BR"/>
    </w:rPr>
  </w:style>
  <w:style w:type="paragraph" w:customStyle="1" w:styleId="IASBNormalL3">
    <w:name w:val="IASB Normal L3"/>
    <w:basedOn w:val="IASBNormalL2"/>
    <w:qFormat/>
    <w:rsid w:val="00D23D1A"/>
    <w:pPr>
      <w:ind w:left="2268" w:hanging="708"/>
    </w:pPr>
  </w:style>
  <w:style w:type="paragraph" w:customStyle="1" w:styleId="IASBNormalL3P">
    <w:name w:val="IASB Normal L3P"/>
    <w:basedOn w:val="IASBNormalL2P"/>
    <w:qFormat/>
    <w:rsid w:val="00D23D1A"/>
    <w:pPr>
      <w:ind w:left="2268"/>
    </w:pPr>
  </w:style>
  <w:style w:type="paragraph" w:customStyle="1" w:styleId="IASBNormalL4">
    <w:name w:val="IASB Normal L4"/>
    <w:basedOn w:val="IASBNormalL3"/>
    <w:qFormat/>
    <w:rsid w:val="00D23D1A"/>
    <w:pPr>
      <w:ind w:left="2977"/>
    </w:pPr>
  </w:style>
  <w:style w:type="paragraph" w:customStyle="1" w:styleId="IASBNormalL4P">
    <w:name w:val="IASB Normal L4P"/>
    <w:basedOn w:val="IASBNormalL3P"/>
    <w:qFormat/>
    <w:rsid w:val="00D23D1A"/>
    <w:pPr>
      <w:ind w:left="2977"/>
    </w:pPr>
  </w:style>
  <w:style w:type="character" w:styleId="Refdecomentrio">
    <w:name w:val="annotation reference"/>
    <w:uiPriority w:val="99"/>
    <w:semiHidden/>
    <w:unhideWhenUsed/>
    <w:rsid w:val="001826B7"/>
    <w:rPr>
      <w:sz w:val="16"/>
      <w:szCs w:val="16"/>
    </w:rPr>
  </w:style>
  <w:style w:type="paragraph" w:styleId="Textodecomentrio">
    <w:name w:val="annotation text"/>
    <w:basedOn w:val="Normal"/>
    <w:link w:val="TextodecomentrioChar"/>
    <w:uiPriority w:val="99"/>
    <w:unhideWhenUsed/>
    <w:rsid w:val="001826B7"/>
    <w:rPr>
      <w:sz w:val="20"/>
      <w:szCs w:val="20"/>
    </w:rPr>
  </w:style>
  <w:style w:type="character" w:customStyle="1" w:styleId="TextodecomentrioChar">
    <w:name w:val="Texto de comentário Char"/>
    <w:basedOn w:val="Fontepargpadro"/>
    <w:link w:val="Textodecomentrio"/>
    <w:uiPriority w:val="99"/>
    <w:rsid w:val="001826B7"/>
  </w:style>
  <w:style w:type="paragraph" w:styleId="Assuntodocomentrio">
    <w:name w:val="annotation subject"/>
    <w:basedOn w:val="Textodecomentrio"/>
    <w:next w:val="Textodecomentrio"/>
    <w:link w:val="AssuntodocomentrioChar"/>
    <w:uiPriority w:val="99"/>
    <w:semiHidden/>
    <w:unhideWhenUsed/>
    <w:rsid w:val="001826B7"/>
    <w:rPr>
      <w:b/>
      <w:bCs/>
    </w:rPr>
  </w:style>
  <w:style w:type="character" w:customStyle="1" w:styleId="AssuntodocomentrioChar">
    <w:name w:val="Assunto do comentário Char"/>
    <w:link w:val="Assuntodocomentrio"/>
    <w:uiPriority w:val="99"/>
    <w:semiHidden/>
    <w:rsid w:val="001826B7"/>
    <w:rPr>
      <w:b/>
      <w:bCs/>
    </w:rPr>
  </w:style>
  <w:style w:type="paragraph" w:styleId="Reviso">
    <w:name w:val="Revision"/>
    <w:hidden/>
    <w:uiPriority w:val="99"/>
    <w:semiHidden/>
    <w:rsid w:val="001826B7"/>
    <w:rPr>
      <w:sz w:val="24"/>
      <w:szCs w:val="24"/>
    </w:rPr>
  </w:style>
  <w:style w:type="paragraph" w:styleId="Textodebalo">
    <w:name w:val="Balloon Text"/>
    <w:basedOn w:val="Normal"/>
    <w:link w:val="TextodebaloChar"/>
    <w:uiPriority w:val="99"/>
    <w:semiHidden/>
    <w:unhideWhenUsed/>
    <w:rsid w:val="001826B7"/>
    <w:rPr>
      <w:rFonts w:ascii="Tahoma" w:hAnsi="Tahoma"/>
      <w:sz w:val="16"/>
      <w:szCs w:val="16"/>
    </w:rPr>
  </w:style>
  <w:style w:type="character" w:customStyle="1" w:styleId="TextodebaloChar">
    <w:name w:val="Texto de balão Char"/>
    <w:link w:val="Textodebalo"/>
    <w:uiPriority w:val="99"/>
    <w:semiHidden/>
    <w:rsid w:val="001826B7"/>
    <w:rPr>
      <w:rFonts w:ascii="Tahoma" w:hAnsi="Tahoma" w:cs="Tahoma"/>
      <w:sz w:val="16"/>
      <w:szCs w:val="16"/>
    </w:rPr>
  </w:style>
  <w:style w:type="paragraph" w:styleId="NormalWeb">
    <w:name w:val="Normal (Web)"/>
    <w:basedOn w:val="Normal"/>
    <w:uiPriority w:val="99"/>
    <w:unhideWhenUsed/>
    <w:rsid w:val="00147F7D"/>
    <w:pPr>
      <w:spacing w:before="100" w:beforeAutospacing="1" w:after="100" w:afterAutospacing="1"/>
    </w:pPr>
  </w:style>
  <w:style w:type="paragraph" w:styleId="Corpodetexto">
    <w:name w:val="Body Text"/>
    <w:basedOn w:val="Normal"/>
    <w:link w:val="CorpodetextoChar"/>
    <w:uiPriority w:val="1"/>
    <w:qFormat/>
    <w:rsid w:val="00147F7D"/>
    <w:pPr>
      <w:widowControl w:val="0"/>
      <w:autoSpaceDE w:val="0"/>
      <w:autoSpaceDN w:val="0"/>
    </w:pPr>
    <w:rPr>
      <w:rFonts w:ascii="Bookman Old Style" w:eastAsia="Bookman Old Style" w:hAnsi="Bookman Old Style" w:cs="Bookman Old Style"/>
      <w:sz w:val="17"/>
      <w:szCs w:val="17"/>
      <w:lang w:val="en-US" w:eastAsia="en-US" w:bidi="en-US"/>
    </w:rPr>
  </w:style>
  <w:style w:type="character" w:customStyle="1" w:styleId="CorpodetextoChar">
    <w:name w:val="Corpo de texto Char"/>
    <w:link w:val="Corpodetexto"/>
    <w:uiPriority w:val="1"/>
    <w:rsid w:val="00147F7D"/>
    <w:rPr>
      <w:rFonts w:ascii="Bookman Old Style" w:eastAsia="Bookman Old Style" w:hAnsi="Bookman Old Style" w:cs="Bookman Old Style"/>
      <w:sz w:val="17"/>
      <w:szCs w:val="17"/>
      <w:lang w:val="en-US" w:eastAsia="en-US" w:bidi="en-US"/>
    </w:rPr>
  </w:style>
  <w:style w:type="table" w:styleId="Tabelacomgrade">
    <w:name w:val="Table Grid"/>
    <w:basedOn w:val="Tabelanormal"/>
    <w:uiPriority w:val="39"/>
    <w:rsid w:val="00147F7D"/>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link w:val="Ttulo5"/>
    <w:uiPriority w:val="9"/>
    <w:rsid w:val="000175C2"/>
    <w:rPr>
      <w:rFonts w:ascii="Cambria" w:eastAsia="Times New Roman" w:hAnsi="Cambria" w:cs="Times New Roman"/>
      <w:color w:val="365F91"/>
      <w:sz w:val="24"/>
      <w:szCs w:val="24"/>
      <w:lang w:eastAsia="en-US"/>
    </w:rPr>
  </w:style>
  <w:style w:type="paragraph" w:styleId="PargrafodaLista">
    <w:name w:val="List Paragraph"/>
    <w:basedOn w:val="Normal"/>
    <w:uiPriority w:val="34"/>
    <w:qFormat/>
    <w:rsid w:val="00CD0DD2"/>
    <w:pPr>
      <w:spacing w:after="160" w:line="259" w:lineRule="auto"/>
      <w:ind w:left="720"/>
      <w:contextualSpacing/>
    </w:pPr>
    <w:rPr>
      <w:rFonts w:ascii="Calibri" w:eastAsia="Calibri" w:hAnsi="Calibri"/>
      <w:sz w:val="22"/>
      <w:szCs w:val="22"/>
      <w:lang w:eastAsia="en-US"/>
    </w:rPr>
  </w:style>
  <w:style w:type="paragraph" w:customStyle="1" w:styleId="IASBNormalArial">
    <w:name w:val="IASB Normal Arial"/>
    <w:rsid w:val="00933AB9"/>
    <w:pPr>
      <w:tabs>
        <w:tab w:val="left" w:pos="4253"/>
      </w:tabs>
      <w:spacing w:before="100" w:after="100"/>
      <w:jc w:val="both"/>
    </w:pPr>
    <w:rPr>
      <w:rFonts w:ascii="Arial" w:hAnsi="Arial"/>
      <w:sz w:val="19"/>
      <w:lang w:eastAsia="en-US"/>
    </w:rPr>
  </w:style>
  <w:style w:type="paragraph" w:customStyle="1" w:styleId="IASBNormalArialnparaL1">
    <w:name w:val="IASB Normal Arial nparaL1"/>
    <w:basedOn w:val="IASBNormalnpara"/>
    <w:rsid w:val="00933AB9"/>
    <w:pPr>
      <w:ind w:left="1564"/>
    </w:pPr>
    <w:rPr>
      <w:rFonts w:ascii="Arial" w:hAnsi="Arial"/>
      <w:lang w:eastAsia="en-US"/>
    </w:rPr>
  </w:style>
  <w:style w:type="paragraph" w:customStyle="1" w:styleId="IASBTOCPrimaryPrimary">
    <w:name w:val="IASB TOC Primary Primary"/>
    <w:basedOn w:val="Normal"/>
    <w:rsid w:val="00933AB9"/>
    <w:pPr>
      <w:tabs>
        <w:tab w:val="right" w:pos="8647"/>
      </w:tabs>
      <w:spacing w:before="100" w:after="100"/>
    </w:pPr>
    <w:rPr>
      <w:rFonts w:ascii="Arial" w:hAnsi="Arial" w:cs="Arial"/>
      <w:b/>
      <w:caps/>
      <w:sz w:val="20"/>
      <w:szCs w:val="20"/>
      <w:lang w:eastAsia="en-US"/>
    </w:rPr>
  </w:style>
  <w:style w:type="paragraph" w:customStyle="1" w:styleId="IASBTOCPrimaryMixedCase">
    <w:name w:val="IASB TOC Primary Mixed Case"/>
    <w:basedOn w:val="Normal"/>
    <w:rsid w:val="00933AB9"/>
    <w:pPr>
      <w:tabs>
        <w:tab w:val="right" w:pos="8647"/>
      </w:tabs>
      <w:spacing w:before="100" w:after="100"/>
    </w:pPr>
    <w:rPr>
      <w:rFonts w:ascii="Arial" w:hAnsi="Arial" w:cs="Arial"/>
      <w:b/>
      <w:sz w:val="20"/>
      <w:szCs w:val="20"/>
      <w:lang w:eastAsia="en-US"/>
    </w:rPr>
  </w:style>
  <w:style w:type="paragraph" w:customStyle="1" w:styleId="edufootnotetext">
    <w:name w:val="edu footnote text"/>
    <w:basedOn w:val="IASBSectionTitle2Ind"/>
    <w:next w:val="IASBBlockquote"/>
    <w:link w:val="FootnoteTextChar"/>
    <w:uiPriority w:val="99"/>
    <w:semiHidden/>
    <w:rsid w:val="00933AB9"/>
    <w:pPr>
      <w:keepNext w:val="0"/>
      <w:keepLines w:val="0"/>
      <w:spacing w:before="0" w:after="0"/>
      <w:ind w:hanging="782"/>
    </w:pPr>
    <w:rPr>
      <w:sz w:val="16"/>
      <w:lang w:eastAsia="en-US"/>
    </w:rPr>
  </w:style>
  <w:style w:type="character" w:customStyle="1" w:styleId="FootnoteTextChar">
    <w:name w:val="Footnote Text Char"/>
    <w:basedOn w:val="Fontepargpadro"/>
    <w:link w:val="edufootnotetext"/>
    <w:uiPriority w:val="99"/>
    <w:semiHidden/>
    <w:rsid w:val="00933AB9"/>
    <w:rPr>
      <w:rFonts w:ascii="Arial" w:hAnsi="Arial" w:cs="Arial"/>
      <w:b/>
      <w:sz w:val="16"/>
      <w:lang w:eastAsia="en-US"/>
    </w:rPr>
  </w:style>
  <w:style w:type="paragraph" w:customStyle="1" w:styleId="IASBNormalArialL1">
    <w:name w:val="IASB Normal Arial L1"/>
    <w:basedOn w:val="IASBNormalnpara"/>
    <w:rsid w:val="00933AB9"/>
    <w:rPr>
      <w:rFonts w:ascii="Arial" w:hAnsi="Arial"/>
      <w:lang w:eastAsia="en-US"/>
    </w:rPr>
  </w:style>
  <w:style w:type="paragraph" w:customStyle="1" w:styleId="IASBNormalArialnparaL2">
    <w:name w:val="IASB Normal Arial nparaL2"/>
    <w:basedOn w:val="IASBNormalnparaL1"/>
    <w:rsid w:val="00933AB9"/>
    <w:pPr>
      <w:ind w:left="2347"/>
    </w:pPr>
    <w:rPr>
      <w:rFonts w:ascii="Arial" w:hAnsi="Arial"/>
      <w:lang w:eastAsia="en-US"/>
    </w:rPr>
  </w:style>
  <w:style w:type="paragraph" w:customStyle="1" w:styleId="IASBNormalArialnparaL3">
    <w:name w:val="IASB Normal Arial nparaL3"/>
    <w:basedOn w:val="IASBNormalnparaL2"/>
    <w:rsid w:val="00933AB9"/>
    <w:pPr>
      <w:ind w:left="3129"/>
    </w:pPr>
    <w:rPr>
      <w:rFonts w:ascii="Arial" w:hAnsi="Arial"/>
      <w:lang w:eastAsia="en-US"/>
    </w:rPr>
  </w:style>
  <w:style w:type="paragraph" w:customStyle="1" w:styleId="IASBNormalArialnparaL4">
    <w:name w:val="IASB Normal Arial nparaL4"/>
    <w:basedOn w:val="IASBNormalnparaL3"/>
    <w:rsid w:val="00933AB9"/>
    <w:pPr>
      <w:ind w:left="3912"/>
    </w:pPr>
    <w:rPr>
      <w:rFonts w:ascii="Arial" w:hAnsi="Arial"/>
      <w:lang w:eastAsia="en-US"/>
    </w:rPr>
  </w:style>
  <w:style w:type="paragraph" w:customStyle="1" w:styleId="IASBNormalArialnparaL5">
    <w:name w:val="IASB Normal Arial nparaL5"/>
    <w:basedOn w:val="IASBNormalnparaL4"/>
    <w:rsid w:val="00933AB9"/>
    <w:pPr>
      <w:ind w:left="4694"/>
    </w:pPr>
    <w:rPr>
      <w:rFonts w:ascii="Arial" w:hAnsi="Arial"/>
      <w:lang w:eastAsia="en-US"/>
    </w:rPr>
  </w:style>
  <w:style w:type="paragraph" w:customStyle="1" w:styleId="IASBNormalArialL2">
    <w:name w:val="IASB Normal Arial L2"/>
    <w:basedOn w:val="IASBNormalL1"/>
    <w:rsid w:val="00933AB9"/>
    <w:pPr>
      <w:ind w:left="1564"/>
    </w:pPr>
    <w:rPr>
      <w:rFonts w:ascii="Arial" w:hAnsi="Arial"/>
      <w:lang w:eastAsia="en-US"/>
    </w:rPr>
  </w:style>
  <w:style w:type="paragraph" w:customStyle="1" w:styleId="IASBTableNormal">
    <w:name w:val="IASB Table Normal"/>
    <w:basedOn w:val="Normal"/>
    <w:rsid w:val="00933AB9"/>
    <w:pPr>
      <w:spacing w:before="80" w:after="60"/>
    </w:pPr>
    <w:rPr>
      <w:sz w:val="19"/>
      <w:szCs w:val="20"/>
      <w:lang w:eastAsia="en-GB"/>
    </w:rPr>
  </w:style>
  <w:style w:type="paragraph" w:customStyle="1" w:styleId="IASBNormalArialL3">
    <w:name w:val="IASB Normal Arial L3"/>
    <w:basedOn w:val="IASBNormalL2"/>
    <w:qFormat/>
    <w:rsid w:val="00933AB9"/>
    <w:pPr>
      <w:ind w:left="2268" w:hanging="708"/>
    </w:pPr>
    <w:rPr>
      <w:rFonts w:ascii="Arial" w:hAnsi="Arial"/>
      <w:lang w:eastAsia="en-US"/>
    </w:rPr>
  </w:style>
  <w:style w:type="paragraph" w:customStyle="1" w:styleId="IASBNormalArialL4">
    <w:name w:val="IASB Normal Arial L4"/>
    <w:basedOn w:val="IASBNormalL3"/>
    <w:qFormat/>
    <w:rsid w:val="00933AB9"/>
    <w:pPr>
      <w:ind w:left="2977"/>
    </w:pPr>
    <w:rPr>
      <w:rFonts w:ascii="Arial" w:hAnsi="Arial"/>
      <w:lang w:eastAsia="en-US"/>
    </w:rPr>
  </w:style>
  <w:style w:type="character" w:styleId="Hyperlink">
    <w:name w:val="Hyperlink"/>
    <w:basedOn w:val="Fontepargpadro"/>
    <w:uiPriority w:val="99"/>
    <w:unhideWhenUsed/>
    <w:rsid w:val="00933AB9"/>
    <w:rPr>
      <w:color w:val="0000FF" w:themeColor="hyperlink"/>
      <w:u w:val="single"/>
    </w:rPr>
  </w:style>
  <w:style w:type="character" w:styleId="MenoPendente">
    <w:name w:val="Unresolved Mention"/>
    <w:basedOn w:val="Fontepargpadro"/>
    <w:uiPriority w:val="99"/>
    <w:semiHidden/>
    <w:unhideWhenUsed/>
    <w:rsid w:val="00933AB9"/>
    <w:rPr>
      <w:color w:val="605E5C"/>
      <w:shd w:val="clear" w:color="auto" w:fill="E1DFDD"/>
    </w:rPr>
  </w:style>
  <w:style w:type="character" w:styleId="HiperlinkVisitado">
    <w:name w:val="FollowedHyperlink"/>
    <w:basedOn w:val="Fontepargpadro"/>
    <w:uiPriority w:val="99"/>
    <w:semiHidden/>
    <w:unhideWhenUsed/>
    <w:rsid w:val="00933AB9"/>
    <w:rPr>
      <w:color w:val="800080" w:themeColor="followedHyperlink"/>
      <w:u w:val="single"/>
    </w:rPr>
  </w:style>
  <w:style w:type="paragraph" w:styleId="Textodenotadefim">
    <w:name w:val="endnote text"/>
    <w:basedOn w:val="Normal"/>
    <w:link w:val="TextodenotadefimChar"/>
    <w:uiPriority w:val="99"/>
    <w:semiHidden/>
    <w:unhideWhenUsed/>
    <w:rsid w:val="00D85A37"/>
    <w:rPr>
      <w:sz w:val="20"/>
      <w:szCs w:val="20"/>
    </w:rPr>
  </w:style>
  <w:style w:type="character" w:customStyle="1" w:styleId="TextodenotadefimChar">
    <w:name w:val="Texto de nota de fim Char"/>
    <w:basedOn w:val="Fontepargpadro"/>
    <w:link w:val="Textodenotadefim"/>
    <w:uiPriority w:val="99"/>
    <w:semiHidden/>
    <w:rsid w:val="00D85A37"/>
  </w:style>
  <w:style w:type="paragraph" w:customStyle="1" w:styleId="p1">
    <w:name w:val="p1"/>
    <w:basedOn w:val="Normal"/>
    <w:rsid w:val="00FC75EA"/>
    <w:rPr>
      <w:rFonts w:ascii="Helvetica" w:hAnsi="Helvetica"/>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16890">
      <w:bodyDiv w:val="1"/>
      <w:marLeft w:val="0"/>
      <w:marRight w:val="0"/>
      <w:marTop w:val="0"/>
      <w:marBottom w:val="0"/>
      <w:divBdr>
        <w:top w:val="none" w:sz="0" w:space="0" w:color="auto"/>
        <w:left w:val="none" w:sz="0" w:space="0" w:color="auto"/>
        <w:bottom w:val="none" w:sz="0" w:space="0" w:color="auto"/>
        <w:right w:val="none" w:sz="0" w:space="0" w:color="auto"/>
      </w:divBdr>
    </w:div>
    <w:div w:id="750125509">
      <w:bodyDiv w:val="1"/>
      <w:marLeft w:val="0"/>
      <w:marRight w:val="0"/>
      <w:marTop w:val="0"/>
      <w:marBottom w:val="0"/>
      <w:divBdr>
        <w:top w:val="none" w:sz="0" w:space="0" w:color="auto"/>
        <w:left w:val="none" w:sz="0" w:space="0" w:color="auto"/>
        <w:bottom w:val="none" w:sz="0" w:space="0" w:color="auto"/>
        <w:right w:val="none" w:sz="0" w:space="0" w:color="auto"/>
      </w:divBdr>
    </w:div>
    <w:div w:id="1588660703">
      <w:bodyDiv w:val="1"/>
      <w:marLeft w:val="0"/>
      <w:marRight w:val="0"/>
      <w:marTop w:val="0"/>
      <w:marBottom w:val="0"/>
      <w:divBdr>
        <w:top w:val="none" w:sz="0" w:space="0" w:color="auto"/>
        <w:left w:val="none" w:sz="0" w:space="0" w:color="auto"/>
        <w:bottom w:val="none" w:sz="0" w:space="0" w:color="auto"/>
        <w:right w:val="none" w:sz="0" w:space="0" w:color="auto"/>
      </w:divBdr>
    </w:div>
    <w:div w:id="1706785796">
      <w:bodyDiv w:val="1"/>
      <w:marLeft w:val="0"/>
      <w:marRight w:val="0"/>
      <w:marTop w:val="0"/>
      <w:marBottom w:val="0"/>
      <w:divBdr>
        <w:top w:val="none" w:sz="0" w:space="0" w:color="auto"/>
        <w:left w:val="none" w:sz="0" w:space="0" w:color="auto"/>
        <w:bottom w:val="none" w:sz="0" w:space="0" w:color="auto"/>
        <w:right w:val="none" w:sz="0" w:space="0" w:color="auto"/>
      </w:divBdr>
    </w:div>
    <w:div w:id="211505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c.org.br/CPC/Documentos-Emitidos/Uso-das-Norma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pc.org.br/CPC/Documentos-Emitidos/Uso-das-Normas"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8A609-C3FF-4F3B-980A-E3F40E4C7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68</Pages>
  <Words>24405</Words>
  <Characters>131792</Characters>
  <Application>Microsoft Office Word</Application>
  <DocSecurity>0</DocSecurity>
  <Lines>1098</Lines>
  <Paragraphs>311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IFRS</Company>
  <LinksUpToDate>false</LinksUpToDate>
  <CharactersWithSpaces>155886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 Penny</dc:creator>
  <cp:keywords/>
  <dc:description/>
  <cp:lastModifiedBy>Cintia Pimentel Pereira</cp:lastModifiedBy>
  <cp:revision>63</cp:revision>
  <dcterms:created xsi:type="dcterms:W3CDTF">2026-03-03T18:46:00Z</dcterms:created>
  <dcterms:modified xsi:type="dcterms:W3CDTF">2026-10-20T18:51:00Z</dcterms:modified>
</cp:coreProperties>
</file>