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D846" w14:textId="77777777" w:rsidR="00E27CDA" w:rsidRPr="00CE5EDF" w:rsidRDefault="00002598">
      <w:pPr>
        <w:spacing w:before="83"/>
        <w:ind w:left="24" w:right="148"/>
        <w:jc w:val="center"/>
        <w:rPr>
          <w:b/>
        </w:rPr>
      </w:pPr>
      <w:r w:rsidRPr="00CE5EDF">
        <w:rPr>
          <w:b/>
          <w:color w:val="010101"/>
          <w:u w:val="single" w:color="000000"/>
        </w:rPr>
        <w:t>POSITION STATEMENT</w:t>
      </w:r>
    </w:p>
    <w:p w14:paraId="0221D847" w14:textId="77777777" w:rsidR="00E27CDA" w:rsidRPr="00CE5EDF" w:rsidRDefault="00E27CDA">
      <w:pPr>
        <w:pStyle w:val="Corpodetexto"/>
        <w:rPr>
          <w:b/>
        </w:rPr>
      </w:pPr>
    </w:p>
    <w:p w14:paraId="0221D848" w14:textId="77777777" w:rsidR="00E27CDA" w:rsidRPr="00CE5EDF" w:rsidRDefault="00E27CDA">
      <w:pPr>
        <w:pStyle w:val="Corpodetexto"/>
        <w:spacing w:before="240"/>
        <w:rPr>
          <w:b/>
        </w:rPr>
      </w:pPr>
    </w:p>
    <w:p w14:paraId="0221D849" w14:textId="77777777" w:rsidR="00E27CDA" w:rsidRPr="00CE5EDF" w:rsidRDefault="00002598">
      <w:pPr>
        <w:pStyle w:val="Ttulo1"/>
        <w:spacing w:line="324" w:lineRule="auto"/>
        <w:ind w:left="24" w:right="148"/>
        <w:jc w:val="center"/>
      </w:pPr>
      <w:r w:rsidRPr="00CE5EDF">
        <w:rPr>
          <w:color w:val="010101"/>
        </w:rPr>
        <w:t>Toward COP 30: Accounting as a Pillar of Transparency and Sustainability</w:t>
      </w:r>
    </w:p>
    <w:p w14:paraId="0221D84A" w14:textId="77777777" w:rsidR="00E27CDA" w:rsidRPr="00CE5EDF" w:rsidRDefault="00E27CDA">
      <w:pPr>
        <w:pStyle w:val="Corpodetexto"/>
        <w:rPr>
          <w:b/>
        </w:rPr>
      </w:pPr>
    </w:p>
    <w:p w14:paraId="0221D84B" w14:textId="77777777" w:rsidR="00E27CDA" w:rsidRPr="00CE5EDF" w:rsidRDefault="00E27CDA">
      <w:pPr>
        <w:pStyle w:val="Corpodetexto"/>
        <w:spacing w:before="152"/>
        <w:rPr>
          <w:b/>
        </w:rPr>
      </w:pPr>
    </w:p>
    <w:p w14:paraId="0221D84C" w14:textId="77777777" w:rsidR="00E27CDA" w:rsidRPr="00CE5EDF" w:rsidRDefault="00002598">
      <w:pPr>
        <w:pStyle w:val="Corpodetexto"/>
        <w:ind w:left="5330"/>
      </w:pPr>
      <w:r w:rsidRPr="00CE5EDF">
        <w:rPr>
          <w:color w:val="010101"/>
        </w:rPr>
        <w:t>Brasilia, October 14, 2025</w:t>
      </w:r>
    </w:p>
    <w:p w14:paraId="0221D84D" w14:textId="77777777" w:rsidR="00E27CDA" w:rsidRPr="00CE5EDF" w:rsidRDefault="00E27CDA">
      <w:pPr>
        <w:pStyle w:val="Corpodetexto"/>
      </w:pPr>
    </w:p>
    <w:p w14:paraId="0221D84E" w14:textId="77777777" w:rsidR="00E27CDA" w:rsidRPr="00CE5EDF" w:rsidRDefault="00E27CDA">
      <w:pPr>
        <w:pStyle w:val="Corpodetexto"/>
        <w:spacing w:before="240"/>
      </w:pPr>
    </w:p>
    <w:p w14:paraId="0221D84F" w14:textId="77777777" w:rsidR="00E27CDA" w:rsidRPr="00CE5EDF" w:rsidRDefault="00002598">
      <w:pPr>
        <w:pStyle w:val="Corpodetexto"/>
        <w:spacing w:before="1" w:line="319" w:lineRule="auto"/>
        <w:ind w:left="5" w:right="128" w:firstLine="3"/>
        <w:jc w:val="both"/>
      </w:pPr>
      <w:r w:rsidRPr="00CE5EDF">
        <w:rPr>
          <w:color w:val="010101"/>
        </w:rPr>
        <w:t>We, professionals, leaders, and representatives from the fields of accounting, auditing, governance, and sustainability, gathered at the event “Toward COP 30 – Accounting: Transparency for a Sustainable Future”, present in this letter our position and commitment to building a more ethical, transparent, and sustainable future.</w:t>
      </w:r>
    </w:p>
    <w:p w14:paraId="0221D850" w14:textId="77777777" w:rsidR="00E27CDA" w:rsidRPr="00CE5EDF" w:rsidRDefault="00E27CDA">
      <w:pPr>
        <w:pStyle w:val="Corpodetexto"/>
      </w:pPr>
    </w:p>
    <w:p w14:paraId="0221D851" w14:textId="77777777" w:rsidR="00E27CDA" w:rsidRPr="00CE5EDF" w:rsidRDefault="00E27CDA">
      <w:pPr>
        <w:pStyle w:val="Corpodetexto"/>
        <w:spacing w:before="155"/>
      </w:pPr>
    </w:p>
    <w:p w14:paraId="0221D852" w14:textId="77777777" w:rsidR="00E27CDA" w:rsidRPr="00CE5EDF" w:rsidRDefault="00002598">
      <w:pPr>
        <w:pStyle w:val="Corpodetexto"/>
        <w:spacing w:before="1"/>
        <w:ind w:left="6" w:right="148"/>
        <w:jc w:val="center"/>
      </w:pPr>
      <w:r w:rsidRPr="00CE5EDF">
        <w:rPr>
          <w:color w:val="010101"/>
        </w:rPr>
        <w:t>Accounting as a Strategic Science in the Climate Agenda</w:t>
      </w:r>
    </w:p>
    <w:p w14:paraId="0221D853" w14:textId="77777777" w:rsidR="00E27CDA" w:rsidRPr="00CE5EDF" w:rsidRDefault="00E27CDA">
      <w:pPr>
        <w:pStyle w:val="Corpodetexto"/>
      </w:pPr>
    </w:p>
    <w:p w14:paraId="0221D854" w14:textId="77777777" w:rsidR="00E27CDA" w:rsidRPr="00CE5EDF" w:rsidRDefault="00E27CDA">
      <w:pPr>
        <w:pStyle w:val="Corpodetexto"/>
        <w:spacing w:before="240"/>
      </w:pPr>
    </w:p>
    <w:p w14:paraId="0221D855" w14:textId="77777777" w:rsidR="00E27CDA" w:rsidRPr="00CE5EDF" w:rsidRDefault="00002598">
      <w:pPr>
        <w:pStyle w:val="Corpodetexto"/>
        <w:spacing w:line="324" w:lineRule="auto"/>
        <w:ind w:left="6" w:right="125" w:firstLine="1"/>
        <w:jc w:val="both"/>
      </w:pPr>
      <w:r w:rsidRPr="00CE5EDF">
        <w:rPr>
          <w:color w:val="010101"/>
        </w:rPr>
        <w:t>We recognize that the world faces an unprecedented climate emergency, requiring concrete and collaborative actions from all sectors of society. In this scenario, accounting and auditing play a fundamental role as the main areas responsible for recording and financially reporting the social, environmental, and economic impacts of organizations, thus strengthening trust in the process of transitioning toward a low-carbon economy.</w:t>
      </w:r>
    </w:p>
    <w:p w14:paraId="0221D856" w14:textId="77777777" w:rsidR="00E27CDA" w:rsidRPr="00CE5EDF" w:rsidRDefault="00E27CDA">
      <w:pPr>
        <w:pStyle w:val="Corpodetexto"/>
      </w:pPr>
    </w:p>
    <w:p w14:paraId="0221D857" w14:textId="77777777" w:rsidR="00E27CDA" w:rsidRPr="00CE5EDF" w:rsidRDefault="00E27CDA">
      <w:pPr>
        <w:pStyle w:val="Corpodetexto"/>
        <w:spacing w:before="145"/>
      </w:pPr>
    </w:p>
    <w:p w14:paraId="0221D858" w14:textId="77777777" w:rsidR="00E27CDA" w:rsidRPr="00CE5EDF" w:rsidRDefault="00002598">
      <w:pPr>
        <w:pStyle w:val="Corpodetexto"/>
        <w:spacing w:line="321" w:lineRule="auto"/>
        <w:ind w:left="7" w:right="125" w:hanging="3"/>
        <w:jc w:val="both"/>
      </w:pPr>
      <w:r w:rsidRPr="00CE5EDF">
        <w:rPr>
          <w:color w:val="010101"/>
        </w:rPr>
        <w:t>As professionals responsible for financial and pre-financial information, we commit to guiding companies, governments, and other stakeholders in the transition to a green economy, promoting decisions grounded in ethics, transparency, and responsibility.</w:t>
      </w:r>
    </w:p>
    <w:p w14:paraId="0221D859" w14:textId="77777777" w:rsidR="00E27CDA" w:rsidRPr="00CE5EDF" w:rsidRDefault="00E27CDA">
      <w:pPr>
        <w:pStyle w:val="Corpodetexto"/>
      </w:pPr>
    </w:p>
    <w:p w14:paraId="0221D85A" w14:textId="77777777" w:rsidR="00E27CDA" w:rsidRPr="00CE5EDF" w:rsidRDefault="00E27CDA">
      <w:pPr>
        <w:pStyle w:val="Corpodetexto"/>
        <w:spacing w:before="157"/>
      </w:pPr>
    </w:p>
    <w:p w14:paraId="0221D85B" w14:textId="77777777" w:rsidR="00E27CDA" w:rsidRPr="00CE5EDF" w:rsidRDefault="00002598">
      <w:pPr>
        <w:pStyle w:val="Corpodetexto"/>
        <w:ind w:left="37" w:right="148"/>
        <w:jc w:val="center"/>
      </w:pPr>
      <w:r w:rsidRPr="00CE5EDF">
        <w:rPr>
          <w:color w:val="010101"/>
        </w:rPr>
        <w:t>Our Commitments to Sustainability</w:t>
      </w:r>
    </w:p>
    <w:p w14:paraId="0221D85C" w14:textId="77777777" w:rsidR="00E27CDA" w:rsidRPr="00CE5EDF" w:rsidRDefault="00E27CDA">
      <w:pPr>
        <w:pStyle w:val="Corpodetexto"/>
      </w:pPr>
    </w:p>
    <w:p w14:paraId="0221D85D" w14:textId="77777777" w:rsidR="00E27CDA" w:rsidRPr="00CE5EDF" w:rsidRDefault="00E27CDA">
      <w:pPr>
        <w:pStyle w:val="Corpodetexto"/>
        <w:spacing w:before="240"/>
      </w:pPr>
    </w:p>
    <w:p w14:paraId="0221D85E" w14:textId="77777777" w:rsidR="00E27CDA" w:rsidRPr="00CE5EDF" w:rsidRDefault="00002598">
      <w:pPr>
        <w:pStyle w:val="Ttulo1"/>
        <w:numPr>
          <w:ilvl w:val="0"/>
          <w:numId w:val="1"/>
        </w:numPr>
        <w:tabs>
          <w:tab w:val="left" w:pos="254"/>
        </w:tabs>
        <w:ind w:left="254" w:hanging="246"/>
      </w:pPr>
      <w:r w:rsidRPr="00CE5EDF">
        <w:rPr>
          <w:color w:val="010101"/>
        </w:rPr>
        <w:t>International Collaboration and Regulatory Convergence</w:t>
      </w:r>
    </w:p>
    <w:p w14:paraId="0221D85F" w14:textId="485E6844" w:rsidR="00E27CDA" w:rsidRPr="00CE5EDF" w:rsidRDefault="00002598">
      <w:pPr>
        <w:pStyle w:val="Corpodetexto"/>
        <w:spacing w:before="247" w:line="319" w:lineRule="auto"/>
        <w:ind w:left="6" w:right="133" w:firstLine="1"/>
        <w:jc w:val="both"/>
      </w:pPr>
      <w:r w:rsidRPr="00CE5EDF">
        <w:rPr>
          <w:color w:val="010101"/>
        </w:rPr>
        <w:t>We reaffirm the importance of aligning accounting and auditing practices with international sustainability disclosure standards, such as those developed</w:t>
      </w:r>
      <w:r w:rsidR="00C10BA0">
        <w:rPr>
          <w:color w:val="010101"/>
        </w:rPr>
        <w:br/>
      </w:r>
    </w:p>
    <w:p w14:paraId="0221D860" w14:textId="77777777" w:rsidR="00E27CDA" w:rsidRPr="00CE5EDF" w:rsidRDefault="00E27CDA">
      <w:pPr>
        <w:pStyle w:val="Corpodetexto"/>
        <w:spacing w:line="319" w:lineRule="auto"/>
        <w:jc w:val="both"/>
        <w:sectPr w:rsidR="00E27CDA" w:rsidRPr="00CE5EDF">
          <w:headerReference w:type="default" r:id="rId10"/>
          <w:type w:val="continuous"/>
          <w:pgSz w:w="11910" w:h="16840"/>
          <w:pgMar w:top="1320" w:right="1559" w:bottom="280" w:left="1700" w:header="709" w:footer="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221D861" w14:textId="77777777" w:rsidR="00E27CDA" w:rsidRPr="00CE5EDF" w:rsidRDefault="00002598">
      <w:pPr>
        <w:pStyle w:val="Corpodetexto"/>
        <w:spacing w:before="83" w:line="324" w:lineRule="auto"/>
        <w:ind w:left="6" w:right="120"/>
        <w:jc w:val="both"/>
      </w:pPr>
      <w:r w:rsidRPr="00CE5EDF">
        <w:rPr>
          <w:color w:val="010101"/>
        </w:rPr>
        <w:lastRenderedPageBreak/>
        <w:t>by the ISSB (International Sustainability Standards Board) and the IAASB (International Auditing and Assurance Standards Board), promoting global convergence to make ESG reporting more consistent, reliable, and relevant.</w:t>
      </w:r>
    </w:p>
    <w:p w14:paraId="0221D862" w14:textId="77777777" w:rsidR="00E27CDA" w:rsidRPr="00CE5EDF" w:rsidRDefault="00E27CDA">
      <w:pPr>
        <w:pStyle w:val="Corpodetexto"/>
      </w:pPr>
    </w:p>
    <w:p w14:paraId="0221D863" w14:textId="77777777" w:rsidR="00E27CDA" w:rsidRPr="00CE5EDF" w:rsidRDefault="00E27CDA">
      <w:pPr>
        <w:pStyle w:val="Corpodetexto"/>
        <w:spacing w:before="146"/>
      </w:pPr>
    </w:p>
    <w:p w14:paraId="0221D864" w14:textId="77777777" w:rsidR="00E27CDA" w:rsidRPr="00CE5EDF" w:rsidRDefault="00002598">
      <w:pPr>
        <w:pStyle w:val="Ttulo1"/>
        <w:numPr>
          <w:ilvl w:val="0"/>
          <w:numId w:val="1"/>
        </w:numPr>
        <w:tabs>
          <w:tab w:val="left" w:pos="252"/>
        </w:tabs>
        <w:ind w:left="252" w:hanging="247"/>
      </w:pPr>
      <w:r w:rsidRPr="00CE5EDF">
        <w:rPr>
          <w:color w:val="010101"/>
        </w:rPr>
        <w:t>Promoting Transparency as the Foundation of Sustainability</w:t>
      </w:r>
    </w:p>
    <w:p w14:paraId="0221D865" w14:textId="77777777" w:rsidR="00E27CDA" w:rsidRPr="00CE5EDF" w:rsidRDefault="00002598">
      <w:pPr>
        <w:pStyle w:val="Corpodetexto"/>
        <w:spacing w:before="247" w:line="321" w:lineRule="auto"/>
        <w:ind w:left="6" w:right="126"/>
        <w:jc w:val="both"/>
      </w:pPr>
      <w:r w:rsidRPr="00CE5EDF">
        <w:rPr>
          <w:color w:val="010101"/>
        </w:rPr>
        <w:t>We believe that transparency is the basis for combating inequalities, mitigating climate risks, and accelerating the transition to a sustainable economic model. For this reason, we advocate the use of accounting, sustainability disclosure, and assurance standards as essential tools for integrating environmental, social, and governance (ESG) aspects into corporate strategies.</w:t>
      </w:r>
    </w:p>
    <w:p w14:paraId="0221D866" w14:textId="77777777" w:rsidR="00E27CDA" w:rsidRPr="00CE5EDF" w:rsidRDefault="00E27CDA">
      <w:pPr>
        <w:pStyle w:val="Corpodetexto"/>
      </w:pPr>
    </w:p>
    <w:p w14:paraId="0221D867" w14:textId="77777777" w:rsidR="00E27CDA" w:rsidRPr="00CE5EDF" w:rsidRDefault="00E27CDA">
      <w:pPr>
        <w:pStyle w:val="Corpodetexto"/>
        <w:spacing w:before="158"/>
      </w:pPr>
    </w:p>
    <w:p w14:paraId="0221D868" w14:textId="77777777" w:rsidR="00E27CDA" w:rsidRPr="00CE5EDF" w:rsidRDefault="00002598">
      <w:pPr>
        <w:pStyle w:val="Ttulo1"/>
        <w:numPr>
          <w:ilvl w:val="0"/>
          <w:numId w:val="1"/>
        </w:numPr>
        <w:tabs>
          <w:tab w:val="left" w:pos="252"/>
        </w:tabs>
        <w:ind w:left="252" w:hanging="245"/>
      </w:pPr>
      <w:r w:rsidRPr="00CE5EDF">
        <w:rPr>
          <w:color w:val="010101"/>
        </w:rPr>
        <w:t>Strengthening Professional Competencies</w:t>
      </w:r>
    </w:p>
    <w:p w14:paraId="0221D869" w14:textId="4D0233D1" w:rsidR="00E27CDA" w:rsidRPr="00CE5EDF" w:rsidRDefault="00002598">
      <w:pPr>
        <w:pStyle w:val="Corpodetexto"/>
        <w:spacing w:before="247" w:line="321" w:lineRule="auto"/>
        <w:ind w:left="7" w:right="128" w:hanging="1"/>
        <w:jc w:val="both"/>
      </w:pPr>
      <w:r w:rsidRPr="00CE5EDF">
        <w:rPr>
          <w:color w:val="010101"/>
        </w:rPr>
        <w:t xml:space="preserve">We assume the responsibility </w:t>
      </w:r>
      <w:r w:rsidR="00AB3949">
        <w:rPr>
          <w:color w:val="010101"/>
        </w:rPr>
        <w:t>for</w:t>
      </w:r>
      <w:r w:rsidRPr="00CE5EDF">
        <w:rPr>
          <w:color w:val="010101"/>
        </w:rPr>
        <w:t xml:space="preserve"> preparing accounting and auditing professionals for the growing demands of the climate agenda. This includes encouraging continuing education, technical training, and technological development to ensure that accountants are agents of transformation and leadership in the environments where they operate.</w:t>
      </w:r>
    </w:p>
    <w:p w14:paraId="0221D86A" w14:textId="77777777" w:rsidR="00E27CDA" w:rsidRPr="00CE5EDF" w:rsidRDefault="00E27CDA">
      <w:pPr>
        <w:pStyle w:val="Corpodetexto"/>
      </w:pPr>
    </w:p>
    <w:p w14:paraId="0221D86B" w14:textId="77777777" w:rsidR="00E27CDA" w:rsidRPr="00CE5EDF" w:rsidRDefault="00E27CDA">
      <w:pPr>
        <w:pStyle w:val="Corpodetexto"/>
        <w:spacing w:before="163"/>
      </w:pPr>
    </w:p>
    <w:p w14:paraId="0221D86C" w14:textId="77777777" w:rsidR="00E27CDA" w:rsidRPr="00CE5EDF" w:rsidRDefault="00002598">
      <w:pPr>
        <w:pStyle w:val="Ttulo1"/>
        <w:numPr>
          <w:ilvl w:val="0"/>
          <w:numId w:val="1"/>
        </w:numPr>
        <w:tabs>
          <w:tab w:val="left" w:pos="250"/>
        </w:tabs>
        <w:spacing w:before="1"/>
        <w:ind w:left="250"/>
      </w:pPr>
      <w:r w:rsidRPr="00CE5EDF">
        <w:rPr>
          <w:color w:val="010101"/>
        </w:rPr>
        <w:t>Adoption of Ethics and Integrity in Sustainable Practices</w:t>
      </w:r>
    </w:p>
    <w:p w14:paraId="0221D86D" w14:textId="77777777" w:rsidR="00E27CDA" w:rsidRPr="00CE5EDF" w:rsidRDefault="00002598">
      <w:pPr>
        <w:pStyle w:val="Corpodetexto"/>
        <w:spacing w:before="242" w:line="321" w:lineRule="auto"/>
        <w:ind w:left="6" w:right="126" w:firstLine="1"/>
        <w:jc w:val="both"/>
      </w:pPr>
      <w:r w:rsidRPr="00CE5EDF">
        <w:rPr>
          <w:color w:val="010101"/>
        </w:rPr>
        <w:t>Ethics and integrity are the foundations of the accounting profession, especially in the ESG context. We reaffirm our commitment to acting in a way that prioritizes the public interest, social equity, and transparency in accountability, with adherence to the international code of ethics for professional accountants issued by the International Ethics Standards Board for Accountants (IESBA).</w:t>
      </w:r>
    </w:p>
    <w:p w14:paraId="0221D86E" w14:textId="77777777" w:rsidR="00E27CDA" w:rsidRPr="00CE5EDF" w:rsidRDefault="00E27CDA">
      <w:pPr>
        <w:pStyle w:val="Corpodetexto"/>
      </w:pPr>
    </w:p>
    <w:p w14:paraId="0221D86F" w14:textId="77777777" w:rsidR="00E27CDA" w:rsidRPr="00CE5EDF" w:rsidRDefault="00E27CDA">
      <w:pPr>
        <w:pStyle w:val="Corpodetexto"/>
        <w:spacing w:before="158"/>
      </w:pPr>
    </w:p>
    <w:p w14:paraId="0221D870" w14:textId="77777777" w:rsidR="00E27CDA" w:rsidRPr="00CE5EDF" w:rsidRDefault="00002598">
      <w:pPr>
        <w:pStyle w:val="Ttulo1"/>
        <w:numPr>
          <w:ilvl w:val="0"/>
          <w:numId w:val="1"/>
        </w:numPr>
        <w:tabs>
          <w:tab w:val="left" w:pos="252"/>
        </w:tabs>
        <w:ind w:left="252" w:hanging="251"/>
      </w:pPr>
      <w:r w:rsidRPr="00CE5EDF">
        <w:rPr>
          <w:color w:val="010101"/>
        </w:rPr>
        <w:t>Engagement with Companies, Regulators, and Other Market Agents</w:t>
      </w:r>
    </w:p>
    <w:p w14:paraId="0221D871" w14:textId="77777777" w:rsidR="00E27CDA" w:rsidRPr="00CE5EDF" w:rsidRDefault="00002598">
      <w:pPr>
        <w:pStyle w:val="Corpodetexto"/>
        <w:spacing w:before="247" w:line="321" w:lineRule="auto"/>
        <w:ind w:left="6" w:right="115" w:firstLine="1"/>
        <w:jc w:val="both"/>
      </w:pPr>
      <w:r w:rsidRPr="00CE5EDF">
        <w:rPr>
          <w:color w:val="010101"/>
        </w:rPr>
        <w:t>We recognize that only through dialogue and engagement with entrepreneurs, managers, investors, regulators, academics, and civil society will it be possible to raise awareness and expand the use of accounting as a key element for responsible and appropriate decision-making.</w:t>
      </w:r>
    </w:p>
    <w:p w14:paraId="0221D872" w14:textId="77777777" w:rsidR="00E27CDA" w:rsidRPr="00CE5EDF" w:rsidRDefault="00E27CDA">
      <w:pPr>
        <w:pStyle w:val="Corpodetexto"/>
        <w:spacing w:line="321" w:lineRule="auto"/>
        <w:jc w:val="both"/>
        <w:sectPr w:rsidR="00E27CDA" w:rsidRPr="00CE5EDF">
          <w:pgSz w:w="11910" w:h="16840"/>
          <w:pgMar w:top="1320" w:right="1559" w:bottom="280" w:left="1700" w:header="709" w:footer="0" w:gutter="0"/>
          <w:pgBorders w:offsetFrom="page">
            <w:top w:val="single" w:sz="4" w:space="24" w:color="000000"/>
            <w:left w:val="single" w:sz="4" w:space="24" w:color="000000"/>
            <w:bottom w:val="single" w:sz="4" w:space="24" w:color="000000"/>
            <w:right w:val="single" w:sz="4" w:space="24" w:color="000000"/>
          </w:pgBorders>
          <w:cols w:space="720"/>
        </w:sectPr>
      </w:pPr>
    </w:p>
    <w:p w14:paraId="0221D873" w14:textId="77777777" w:rsidR="00E27CDA" w:rsidRPr="00CE5EDF" w:rsidRDefault="00002598">
      <w:pPr>
        <w:pStyle w:val="Corpodetexto"/>
        <w:spacing w:before="83"/>
        <w:ind w:left="18" w:right="148"/>
        <w:jc w:val="center"/>
      </w:pPr>
      <w:r w:rsidRPr="00CE5EDF">
        <w:rPr>
          <w:color w:val="010101"/>
        </w:rPr>
        <w:lastRenderedPageBreak/>
        <w:t>Our Call to Stakeholders</w:t>
      </w:r>
    </w:p>
    <w:p w14:paraId="0221D874" w14:textId="77777777" w:rsidR="00E27CDA" w:rsidRPr="00CE5EDF" w:rsidRDefault="00E27CDA">
      <w:pPr>
        <w:pStyle w:val="Corpodetexto"/>
      </w:pPr>
    </w:p>
    <w:p w14:paraId="0221D875" w14:textId="77777777" w:rsidR="00E27CDA" w:rsidRPr="00CE5EDF" w:rsidRDefault="00E27CDA">
      <w:pPr>
        <w:pStyle w:val="Corpodetexto"/>
        <w:spacing w:before="240"/>
      </w:pPr>
    </w:p>
    <w:p w14:paraId="0221D876" w14:textId="77777777" w:rsidR="00E27CDA" w:rsidRPr="00CE5EDF" w:rsidRDefault="00002598">
      <w:pPr>
        <w:pStyle w:val="Corpodetexto"/>
        <w:spacing w:line="321" w:lineRule="auto"/>
        <w:ind w:left="6" w:right="131" w:hanging="2"/>
        <w:jc w:val="both"/>
      </w:pPr>
      <w:r w:rsidRPr="00CE5EDF">
        <w:rPr>
          <w:color w:val="010101"/>
        </w:rPr>
        <w:t>We invite the public and private sectors, regulatory bodies, international organizations, academia, and civil society to join this initiative. Success in sustainable transformation requires coordinated efforts and the creation of an environment that values the role of accounting and auditing as protagonists in the climate agenda.</w:t>
      </w:r>
    </w:p>
    <w:p w14:paraId="0221D877" w14:textId="77777777" w:rsidR="00E27CDA" w:rsidRPr="00CE5EDF" w:rsidRDefault="00E27CDA">
      <w:pPr>
        <w:pStyle w:val="Corpodetexto"/>
      </w:pPr>
    </w:p>
    <w:p w14:paraId="0221D878" w14:textId="77777777" w:rsidR="00E27CDA" w:rsidRPr="00CE5EDF" w:rsidRDefault="00E27CDA">
      <w:pPr>
        <w:pStyle w:val="Corpodetexto"/>
        <w:spacing w:before="159"/>
      </w:pPr>
    </w:p>
    <w:p w14:paraId="0221D879" w14:textId="77777777" w:rsidR="00E27CDA" w:rsidRPr="00CE5EDF" w:rsidRDefault="00002598">
      <w:pPr>
        <w:pStyle w:val="Corpodetexto"/>
        <w:spacing w:line="321" w:lineRule="auto"/>
        <w:ind w:left="6" w:right="128" w:hanging="1"/>
        <w:jc w:val="both"/>
      </w:pPr>
      <w:r w:rsidRPr="00CE5EDF">
        <w:rPr>
          <w:color w:val="010101"/>
        </w:rPr>
        <w:t>We ask the business sector to incorporate ESG criteria into their strategies, prioritizing practices that promote not only economic return but also positive impact on society and the environment.</w:t>
      </w:r>
    </w:p>
    <w:p w14:paraId="0221D87A" w14:textId="77777777" w:rsidR="00E27CDA" w:rsidRPr="00CE5EDF" w:rsidRDefault="00E27CDA">
      <w:pPr>
        <w:pStyle w:val="Corpodetexto"/>
      </w:pPr>
    </w:p>
    <w:p w14:paraId="0221D87B" w14:textId="77777777" w:rsidR="00E27CDA" w:rsidRPr="00CE5EDF" w:rsidRDefault="00E27CDA">
      <w:pPr>
        <w:pStyle w:val="Corpodetexto"/>
        <w:spacing w:before="154"/>
      </w:pPr>
    </w:p>
    <w:p w14:paraId="0221D87C" w14:textId="77777777" w:rsidR="00E27CDA" w:rsidRPr="00CE5EDF" w:rsidRDefault="00002598">
      <w:pPr>
        <w:pStyle w:val="Corpodetexto"/>
        <w:spacing w:line="321" w:lineRule="auto"/>
        <w:ind w:left="6" w:right="131" w:firstLine="2"/>
        <w:jc w:val="both"/>
      </w:pPr>
      <w:r w:rsidRPr="00CE5EDF">
        <w:rPr>
          <w:color w:val="010101"/>
        </w:rPr>
        <w:t>Likewise, we call on regulatory and legislative authorities to encourage public policies and rules that support governance models, sustainable finance, and transparent reporting, creating an institutional environment favorable to the practice of sustainability-based accounting.</w:t>
      </w:r>
    </w:p>
    <w:p w14:paraId="0221D87D" w14:textId="77777777" w:rsidR="00E27CDA" w:rsidRPr="00CE5EDF" w:rsidRDefault="00E27CDA">
      <w:pPr>
        <w:pStyle w:val="Corpodetexto"/>
      </w:pPr>
    </w:p>
    <w:p w14:paraId="0221D87E" w14:textId="77777777" w:rsidR="00E27CDA" w:rsidRPr="00CE5EDF" w:rsidRDefault="00E27CDA">
      <w:pPr>
        <w:pStyle w:val="Corpodetexto"/>
        <w:spacing w:before="161"/>
      </w:pPr>
    </w:p>
    <w:p w14:paraId="0221D87F" w14:textId="77777777" w:rsidR="00E27CDA" w:rsidRPr="00CE5EDF" w:rsidRDefault="00002598">
      <w:pPr>
        <w:pStyle w:val="Corpodetexto"/>
        <w:ind w:left="27" w:right="148"/>
        <w:jc w:val="center"/>
      </w:pPr>
      <w:r w:rsidRPr="00CE5EDF">
        <w:rPr>
          <w:color w:val="010101"/>
        </w:rPr>
        <w:t>Accounting as a Pillar of the Sustainable Future</w:t>
      </w:r>
    </w:p>
    <w:p w14:paraId="0221D880" w14:textId="77777777" w:rsidR="00E27CDA" w:rsidRPr="00CE5EDF" w:rsidRDefault="00E27CDA">
      <w:pPr>
        <w:pStyle w:val="Corpodetexto"/>
      </w:pPr>
    </w:p>
    <w:p w14:paraId="0221D881" w14:textId="77777777" w:rsidR="00E27CDA" w:rsidRPr="00CE5EDF" w:rsidRDefault="00E27CDA">
      <w:pPr>
        <w:pStyle w:val="Corpodetexto"/>
        <w:spacing w:before="241"/>
      </w:pPr>
    </w:p>
    <w:p w14:paraId="0221D882" w14:textId="77777777" w:rsidR="00E27CDA" w:rsidRPr="00CE5EDF" w:rsidRDefault="00002598">
      <w:pPr>
        <w:pStyle w:val="Corpodetexto"/>
        <w:spacing w:line="321" w:lineRule="auto"/>
        <w:ind w:left="6" w:right="133"/>
        <w:jc w:val="both"/>
      </w:pPr>
      <w:r w:rsidRPr="00CE5EDF">
        <w:rPr>
          <w:color w:val="010101"/>
        </w:rPr>
        <w:t>COP 30, to be held in Brazil, represents a historic moment for the global climate agenda. As the host country, we have the opportunity to lead by example, shaping the construction of a collective commitment to environmental preservation, social justice, and economic prosperity.</w:t>
      </w:r>
    </w:p>
    <w:p w14:paraId="0221D883" w14:textId="77777777" w:rsidR="00E27CDA" w:rsidRPr="00CE5EDF" w:rsidRDefault="00E27CDA">
      <w:pPr>
        <w:pStyle w:val="Corpodetexto"/>
      </w:pPr>
    </w:p>
    <w:p w14:paraId="0221D884" w14:textId="77777777" w:rsidR="00E27CDA" w:rsidRPr="00CE5EDF" w:rsidRDefault="00E27CDA">
      <w:pPr>
        <w:pStyle w:val="Corpodetexto"/>
        <w:spacing w:before="156"/>
      </w:pPr>
    </w:p>
    <w:p w14:paraId="0221D885" w14:textId="77777777" w:rsidR="00E27CDA" w:rsidRPr="00CE5EDF" w:rsidRDefault="00002598">
      <w:pPr>
        <w:pStyle w:val="Corpodetexto"/>
        <w:spacing w:line="321" w:lineRule="auto"/>
        <w:ind w:left="6" w:right="148"/>
        <w:jc w:val="both"/>
      </w:pPr>
      <w:r w:rsidRPr="00CE5EDF">
        <w:rPr>
          <w:color w:val="010101"/>
        </w:rPr>
        <w:t>Accounting and auditing, grounded in ethics, integrity, and a commitment to transparency, are prepared to play a strategic role in this process. We not only disclose results—we transform information into action. We not only comply—we innovate.</w:t>
      </w:r>
    </w:p>
    <w:p w14:paraId="0221D886" w14:textId="77777777" w:rsidR="00E27CDA" w:rsidRPr="00CE5EDF" w:rsidRDefault="00E27CDA">
      <w:pPr>
        <w:pStyle w:val="Corpodetexto"/>
      </w:pPr>
    </w:p>
    <w:p w14:paraId="0221D887" w14:textId="77777777" w:rsidR="00E27CDA" w:rsidRPr="00CE5EDF" w:rsidRDefault="00E27CDA">
      <w:pPr>
        <w:pStyle w:val="Corpodetexto"/>
        <w:spacing w:before="156"/>
      </w:pPr>
    </w:p>
    <w:p w14:paraId="0221D888" w14:textId="77777777" w:rsidR="00E27CDA" w:rsidRPr="00CE5EDF" w:rsidRDefault="00002598">
      <w:pPr>
        <w:pStyle w:val="Corpodetexto"/>
        <w:spacing w:before="1" w:line="324" w:lineRule="auto"/>
        <w:ind w:left="7" w:right="132" w:hanging="3"/>
        <w:jc w:val="both"/>
      </w:pPr>
      <w:r w:rsidRPr="00CE5EDF">
        <w:rPr>
          <w:color w:val="010101"/>
        </w:rPr>
        <w:t>With this, we reaffirm our dedication to strengthening corporate governance, our deep respect for the planet, and our commitment to future generations.</w:t>
      </w:r>
    </w:p>
    <w:p w14:paraId="0221D889" w14:textId="77777777" w:rsidR="00E27CDA" w:rsidRPr="00CE5EDF" w:rsidRDefault="00E27CDA">
      <w:pPr>
        <w:pStyle w:val="Corpodetexto"/>
        <w:spacing w:line="324" w:lineRule="auto"/>
        <w:jc w:val="both"/>
        <w:sectPr w:rsidR="00E27CDA" w:rsidRPr="00CE5EDF">
          <w:pgSz w:w="11910" w:h="16840"/>
          <w:pgMar w:top="1320" w:right="1559" w:bottom="280" w:left="1700" w:header="709" w:footer="0" w:gutter="0"/>
          <w:pgBorders w:offsetFrom="page">
            <w:top w:val="single" w:sz="4" w:space="24" w:color="000000"/>
            <w:left w:val="single" w:sz="4" w:space="24" w:color="000000"/>
            <w:bottom w:val="single" w:sz="4" w:space="24" w:color="000000"/>
            <w:right w:val="single" w:sz="4" w:space="24" w:color="000000"/>
          </w:pgBorders>
          <w:cols w:space="720"/>
        </w:sectPr>
      </w:pPr>
    </w:p>
    <w:p w14:paraId="0221D88A" w14:textId="77777777" w:rsidR="00E27CDA" w:rsidRPr="00CE5EDF" w:rsidRDefault="00002598">
      <w:pPr>
        <w:pStyle w:val="Corpodetexto"/>
        <w:spacing w:before="83" w:line="324" w:lineRule="auto"/>
        <w:ind w:left="7" w:right="137" w:hanging="3"/>
        <w:jc w:val="both"/>
      </w:pPr>
      <w:r w:rsidRPr="00CE5EDF">
        <w:rPr>
          <w:color w:val="010101"/>
        </w:rPr>
        <w:lastRenderedPageBreak/>
        <w:t>Together, we build the foundation for a more sustainable, fair, and prosperous future for all.</w:t>
      </w:r>
    </w:p>
    <w:p w14:paraId="0221D88B" w14:textId="77777777" w:rsidR="00E27CDA" w:rsidRPr="00CE5EDF" w:rsidRDefault="00E27CDA">
      <w:pPr>
        <w:pStyle w:val="Corpodetexto"/>
      </w:pPr>
    </w:p>
    <w:p w14:paraId="0221D88C" w14:textId="77777777" w:rsidR="00E27CDA" w:rsidRPr="00CE5EDF" w:rsidRDefault="00E27CDA">
      <w:pPr>
        <w:pStyle w:val="Corpodetexto"/>
        <w:spacing w:before="151"/>
      </w:pPr>
    </w:p>
    <w:p w14:paraId="0221D88D" w14:textId="77777777" w:rsidR="00E27CDA" w:rsidRPr="00CE5EDF" w:rsidRDefault="00002598">
      <w:pPr>
        <w:pStyle w:val="Corpodetexto"/>
        <w:spacing w:line="324" w:lineRule="auto"/>
        <w:ind w:left="7" w:right="139" w:hanging="2"/>
        <w:jc w:val="both"/>
      </w:pPr>
      <w:r w:rsidRPr="00CE5EDF">
        <w:rPr>
          <w:color w:val="010101"/>
        </w:rPr>
        <w:t>Signed on behalf of the Brazilian Accounting Profession by the promoters of this event, the Federal Accounting Council and the Institute of Independent Audit of Brazil:</w:t>
      </w:r>
    </w:p>
    <w:p w14:paraId="0221D88E" w14:textId="77777777" w:rsidR="00E27CDA" w:rsidRPr="00CE5EDF" w:rsidRDefault="00E27CDA">
      <w:pPr>
        <w:pStyle w:val="Corpodetexto"/>
      </w:pPr>
    </w:p>
    <w:p w14:paraId="0221D88F" w14:textId="77777777" w:rsidR="00E27CDA" w:rsidRPr="00CE5EDF" w:rsidRDefault="00E27CDA">
      <w:pPr>
        <w:pStyle w:val="Corpodetexto"/>
      </w:pPr>
    </w:p>
    <w:p w14:paraId="0221D890" w14:textId="77777777" w:rsidR="00E27CDA" w:rsidRPr="00CE5EDF" w:rsidRDefault="00E27CDA">
      <w:pPr>
        <w:pStyle w:val="Corpodetexto"/>
      </w:pPr>
    </w:p>
    <w:p w14:paraId="0221D891" w14:textId="77777777" w:rsidR="00E27CDA" w:rsidRPr="00CE5EDF" w:rsidRDefault="00E27CDA">
      <w:pPr>
        <w:pStyle w:val="Corpodetexto"/>
        <w:spacing w:before="145"/>
      </w:pPr>
    </w:p>
    <w:p w14:paraId="0221D892" w14:textId="77777777" w:rsidR="00E27CDA" w:rsidRPr="00CE5EDF" w:rsidRDefault="00002598">
      <w:pPr>
        <w:pStyle w:val="Corpodetexto"/>
        <w:spacing w:before="1"/>
        <w:ind w:left="20" w:right="148"/>
        <w:jc w:val="center"/>
      </w:pPr>
      <w:r w:rsidRPr="00CE5EDF">
        <w:rPr>
          <w:color w:val="010101"/>
        </w:rPr>
        <w:t>Accountant AÉCIO PRADO DANTAS JÚNIOR</w:t>
      </w:r>
    </w:p>
    <w:p w14:paraId="0221D893" w14:textId="77777777" w:rsidR="00E27CDA" w:rsidRPr="00CE5EDF" w:rsidRDefault="00002598">
      <w:pPr>
        <w:pStyle w:val="Corpodetexto"/>
        <w:spacing w:before="246"/>
        <w:ind w:right="148"/>
        <w:jc w:val="center"/>
      </w:pPr>
      <w:r w:rsidRPr="00CE5EDF">
        <w:rPr>
          <w:color w:val="010101"/>
        </w:rPr>
        <w:t>President of the Federal Accounting Council</w:t>
      </w:r>
    </w:p>
    <w:p w14:paraId="0221D894" w14:textId="77777777" w:rsidR="00E27CDA" w:rsidRPr="00CE5EDF" w:rsidRDefault="00E27CDA">
      <w:pPr>
        <w:pStyle w:val="Corpodetexto"/>
      </w:pPr>
    </w:p>
    <w:p w14:paraId="0221D895" w14:textId="77777777" w:rsidR="00E27CDA" w:rsidRPr="00CE5EDF" w:rsidRDefault="00E27CDA">
      <w:pPr>
        <w:pStyle w:val="Corpodetexto"/>
      </w:pPr>
    </w:p>
    <w:p w14:paraId="0221D896" w14:textId="77777777" w:rsidR="00E27CDA" w:rsidRPr="00CE5EDF" w:rsidRDefault="00E27CDA">
      <w:pPr>
        <w:pStyle w:val="Corpodetexto"/>
      </w:pPr>
    </w:p>
    <w:p w14:paraId="0221D897" w14:textId="77777777" w:rsidR="00E27CDA" w:rsidRPr="00CE5EDF" w:rsidRDefault="00E27CDA">
      <w:pPr>
        <w:pStyle w:val="Corpodetexto"/>
      </w:pPr>
    </w:p>
    <w:p w14:paraId="0221D898" w14:textId="77777777" w:rsidR="00E27CDA" w:rsidRPr="00CE5EDF" w:rsidRDefault="00E27CDA">
      <w:pPr>
        <w:pStyle w:val="Corpodetexto"/>
      </w:pPr>
    </w:p>
    <w:p w14:paraId="0221D899" w14:textId="77777777" w:rsidR="00E27CDA" w:rsidRPr="00CE5EDF" w:rsidRDefault="00E27CDA">
      <w:pPr>
        <w:pStyle w:val="Corpodetexto"/>
        <w:spacing w:before="228"/>
      </w:pPr>
    </w:p>
    <w:p w14:paraId="0221D89A" w14:textId="77777777" w:rsidR="00E27CDA" w:rsidRPr="00CE5EDF" w:rsidRDefault="00002598">
      <w:pPr>
        <w:pStyle w:val="Corpodetexto"/>
        <w:spacing w:before="1"/>
        <w:ind w:left="19" w:right="148"/>
        <w:jc w:val="center"/>
      </w:pPr>
      <w:r w:rsidRPr="00CE5EDF">
        <w:rPr>
          <w:color w:val="010101"/>
        </w:rPr>
        <w:t>Accountant SEBASTIAN YOSHIZATO SOARES</w:t>
      </w:r>
    </w:p>
    <w:p w14:paraId="0221D89B" w14:textId="77777777" w:rsidR="00E27CDA" w:rsidRPr="00CE5EDF" w:rsidRDefault="00002598">
      <w:pPr>
        <w:pStyle w:val="Corpodetexto"/>
        <w:spacing w:before="242"/>
        <w:ind w:left="12" w:right="148"/>
        <w:jc w:val="center"/>
      </w:pPr>
      <w:r w:rsidRPr="00CE5EDF">
        <w:rPr>
          <w:color w:val="010101"/>
        </w:rPr>
        <w:t>President of the Institute of Independent Audit of Brazil (Ibracon)</w:t>
      </w:r>
    </w:p>
    <w:sectPr w:rsidR="00E27CDA" w:rsidRPr="00CE5EDF">
      <w:pgSz w:w="11910" w:h="16840"/>
      <w:pgMar w:top="1320" w:right="1559" w:bottom="280" w:left="1700" w:header="709" w:footer="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D8A1" w14:textId="77777777" w:rsidR="00002598" w:rsidRDefault="00002598">
      <w:r>
        <w:separator/>
      </w:r>
    </w:p>
  </w:endnote>
  <w:endnote w:type="continuationSeparator" w:id="0">
    <w:p w14:paraId="0221D8A3" w14:textId="77777777" w:rsidR="00002598" w:rsidRDefault="0000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D89D" w14:textId="77777777" w:rsidR="00002598" w:rsidRDefault="00002598">
      <w:r>
        <w:separator/>
      </w:r>
    </w:p>
  </w:footnote>
  <w:footnote w:type="continuationSeparator" w:id="0">
    <w:p w14:paraId="0221D89F" w14:textId="77777777" w:rsidR="00002598" w:rsidRDefault="0000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D89C" w14:textId="77777777" w:rsidR="00E27CDA" w:rsidRDefault="00002598">
    <w:pPr>
      <w:pStyle w:val="Corpodetexto"/>
      <w:spacing w:line="14" w:lineRule="auto"/>
      <w:rPr>
        <w:sz w:val="20"/>
      </w:rPr>
    </w:pPr>
    <w:r>
      <w:rPr>
        <w:noProof/>
        <w:sz w:val="20"/>
      </w:rPr>
      <mc:AlternateContent>
        <mc:Choice Requires="wps">
          <w:drawing>
            <wp:anchor distT="0" distB="0" distL="0" distR="0" simplePos="0" relativeHeight="487525376" behindDoc="1" locked="0" layoutInCell="1" allowOverlap="1" wp14:anchorId="0221D89D" wp14:editId="0221D89E">
              <wp:simplePos x="0" y="0"/>
              <wp:positionH relativeFrom="page">
                <wp:posOffset>6371880</wp:posOffset>
              </wp:positionH>
              <wp:positionV relativeFrom="page">
                <wp:posOffset>437432</wp:posOffset>
              </wp:positionV>
              <wp:extent cx="17399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82245"/>
                      </a:xfrm>
                      <a:prstGeom prst="rect">
                        <a:avLst/>
                      </a:prstGeom>
                    </wps:spPr>
                    <wps:txbx>
                      <w:txbxContent>
                        <w:p w14:paraId="0221D89F" w14:textId="77777777" w:rsidR="00E27CDA" w:rsidRDefault="00002598">
                          <w:pPr>
                            <w:spacing w:before="22"/>
                            <w:ind w:left="65"/>
                            <w:rPr>
                              <w:sz w:val="21"/>
                            </w:rPr>
                          </w:pPr>
                          <w:r>
                            <w:rPr>
                              <w:color w:val="010101"/>
                              <w:sz w:val="21"/>
                            </w:rPr>
                            <w:fldChar w:fldCharType="begin"/>
                          </w:r>
                          <w:r>
                            <w:rPr>
                              <w:color w:val="010101"/>
                              <w:sz w:val="21"/>
                            </w:rPr>
                            <w:instrText xml:space="preserve"> PAGE </w:instrText>
                          </w:r>
                          <w:r>
                            <w:rPr>
                              <w:color w:val="010101"/>
                              <w:sz w:val="21"/>
                            </w:rPr>
                            <w:fldChar w:fldCharType="separate"/>
                          </w:r>
                          <w:r>
                            <w:rPr>
                              <w:color w:val="010101"/>
                              <w:sz w:val="21"/>
                            </w:rPr>
                            <w:t>3</w:t>
                          </w:r>
                          <w:r>
                            <w:rPr>
                              <w:color w:val="010101"/>
                              <w:sz w:val="21"/>
                            </w:rPr>
                            <w:fldChar w:fldCharType="end"/>
                          </w:r>
                        </w:p>
                      </w:txbxContent>
                    </wps:txbx>
                    <wps:bodyPr wrap="square" lIns="0" tIns="0" rIns="0" bIns="0" rtlCol="0">
                      <a:noAutofit/>
                    </wps:bodyPr>
                  </wps:wsp>
                </a:graphicData>
              </a:graphic>
            </wp:anchor>
          </w:drawing>
        </mc:Choice>
        <mc:Fallback>
          <w:pict>
            <v:shapetype w14:anchorId="0221D89D" id="_x0000_t202" coordsize="21600,21600" o:spt="202" path="m,l,21600r21600,l21600,xe">
              <v:stroke joinstyle="miter"/>
              <v:path gradientshapeok="t" o:connecttype="rect"/>
            </v:shapetype>
            <v:shape id="Textbox 1" o:spid="_x0000_s1026" type="#_x0000_t202" style="position:absolute;margin-left:501.7pt;margin-top:34.45pt;width:13.7pt;height:14.3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" filled="f" stroked="f">
              <v:textbox inset="0,0,0,0">
                <w:txbxContent>
                  <w:p w14:paraId="0221D89F" w14:textId="77777777" w:rsidR="00E27CDA" w:rsidRDefault="00002598">
                    <w:pPr>
                      <w:spacing w:before="22"/>
                      <w:ind w:left="65"/>
                      <w:rPr>
                        <w:sz w:val="21"/>
                      </w:rPr>
                    </w:pPr>
                    <w:r>
                      <w:rPr>
                        <w:color w:val="010101"/>
                        <w:sz w:val="21"/>
                      </w:rPr>
                      <w:fldChar w:fldCharType="begin"/>
                    </w:r>
                    <w:r>
                      <w:rPr>
                        <w:color w:val="010101"/>
                        <w:sz w:val="21"/>
                      </w:rPr>
                      <w:instrText xml:space="preserve"> PAGE </w:instrText>
                    </w:r>
                    <w:r>
                      <w:rPr>
                        <w:color w:val="010101"/>
                        <w:sz w:val="21"/>
                      </w:rPr>
                      <w:fldChar w:fldCharType="separate"/>
                    </w:r>
                    <w:r>
                      <w:rPr>
                        <w:color w:val="010101"/>
                        <w:sz w:val="21"/>
                      </w:rPr>
                      <w:t>3</w:t>
                    </w:r>
                    <w:r>
                      <w:rPr>
                        <w:color w:val="010101"/>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13339"/>
    <w:multiLevelType w:val="hybridMultilevel"/>
    <w:tmpl w:val="6744F33E"/>
    <w:lvl w:ilvl="0" w:tplc="52F8614C">
      <w:start w:val="1"/>
      <w:numFmt w:val="decimal"/>
      <w:lvlText w:val="%1."/>
      <w:lvlJc w:val="left"/>
      <w:pPr>
        <w:ind w:left="255" w:hanging="248"/>
        <w:jc w:val="left"/>
      </w:pPr>
      <w:rPr>
        <w:rFonts w:ascii="Arial" w:eastAsia="Arial" w:hAnsi="Arial" w:cs="Arial" w:hint="default"/>
        <w:b/>
        <w:bCs/>
        <w:i w:val="0"/>
        <w:iCs w:val="0"/>
        <w:color w:val="010101"/>
        <w:spacing w:val="-1"/>
        <w:w w:val="109"/>
        <w:sz w:val="22"/>
        <w:szCs w:val="22"/>
        <w:lang w:val="pt-PT" w:eastAsia="en-US" w:bidi="ar-SA"/>
      </w:rPr>
    </w:lvl>
    <w:lvl w:ilvl="1" w:tplc="084ED270">
      <w:numFmt w:val="bullet"/>
      <w:lvlText w:val="•"/>
      <w:lvlJc w:val="left"/>
      <w:pPr>
        <w:ind w:left="1098" w:hanging="248"/>
      </w:pPr>
      <w:rPr>
        <w:rFonts w:hint="default"/>
        <w:lang w:val="pt-PT" w:eastAsia="en-US" w:bidi="ar-SA"/>
      </w:rPr>
    </w:lvl>
    <w:lvl w:ilvl="2" w:tplc="BE20557E">
      <w:numFmt w:val="bullet"/>
      <w:lvlText w:val="•"/>
      <w:lvlJc w:val="left"/>
      <w:pPr>
        <w:ind w:left="1937" w:hanging="248"/>
      </w:pPr>
      <w:rPr>
        <w:rFonts w:hint="default"/>
        <w:lang w:val="pt-PT" w:eastAsia="en-US" w:bidi="ar-SA"/>
      </w:rPr>
    </w:lvl>
    <w:lvl w:ilvl="3" w:tplc="205E1F6C">
      <w:numFmt w:val="bullet"/>
      <w:lvlText w:val="•"/>
      <w:lvlJc w:val="left"/>
      <w:pPr>
        <w:ind w:left="2776" w:hanging="248"/>
      </w:pPr>
      <w:rPr>
        <w:rFonts w:hint="default"/>
        <w:lang w:val="pt-PT" w:eastAsia="en-US" w:bidi="ar-SA"/>
      </w:rPr>
    </w:lvl>
    <w:lvl w:ilvl="4" w:tplc="DC86A3AC">
      <w:numFmt w:val="bullet"/>
      <w:lvlText w:val="•"/>
      <w:lvlJc w:val="left"/>
      <w:pPr>
        <w:ind w:left="3614" w:hanging="248"/>
      </w:pPr>
      <w:rPr>
        <w:rFonts w:hint="default"/>
        <w:lang w:val="pt-PT" w:eastAsia="en-US" w:bidi="ar-SA"/>
      </w:rPr>
    </w:lvl>
    <w:lvl w:ilvl="5" w:tplc="9E2EE3F6">
      <w:numFmt w:val="bullet"/>
      <w:lvlText w:val="•"/>
      <w:lvlJc w:val="left"/>
      <w:pPr>
        <w:ind w:left="4453" w:hanging="248"/>
      </w:pPr>
      <w:rPr>
        <w:rFonts w:hint="default"/>
        <w:lang w:val="pt-PT" w:eastAsia="en-US" w:bidi="ar-SA"/>
      </w:rPr>
    </w:lvl>
    <w:lvl w:ilvl="6" w:tplc="F60A9706">
      <w:numFmt w:val="bullet"/>
      <w:lvlText w:val="•"/>
      <w:lvlJc w:val="left"/>
      <w:pPr>
        <w:ind w:left="5292" w:hanging="248"/>
      </w:pPr>
      <w:rPr>
        <w:rFonts w:hint="default"/>
        <w:lang w:val="pt-PT" w:eastAsia="en-US" w:bidi="ar-SA"/>
      </w:rPr>
    </w:lvl>
    <w:lvl w:ilvl="7" w:tplc="2B76C440">
      <w:numFmt w:val="bullet"/>
      <w:lvlText w:val="•"/>
      <w:lvlJc w:val="left"/>
      <w:pPr>
        <w:ind w:left="6131" w:hanging="248"/>
      </w:pPr>
      <w:rPr>
        <w:rFonts w:hint="default"/>
        <w:lang w:val="pt-PT" w:eastAsia="en-US" w:bidi="ar-SA"/>
      </w:rPr>
    </w:lvl>
    <w:lvl w:ilvl="8" w:tplc="73F6476A">
      <w:numFmt w:val="bullet"/>
      <w:lvlText w:val="•"/>
      <w:lvlJc w:val="left"/>
      <w:pPr>
        <w:ind w:left="6969" w:hanging="248"/>
      </w:pPr>
      <w:rPr>
        <w:rFonts w:hint="default"/>
        <w:lang w:val="pt-PT" w:eastAsia="en-US" w:bidi="ar-SA"/>
      </w:rPr>
    </w:lvl>
  </w:abstractNum>
  <w:num w:numId="1" w16cid:durableId="18383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DA"/>
    <w:rsid w:val="00002598"/>
    <w:rsid w:val="00566B32"/>
    <w:rsid w:val="005E5BE0"/>
    <w:rsid w:val="006775BF"/>
    <w:rsid w:val="00791A2E"/>
    <w:rsid w:val="00AB3949"/>
    <w:rsid w:val="00AF7B85"/>
    <w:rsid w:val="00C10BA0"/>
    <w:rsid w:val="00C90EEB"/>
    <w:rsid w:val="00CE5EDF"/>
    <w:rsid w:val="00E27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D846"/>
  <w15:docId w15:val="{F47E9726-D1A8-4598-9567-62032F8D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52"/>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52" w:hanging="2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d2b127-0b45-472b-990c-23b678b0cf8e" xsi:nil="true"/>
    <lcf76f155ced4ddcb4097134ff3c332f xmlns="61644e55-410c-45ec-b6f5-aefddb5f6b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7D108C5ACC76342BE6C684C13725A14" ma:contentTypeVersion="14" ma:contentTypeDescription="Crie um novo documento." ma:contentTypeScope="" ma:versionID="7a72bb3cffc3e4523688f6f51def1801">
  <xsd:schema xmlns:xsd="http://www.w3.org/2001/XMLSchema" xmlns:xs="http://www.w3.org/2001/XMLSchema" xmlns:p="http://schemas.microsoft.com/office/2006/metadata/properties" xmlns:ns2="61644e55-410c-45ec-b6f5-aefddb5f6b04" xmlns:ns3="e4d2b127-0b45-472b-990c-23b678b0cf8e" targetNamespace="http://schemas.microsoft.com/office/2006/metadata/properties" ma:root="true" ma:fieldsID="2bd788a390570303654b6ecf3ad99b6f" ns2:_="" ns3:_="">
    <xsd:import namespace="61644e55-410c-45ec-b6f5-aefddb5f6b04"/>
    <xsd:import namespace="e4d2b127-0b45-472b-990c-23b678b0cf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4e55-410c-45ec-b6f5-aefddb5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aafeb488-6f78-46bd-a7cb-2a9e53bd16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2b127-0b45-472b-990c-23b678b0cf8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b6922b-557a-4769-87d8-5b961576e39b}" ma:internalName="TaxCatchAll" ma:showField="CatchAllData" ma:web="e4d2b127-0b45-472b-990c-23b678b0c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7A5AE-50D8-439A-81DC-F65D6FE59CCD}">
  <ds:schemaRefs>
    <ds:schemaRef ds:uri="http://schemas.microsoft.com/office/2006/metadata/properties"/>
    <ds:schemaRef ds:uri="http://schemas.microsoft.com/office/infopath/2007/PartnerControls"/>
    <ds:schemaRef ds:uri="3b0f53da-55c0-4072-9153-a7883f4c6a28"/>
    <ds:schemaRef ds:uri="e4d2b127-0b45-472b-990c-23b678b0cf8e"/>
    <ds:schemaRef ds:uri="61644e55-410c-45ec-b6f5-aefddb5f6b04"/>
  </ds:schemaRefs>
</ds:datastoreItem>
</file>

<file path=customXml/itemProps2.xml><?xml version="1.0" encoding="utf-8"?>
<ds:datastoreItem xmlns:ds="http://schemas.openxmlformats.org/officeDocument/2006/customXml" ds:itemID="{1847148C-8748-4CE4-ACAD-FD2BA53E9234}">
  <ds:schemaRefs>
    <ds:schemaRef ds:uri="http://schemas.microsoft.com/sharepoint/v3/contenttype/forms"/>
  </ds:schemaRefs>
</ds:datastoreItem>
</file>

<file path=customXml/itemProps3.xml><?xml version="1.0" encoding="utf-8"?>
<ds:datastoreItem xmlns:ds="http://schemas.openxmlformats.org/officeDocument/2006/customXml" ds:itemID="{35DAA6E0-DCCA-428A-AB9A-B7BB3834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4e55-410c-45ec-b6f5-aefddb5f6b04"/>
    <ds:schemaRef ds:uri="e4d2b127-0b45-472b-990c-23b678b0c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4486</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Carta de Posicionamento.pdf</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Posicionamento.pdf</dc:title>
  <dc:creator>Lorena Maria de Azevedo Molter da Silva</dc:creator>
  <cp:lastModifiedBy>Ana Paula Rego</cp:lastModifiedBy>
  <cp:revision>2</cp:revision>
  <cp:lastPrinted>2025-11-17T12:25:00Z</cp:lastPrinted>
  <dcterms:created xsi:type="dcterms:W3CDTF">2025-11-17T13:04:00Z</dcterms:created>
  <dcterms:modified xsi:type="dcterms:W3CDTF">2025-11-17T13:04:00Z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2025-11-14T00:00:00Z</vt:filetime>
  </property>
  <property fmtid="{D5CDD505-2E9C-101B-9397-08002B2CF9AE}" pid="4" name="Producer">
    <vt:lpwstr>Microsoft: Print To PDF</vt:lpwstr>
  </property>
  <property fmtid="{D5CDD505-2E9C-101B-9397-08002B2CF9AE}" pid="5" name="ContentTypeId">
    <vt:lpwstr>0x01010037D108C5ACC76342BE6C684C13725A14</vt:lpwstr>
  </property>
  <property fmtid="{D5CDD505-2E9C-101B-9397-08002B2CF9AE}" pid="6" name="MediaServiceImageTags">
    <vt:lpwstr/>
  </property>
</Properties>
</file>