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6C5" w14:textId="036C3CC0" w:rsidR="00507F8C" w:rsidRPr="00484D3B" w:rsidRDefault="00507F8C" w:rsidP="00126599">
      <w:pPr>
        <w:spacing w:after="0"/>
        <w:jc w:val="center"/>
        <w:rPr>
          <w:rFonts w:asciiTheme="majorHAnsi" w:hAnsiTheme="majorHAnsi" w:cstheme="majorHAnsi"/>
          <w:b/>
          <w:bCs/>
          <w:szCs w:val="24"/>
        </w:rPr>
      </w:pPr>
      <w:r w:rsidRPr="00484D3B">
        <w:rPr>
          <w:rFonts w:asciiTheme="majorHAnsi" w:hAnsiTheme="majorHAnsi" w:cstheme="majorHAnsi"/>
          <w:b/>
          <w:bCs/>
          <w:szCs w:val="24"/>
        </w:rPr>
        <w:t xml:space="preserve">NORMA BRASILEIRA DE CONTABILIDADE, NBC </w:t>
      </w:r>
      <w:r w:rsidR="00BF3A3E" w:rsidRPr="00484D3B">
        <w:rPr>
          <w:rFonts w:asciiTheme="majorHAnsi" w:hAnsiTheme="majorHAnsi" w:cstheme="majorHAnsi"/>
          <w:b/>
          <w:bCs/>
          <w:szCs w:val="24"/>
        </w:rPr>
        <w:t>TSP</w:t>
      </w:r>
      <w:r w:rsidR="000403A9" w:rsidRPr="00484D3B">
        <w:rPr>
          <w:rFonts w:asciiTheme="majorHAnsi" w:hAnsiTheme="majorHAnsi" w:cstheme="majorHAnsi"/>
          <w:b/>
          <w:bCs/>
          <w:szCs w:val="24"/>
        </w:rPr>
        <w:t xml:space="preserve"> </w:t>
      </w:r>
      <w:r w:rsidR="00484D3B">
        <w:rPr>
          <w:rFonts w:asciiTheme="majorHAnsi" w:hAnsiTheme="majorHAnsi" w:cstheme="majorHAnsi"/>
          <w:b/>
          <w:bCs/>
          <w:szCs w:val="24"/>
        </w:rPr>
        <w:t>19</w:t>
      </w:r>
      <w:r w:rsidR="006C391D">
        <w:rPr>
          <w:rFonts w:asciiTheme="majorHAnsi" w:hAnsiTheme="majorHAnsi" w:cstheme="majorHAnsi"/>
          <w:b/>
          <w:bCs/>
          <w:szCs w:val="24"/>
        </w:rPr>
        <w:t xml:space="preserve"> </w:t>
      </w:r>
      <w:r w:rsidR="006C391D" w:rsidRPr="006C391D">
        <w:rPr>
          <w:rFonts w:asciiTheme="majorHAnsi" w:hAnsiTheme="majorHAnsi" w:cstheme="majorHAnsi"/>
          <w:b/>
          <w:bCs/>
          <w:szCs w:val="24"/>
        </w:rPr>
        <w:t>(R1)</w:t>
      </w:r>
      <w:r w:rsidR="00BF3A3E" w:rsidRPr="00484D3B">
        <w:rPr>
          <w:rFonts w:asciiTheme="majorHAnsi" w:hAnsiTheme="majorHAnsi" w:cstheme="majorHAnsi"/>
          <w:b/>
          <w:bCs/>
          <w:szCs w:val="24"/>
        </w:rPr>
        <w:t>,</w:t>
      </w:r>
      <w:r w:rsidRPr="00484D3B">
        <w:rPr>
          <w:rFonts w:asciiTheme="majorHAnsi" w:hAnsiTheme="majorHAnsi" w:cstheme="majorHAnsi"/>
          <w:b/>
          <w:bCs/>
          <w:szCs w:val="24"/>
        </w:rPr>
        <w:t xml:space="preserve"> DE </w:t>
      </w:r>
      <w:r w:rsidR="000403A9" w:rsidRPr="00484D3B">
        <w:rPr>
          <w:rFonts w:asciiTheme="majorHAnsi" w:hAnsiTheme="majorHAnsi" w:cstheme="majorHAnsi"/>
          <w:b/>
          <w:bCs/>
          <w:szCs w:val="24"/>
        </w:rPr>
        <w:t>XX</w:t>
      </w:r>
      <w:r w:rsidRPr="00484D3B">
        <w:rPr>
          <w:rFonts w:asciiTheme="majorHAnsi" w:hAnsiTheme="majorHAnsi" w:cstheme="majorHAnsi"/>
          <w:b/>
          <w:bCs/>
          <w:szCs w:val="24"/>
        </w:rPr>
        <w:t xml:space="preserve"> DE </w:t>
      </w:r>
      <w:r w:rsidR="000403A9" w:rsidRPr="00484D3B">
        <w:rPr>
          <w:rFonts w:asciiTheme="majorHAnsi" w:hAnsiTheme="majorHAnsi" w:cstheme="majorHAnsi"/>
          <w:b/>
          <w:bCs/>
          <w:szCs w:val="24"/>
        </w:rPr>
        <w:t>XXXXX</w:t>
      </w:r>
      <w:r w:rsidRPr="00484D3B">
        <w:rPr>
          <w:rFonts w:asciiTheme="majorHAnsi" w:hAnsiTheme="majorHAnsi" w:cstheme="majorHAnsi"/>
          <w:b/>
          <w:bCs/>
          <w:szCs w:val="24"/>
        </w:rPr>
        <w:t xml:space="preserve"> DE 202</w:t>
      </w:r>
      <w:r w:rsidR="008F75DB" w:rsidRPr="00484D3B">
        <w:rPr>
          <w:rFonts w:asciiTheme="majorHAnsi" w:hAnsiTheme="majorHAnsi" w:cstheme="majorHAnsi"/>
          <w:b/>
          <w:bCs/>
          <w:szCs w:val="24"/>
        </w:rPr>
        <w:t>5</w:t>
      </w:r>
    </w:p>
    <w:p w14:paraId="5C6F1D8F" w14:textId="77777777" w:rsidR="00507F8C" w:rsidRPr="00484D3B" w:rsidRDefault="00507F8C" w:rsidP="00126599">
      <w:pPr>
        <w:spacing w:after="0"/>
        <w:jc w:val="center"/>
        <w:rPr>
          <w:rFonts w:asciiTheme="majorHAnsi" w:hAnsiTheme="majorHAnsi" w:cstheme="majorHAnsi"/>
          <w:b/>
          <w:bCs/>
          <w:szCs w:val="24"/>
        </w:rPr>
      </w:pPr>
    </w:p>
    <w:p w14:paraId="2DCDE76B" w14:textId="1CC5B581" w:rsidR="00507F8C" w:rsidRPr="00484D3B" w:rsidRDefault="00507F8C" w:rsidP="00126599">
      <w:pPr>
        <w:spacing w:after="0"/>
        <w:ind w:left="3540" w:firstLine="708"/>
        <w:jc w:val="right"/>
        <w:rPr>
          <w:rFonts w:asciiTheme="majorHAnsi" w:hAnsiTheme="majorHAnsi" w:cstheme="majorHAnsi"/>
          <w:b/>
          <w:bCs/>
          <w:i/>
          <w:iCs/>
          <w:szCs w:val="24"/>
        </w:rPr>
      </w:pPr>
      <w:r w:rsidRPr="00484D3B">
        <w:rPr>
          <w:rFonts w:asciiTheme="majorHAnsi" w:hAnsiTheme="majorHAnsi" w:cstheme="majorHAnsi"/>
          <w:b/>
          <w:bCs/>
          <w:i/>
          <w:iCs/>
          <w:szCs w:val="24"/>
        </w:rPr>
        <w:t xml:space="preserve">Aprova a NBC </w:t>
      </w:r>
      <w:r w:rsidR="00BF3A3E" w:rsidRPr="00484D3B">
        <w:rPr>
          <w:rFonts w:asciiTheme="majorHAnsi" w:hAnsiTheme="majorHAnsi" w:cstheme="majorHAnsi"/>
          <w:b/>
          <w:bCs/>
          <w:i/>
          <w:iCs/>
          <w:szCs w:val="24"/>
        </w:rPr>
        <w:t xml:space="preserve">TSP </w:t>
      </w:r>
      <w:r w:rsidR="00484D3B">
        <w:rPr>
          <w:rFonts w:asciiTheme="majorHAnsi" w:hAnsiTheme="majorHAnsi" w:cstheme="majorHAnsi"/>
          <w:b/>
          <w:bCs/>
          <w:i/>
          <w:iCs/>
          <w:szCs w:val="24"/>
        </w:rPr>
        <w:t>19</w:t>
      </w:r>
      <w:r w:rsidR="006C391D">
        <w:rPr>
          <w:rFonts w:asciiTheme="majorHAnsi" w:hAnsiTheme="majorHAnsi" w:cstheme="majorHAnsi"/>
          <w:b/>
          <w:bCs/>
          <w:i/>
          <w:iCs/>
          <w:szCs w:val="24"/>
        </w:rPr>
        <w:t xml:space="preserve"> </w:t>
      </w:r>
      <w:r w:rsidR="006C391D" w:rsidRPr="006C391D">
        <w:rPr>
          <w:rFonts w:asciiTheme="majorHAnsi" w:hAnsiTheme="majorHAnsi" w:cstheme="majorHAnsi"/>
          <w:b/>
          <w:bCs/>
          <w:i/>
          <w:iCs/>
          <w:szCs w:val="24"/>
        </w:rPr>
        <w:t>(R1)</w:t>
      </w:r>
      <w:r w:rsidR="00FA6EEE" w:rsidRPr="00484D3B">
        <w:rPr>
          <w:rFonts w:asciiTheme="majorHAnsi" w:hAnsiTheme="majorHAnsi" w:cstheme="majorHAnsi"/>
          <w:b/>
          <w:bCs/>
          <w:i/>
          <w:iCs/>
          <w:szCs w:val="24"/>
        </w:rPr>
        <w:t xml:space="preserve"> </w:t>
      </w:r>
      <w:r w:rsidR="00484D3B">
        <w:rPr>
          <w:rFonts w:asciiTheme="majorHAnsi" w:hAnsiTheme="majorHAnsi" w:cstheme="majorHAnsi"/>
          <w:b/>
          <w:bCs/>
          <w:i/>
          <w:iCs/>
          <w:szCs w:val="24"/>
        </w:rPr>
        <w:t>–</w:t>
      </w:r>
      <w:r w:rsidR="00BF3A3E" w:rsidRPr="00484D3B">
        <w:rPr>
          <w:rFonts w:asciiTheme="majorHAnsi" w:hAnsiTheme="majorHAnsi" w:cstheme="majorHAnsi"/>
          <w:b/>
          <w:bCs/>
          <w:i/>
          <w:iCs/>
          <w:szCs w:val="24"/>
        </w:rPr>
        <w:t xml:space="preserve"> </w:t>
      </w:r>
      <w:r w:rsidR="00484D3B">
        <w:rPr>
          <w:rFonts w:asciiTheme="majorHAnsi" w:hAnsiTheme="majorHAnsi" w:cstheme="majorHAnsi"/>
          <w:b/>
          <w:bCs/>
          <w:i/>
          <w:iCs/>
          <w:szCs w:val="24"/>
        </w:rPr>
        <w:t>Acordos em conjunto</w:t>
      </w:r>
      <w:r w:rsidR="000403A9" w:rsidRPr="00484D3B">
        <w:rPr>
          <w:rFonts w:asciiTheme="majorHAnsi" w:hAnsiTheme="majorHAnsi" w:cstheme="majorHAnsi"/>
          <w:b/>
          <w:bCs/>
          <w:i/>
          <w:iCs/>
          <w:szCs w:val="24"/>
        </w:rPr>
        <w:t>.</w:t>
      </w:r>
    </w:p>
    <w:p w14:paraId="4F33BFFF" w14:textId="77777777" w:rsidR="00507F8C" w:rsidRPr="00484D3B" w:rsidRDefault="00507F8C" w:rsidP="00126599">
      <w:pPr>
        <w:spacing w:after="0"/>
        <w:jc w:val="right"/>
        <w:rPr>
          <w:rFonts w:asciiTheme="majorHAnsi" w:hAnsiTheme="majorHAnsi" w:cstheme="majorHAnsi"/>
          <w:b/>
          <w:bCs/>
          <w:i/>
          <w:iCs/>
          <w:szCs w:val="24"/>
        </w:rPr>
      </w:pPr>
    </w:p>
    <w:p w14:paraId="47B9122B" w14:textId="77777777" w:rsidR="00484D3B" w:rsidRPr="00484D3B" w:rsidRDefault="00484D3B" w:rsidP="00484D3B">
      <w:pPr>
        <w:spacing w:after="0"/>
        <w:ind w:firstLine="567"/>
        <w:jc w:val="both"/>
        <w:rPr>
          <w:rFonts w:asciiTheme="majorHAnsi" w:hAnsiTheme="majorHAnsi" w:cstheme="majorHAnsi"/>
          <w:szCs w:val="24"/>
        </w:rPr>
      </w:pPr>
      <w:r w:rsidRPr="00484D3B">
        <w:rPr>
          <w:rFonts w:asciiTheme="majorHAnsi" w:hAnsiTheme="majorHAnsi" w:cstheme="majorHAnsi"/>
          <w:szCs w:val="24"/>
        </w:rPr>
        <w:t xml:space="preserve">O </w:t>
      </w:r>
      <w:r w:rsidRPr="00484D3B">
        <w:rPr>
          <w:rFonts w:asciiTheme="majorHAnsi" w:hAnsiTheme="majorHAnsi" w:cstheme="majorHAnsi"/>
          <w:b/>
          <w:szCs w:val="24"/>
        </w:rPr>
        <w:t>CONSELHO FEDERAL DE CONTABILIDADE</w:t>
      </w:r>
      <w:r w:rsidRPr="00484D3B">
        <w:rPr>
          <w:rFonts w:asciiTheme="majorHAnsi" w:hAnsiTheme="majorHAnsi" w:cstheme="majorHAnsi"/>
          <w:szCs w:val="24"/>
        </w:rPr>
        <w:t xml:space="preserve">, no exercício de suas atribuições legais e regimentais e com fundamento no disposto na alínea “f” do art. 6º do Decreto-Lei nº 9.295, de 27 de maio de 1946, alterado pela Lei nº 12.249, de 11 de junho de 2010, alinhado com o processo de convergência das Normas Brasileiras de Contabilidade e conforme acordo firmado com </w:t>
      </w:r>
      <w:r w:rsidRPr="00484D3B">
        <w:rPr>
          <w:rFonts w:asciiTheme="majorHAnsi" w:hAnsiTheme="majorHAnsi" w:cstheme="majorHAnsi"/>
          <w:i/>
          <w:iCs/>
          <w:szCs w:val="24"/>
        </w:rPr>
        <w:t xml:space="preserve">a </w:t>
      </w:r>
      <w:proofErr w:type="spellStart"/>
      <w:r w:rsidRPr="00484D3B">
        <w:rPr>
          <w:rFonts w:asciiTheme="majorHAnsi" w:hAnsiTheme="majorHAnsi" w:cstheme="majorHAnsi"/>
          <w:i/>
          <w:iCs/>
          <w:szCs w:val="24"/>
        </w:rPr>
        <w:t>International</w:t>
      </w:r>
      <w:proofErr w:type="spellEnd"/>
      <w:r w:rsidRPr="00484D3B">
        <w:rPr>
          <w:rFonts w:asciiTheme="majorHAnsi" w:hAnsiTheme="majorHAnsi" w:cstheme="majorHAnsi"/>
          <w:i/>
          <w:iCs/>
          <w:szCs w:val="24"/>
        </w:rPr>
        <w:t xml:space="preserve"> Federation </w:t>
      </w:r>
      <w:proofErr w:type="spellStart"/>
      <w:r w:rsidRPr="00484D3B">
        <w:rPr>
          <w:rFonts w:asciiTheme="majorHAnsi" w:hAnsiTheme="majorHAnsi" w:cstheme="majorHAnsi"/>
          <w:i/>
          <w:iCs/>
          <w:szCs w:val="24"/>
        </w:rPr>
        <w:t>of</w:t>
      </w:r>
      <w:proofErr w:type="spellEnd"/>
      <w:r w:rsidRPr="00484D3B">
        <w:rPr>
          <w:rFonts w:asciiTheme="majorHAnsi" w:hAnsiTheme="majorHAnsi" w:cstheme="majorHAnsi"/>
          <w:i/>
          <w:iCs/>
          <w:szCs w:val="24"/>
        </w:rPr>
        <w:t xml:space="preserve"> </w:t>
      </w:r>
      <w:proofErr w:type="spellStart"/>
      <w:r w:rsidRPr="00484D3B">
        <w:rPr>
          <w:rFonts w:asciiTheme="majorHAnsi" w:hAnsiTheme="majorHAnsi" w:cstheme="majorHAnsi"/>
          <w:i/>
          <w:iCs/>
          <w:szCs w:val="24"/>
        </w:rPr>
        <w:t>Accountants</w:t>
      </w:r>
      <w:proofErr w:type="spellEnd"/>
      <w:r w:rsidRPr="00484D3B">
        <w:rPr>
          <w:rFonts w:asciiTheme="majorHAnsi" w:hAnsiTheme="majorHAnsi" w:cstheme="majorHAnsi"/>
          <w:szCs w:val="24"/>
        </w:rPr>
        <w:t xml:space="preserve"> (</w:t>
      </w:r>
      <w:proofErr w:type="spellStart"/>
      <w:r w:rsidRPr="00484D3B">
        <w:rPr>
          <w:rFonts w:asciiTheme="majorHAnsi" w:hAnsiTheme="majorHAnsi" w:cstheme="majorHAnsi"/>
          <w:szCs w:val="24"/>
        </w:rPr>
        <w:t>Ifac</w:t>
      </w:r>
      <w:proofErr w:type="spellEnd"/>
      <w:r w:rsidRPr="00484D3B">
        <w:rPr>
          <w:rFonts w:asciiTheme="majorHAnsi" w:hAnsiTheme="majorHAnsi" w:cstheme="majorHAnsi"/>
          <w:szCs w:val="24"/>
        </w:rPr>
        <w:t xml:space="preserve">), que autoriza o CFC a traduzir, reproduzir e publicar as normas internacionais em formato eletrônico, faz saber que foi aprovada, em seu Plenário, a seguinte Norma Brasileira de Contabilidade (NBC), em consonância com a IPSAS 37 – </w:t>
      </w:r>
      <w:r w:rsidRPr="00484D3B">
        <w:rPr>
          <w:rFonts w:asciiTheme="majorHAnsi" w:hAnsiTheme="majorHAnsi" w:cstheme="majorHAnsi"/>
          <w:i/>
          <w:szCs w:val="24"/>
        </w:rPr>
        <w:t xml:space="preserve">Joint </w:t>
      </w:r>
      <w:proofErr w:type="spellStart"/>
      <w:r w:rsidRPr="00484D3B">
        <w:rPr>
          <w:rFonts w:asciiTheme="majorHAnsi" w:hAnsiTheme="majorHAnsi" w:cstheme="majorHAnsi"/>
          <w:i/>
          <w:szCs w:val="24"/>
        </w:rPr>
        <w:t>Arrangements</w:t>
      </w:r>
      <w:proofErr w:type="spellEnd"/>
      <w:r w:rsidRPr="00484D3B">
        <w:rPr>
          <w:rFonts w:asciiTheme="majorHAnsi" w:hAnsiTheme="majorHAnsi" w:cstheme="majorHAnsi"/>
          <w:szCs w:val="24"/>
        </w:rPr>
        <w:t xml:space="preserve">, editada pelo </w:t>
      </w:r>
      <w:proofErr w:type="spellStart"/>
      <w:r w:rsidRPr="00484D3B">
        <w:rPr>
          <w:rFonts w:asciiTheme="majorHAnsi" w:hAnsiTheme="majorHAnsi" w:cstheme="majorHAnsi"/>
          <w:i/>
          <w:szCs w:val="24"/>
        </w:rPr>
        <w:t>International</w:t>
      </w:r>
      <w:proofErr w:type="spellEnd"/>
      <w:r w:rsidRPr="00484D3B">
        <w:rPr>
          <w:rFonts w:asciiTheme="majorHAnsi" w:hAnsiTheme="majorHAnsi" w:cstheme="majorHAnsi"/>
          <w:i/>
          <w:szCs w:val="24"/>
        </w:rPr>
        <w:t xml:space="preserve"> </w:t>
      </w:r>
      <w:proofErr w:type="spellStart"/>
      <w:r w:rsidRPr="00484D3B">
        <w:rPr>
          <w:rFonts w:asciiTheme="majorHAnsi" w:hAnsiTheme="majorHAnsi" w:cstheme="majorHAnsi"/>
          <w:i/>
          <w:szCs w:val="24"/>
        </w:rPr>
        <w:t>Public</w:t>
      </w:r>
      <w:proofErr w:type="spellEnd"/>
      <w:r w:rsidRPr="00484D3B">
        <w:rPr>
          <w:rFonts w:asciiTheme="majorHAnsi" w:hAnsiTheme="majorHAnsi" w:cstheme="majorHAnsi"/>
          <w:i/>
          <w:szCs w:val="24"/>
        </w:rPr>
        <w:t xml:space="preserve"> Sector Accounting Standards Board </w:t>
      </w:r>
      <w:r w:rsidRPr="00484D3B">
        <w:rPr>
          <w:rFonts w:asciiTheme="majorHAnsi" w:hAnsiTheme="majorHAnsi" w:cstheme="majorHAnsi"/>
          <w:szCs w:val="24"/>
        </w:rPr>
        <w:t xml:space="preserve">da </w:t>
      </w:r>
      <w:proofErr w:type="spellStart"/>
      <w:r w:rsidRPr="00484D3B">
        <w:rPr>
          <w:rFonts w:asciiTheme="majorHAnsi" w:hAnsiTheme="majorHAnsi" w:cstheme="majorHAnsi"/>
          <w:i/>
          <w:szCs w:val="24"/>
        </w:rPr>
        <w:t>International</w:t>
      </w:r>
      <w:proofErr w:type="spellEnd"/>
      <w:r w:rsidRPr="00484D3B">
        <w:rPr>
          <w:rFonts w:asciiTheme="majorHAnsi" w:hAnsiTheme="majorHAnsi" w:cstheme="majorHAnsi"/>
          <w:i/>
          <w:szCs w:val="24"/>
        </w:rPr>
        <w:t xml:space="preserve"> Federation </w:t>
      </w:r>
      <w:proofErr w:type="spellStart"/>
      <w:r w:rsidRPr="00484D3B">
        <w:rPr>
          <w:rFonts w:asciiTheme="majorHAnsi" w:hAnsiTheme="majorHAnsi" w:cstheme="majorHAnsi"/>
          <w:i/>
          <w:szCs w:val="24"/>
        </w:rPr>
        <w:t>of</w:t>
      </w:r>
      <w:proofErr w:type="spellEnd"/>
      <w:r w:rsidRPr="00484D3B">
        <w:rPr>
          <w:rFonts w:asciiTheme="majorHAnsi" w:hAnsiTheme="majorHAnsi" w:cstheme="majorHAnsi"/>
          <w:i/>
          <w:szCs w:val="24"/>
        </w:rPr>
        <w:t xml:space="preserve"> </w:t>
      </w:r>
      <w:proofErr w:type="spellStart"/>
      <w:r w:rsidRPr="00484D3B">
        <w:rPr>
          <w:rFonts w:asciiTheme="majorHAnsi" w:hAnsiTheme="majorHAnsi" w:cstheme="majorHAnsi"/>
          <w:i/>
          <w:szCs w:val="24"/>
        </w:rPr>
        <w:t>Accountants</w:t>
      </w:r>
      <w:proofErr w:type="spellEnd"/>
      <w:r w:rsidRPr="00484D3B">
        <w:rPr>
          <w:rFonts w:asciiTheme="majorHAnsi" w:hAnsiTheme="majorHAnsi" w:cstheme="majorHAnsi"/>
          <w:szCs w:val="24"/>
        </w:rPr>
        <w:t xml:space="preserve"> (IPSASB/</w:t>
      </w:r>
      <w:proofErr w:type="spellStart"/>
      <w:r w:rsidRPr="00484D3B">
        <w:rPr>
          <w:rFonts w:asciiTheme="majorHAnsi" w:hAnsiTheme="majorHAnsi" w:cstheme="majorHAnsi"/>
          <w:szCs w:val="24"/>
        </w:rPr>
        <w:t>Ifac</w:t>
      </w:r>
      <w:proofErr w:type="spellEnd"/>
      <w:r w:rsidRPr="00484D3B">
        <w:rPr>
          <w:rFonts w:asciiTheme="majorHAnsi" w:hAnsiTheme="majorHAnsi" w:cstheme="majorHAnsi"/>
          <w:szCs w:val="24"/>
        </w:rPr>
        <w:t xml:space="preserve">) e revisada de acordo com o </w:t>
      </w:r>
      <w:r w:rsidRPr="00484D3B">
        <w:rPr>
          <w:rFonts w:asciiTheme="majorHAnsi" w:hAnsiTheme="majorHAnsi" w:cstheme="majorHAnsi"/>
          <w:i/>
          <w:iCs/>
          <w:szCs w:val="24"/>
        </w:rPr>
        <w:t>IPSAS-HANDBOOK</w:t>
      </w:r>
      <w:r w:rsidRPr="00484D3B">
        <w:rPr>
          <w:rFonts w:asciiTheme="majorHAnsi" w:hAnsiTheme="majorHAnsi" w:cstheme="majorHAnsi"/>
          <w:szCs w:val="24"/>
        </w:rPr>
        <w:t xml:space="preserve"> 202X:</w:t>
      </w:r>
    </w:p>
    <w:p w14:paraId="7B98D1CA" w14:textId="77777777" w:rsidR="00212C05" w:rsidRPr="00484D3B" w:rsidRDefault="00212C05" w:rsidP="00126599">
      <w:pPr>
        <w:spacing w:after="0"/>
        <w:ind w:firstLine="720"/>
        <w:jc w:val="both"/>
        <w:outlineLvl w:val="0"/>
        <w:rPr>
          <w:rFonts w:asciiTheme="majorHAnsi" w:hAnsiTheme="majorHAnsi" w:cstheme="majorHAnsi"/>
          <w:szCs w:val="24"/>
        </w:rPr>
      </w:pPr>
    </w:p>
    <w:p w14:paraId="30294FD9" w14:textId="78AF86B0" w:rsidR="00212C05" w:rsidRPr="00484D3B" w:rsidRDefault="00507F8C" w:rsidP="00126599">
      <w:pPr>
        <w:pStyle w:val="IASBNormalnpara"/>
        <w:spacing w:before="0"/>
        <w:jc w:val="center"/>
        <w:rPr>
          <w:rFonts w:asciiTheme="majorHAnsi" w:hAnsiTheme="majorHAnsi" w:cstheme="majorHAnsi"/>
          <w:b/>
          <w:bCs/>
          <w:sz w:val="24"/>
          <w:szCs w:val="24"/>
        </w:rPr>
      </w:pPr>
      <w:r w:rsidRPr="00484D3B">
        <w:rPr>
          <w:rFonts w:asciiTheme="majorHAnsi" w:hAnsiTheme="majorHAnsi" w:cstheme="majorHAnsi"/>
          <w:b/>
          <w:bCs/>
          <w:sz w:val="24"/>
          <w:szCs w:val="24"/>
        </w:rPr>
        <w:t xml:space="preserve">NBC </w:t>
      </w:r>
      <w:r w:rsidR="00BF3A3E" w:rsidRPr="00484D3B">
        <w:rPr>
          <w:rFonts w:asciiTheme="majorHAnsi" w:hAnsiTheme="majorHAnsi" w:cstheme="majorHAnsi"/>
          <w:b/>
          <w:bCs/>
          <w:sz w:val="24"/>
          <w:szCs w:val="24"/>
        </w:rPr>
        <w:t>TSP</w:t>
      </w:r>
      <w:r w:rsidRPr="00484D3B">
        <w:rPr>
          <w:rFonts w:asciiTheme="majorHAnsi" w:hAnsiTheme="majorHAnsi" w:cstheme="majorHAnsi"/>
          <w:b/>
          <w:bCs/>
          <w:sz w:val="24"/>
          <w:szCs w:val="24"/>
        </w:rPr>
        <w:t xml:space="preserve"> </w:t>
      </w:r>
      <w:r w:rsidR="006C391D">
        <w:rPr>
          <w:rFonts w:asciiTheme="majorHAnsi" w:hAnsiTheme="majorHAnsi" w:cstheme="majorHAnsi"/>
          <w:b/>
          <w:bCs/>
          <w:sz w:val="24"/>
          <w:szCs w:val="24"/>
        </w:rPr>
        <w:t xml:space="preserve">19 </w:t>
      </w:r>
      <w:r w:rsidR="006C391D" w:rsidRPr="006C391D">
        <w:rPr>
          <w:rFonts w:asciiTheme="majorHAnsi" w:hAnsiTheme="majorHAnsi" w:cstheme="majorHAnsi"/>
          <w:b/>
          <w:bCs/>
          <w:sz w:val="24"/>
          <w:szCs w:val="24"/>
        </w:rPr>
        <w:t>(R1)</w:t>
      </w:r>
      <w:r w:rsidR="005C0360" w:rsidRPr="00484D3B">
        <w:rPr>
          <w:rFonts w:asciiTheme="majorHAnsi" w:hAnsiTheme="majorHAnsi" w:cstheme="majorHAnsi"/>
          <w:b/>
          <w:bCs/>
          <w:sz w:val="24"/>
          <w:szCs w:val="24"/>
        </w:rPr>
        <w:t xml:space="preserve"> </w:t>
      </w:r>
      <w:r w:rsidRPr="00484D3B">
        <w:rPr>
          <w:rFonts w:asciiTheme="majorHAnsi" w:hAnsiTheme="majorHAnsi" w:cstheme="majorHAnsi"/>
          <w:b/>
          <w:bCs/>
          <w:sz w:val="24"/>
          <w:szCs w:val="24"/>
        </w:rPr>
        <w:t xml:space="preserve">– </w:t>
      </w:r>
      <w:r w:rsidR="00484D3B">
        <w:rPr>
          <w:rFonts w:asciiTheme="majorHAnsi" w:hAnsiTheme="majorHAnsi" w:cstheme="majorHAnsi"/>
          <w:b/>
          <w:bCs/>
          <w:sz w:val="24"/>
          <w:szCs w:val="24"/>
        </w:rPr>
        <w:t>ACORDOS EM CONJUNTO</w:t>
      </w:r>
    </w:p>
    <w:p w14:paraId="4BBD4852" w14:textId="77777777" w:rsidR="00464E6A" w:rsidRPr="00484D3B" w:rsidRDefault="00464E6A" w:rsidP="00126599">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484D3B" w14:paraId="6E9CBE83" w14:textId="77777777" w:rsidTr="00C606B2">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37C1E8D" w14:textId="77777777" w:rsidR="00C606B2" w:rsidRPr="00484D3B" w:rsidRDefault="00C606B2" w:rsidP="00126599">
            <w:pPr>
              <w:spacing w:before="100" w:beforeAutospacing="1" w:after="0"/>
              <w:rPr>
                <w:rFonts w:asciiTheme="majorHAnsi" w:hAnsiTheme="majorHAnsi" w:cstheme="majorHAnsi"/>
                <w:b/>
                <w:bCs/>
                <w:szCs w:val="24"/>
              </w:rPr>
            </w:pPr>
            <w:r w:rsidRPr="00484D3B">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484D3B" w:rsidRDefault="00C606B2" w:rsidP="00126599">
            <w:pPr>
              <w:spacing w:before="100" w:beforeAutospacing="1" w:after="0"/>
              <w:jc w:val="center"/>
              <w:rPr>
                <w:rFonts w:asciiTheme="majorHAnsi" w:hAnsiTheme="majorHAnsi" w:cstheme="majorHAnsi"/>
                <w:szCs w:val="24"/>
              </w:rPr>
            </w:pPr>
            <w:r w:rsidRPr="00484D3B">
              <w:rPr>
                <w:rFonts w:asciiTheme="majorHAnsi" w:hAnsiTheme="majorHAnsi" w:cstheme="majorHAnsi"/>
                <w:szCs w:val="24"/>
              </w:rPr>
              <w:t>Item</w:t>
            </w:r>
          </w:p>
        </w:tc>
      </w:tr>
      <w:tr w:rsidR="00484D3B" w:rsidRPr="00484D3B" w14:paraId="78CF22FA" w14:textId="77777777" w:rsidTr="00170B40">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C0BB5" w14:textId="435D5D7D" w:rsidR="00484D3B" w:rsidRPr="00484D3B" w:rsidRDefault="00484D3B" w:rsidP="00484D3B">
            <w:pPr>
              <w:spacing w:before="100" w:beforeAutospacing="1" w:after="0"/>
              <w:rPr>
                <w:rFonts w:asciiTheme="majorHAnsi" w:hAnsiTheme="majorHAnsi" w:cstheme="majorHAnsi"/>
                <w:b/>
                <w:bCs/>
                <w:szCs w:val="24"/>
              </w:rPr>
            </w:pPr>
            <w:r w:rsidRPr="00484D3B">
              <w:rPr>
                <w:rFonts w:asciiTheme="majorHAnsi" w:hAnsiTheme="majorHAnsi" w:cstheme="majorHAnsi"/>
                <w:bCs/>
                <w:kern w:val="36"/>
                <w:szCs w:val="24"/>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A1332" w14:textId="6FD85AF3" w:rsidR="00484D3B" w:rsidRPr="00484D3B" w:rsidRDefault="00484D3B" w:rsidP="00484D3B">
            <w:pPr>
              <w:spacing w:before="100" w:beforeAutospacing="1" w:after="0"/>
              <w:jc w:val="center"/>
              <w:rPr>
                <w:rFonts w:asciiTheme="majorHAnsi" w:hAnsiTheme="majorHAnsi" w:cstheme="majorHAnsi"/>
                <w:b/>
                <w:szCs w:val="24"/>
              </w:rPr>
            </w:pPr>
            <w:r w:rsidRPr="00484D3B">
              <w:rPr>
                <w:rFonts w:asciiTheme="majorHAnsi" w:hAnsiTheme="majorHAnsi" w:cstheme="majorHAnsi"/>
                <w:b/>
                <w:kern w:val="36"/>
                <w:szCs w:val="24"/>
              </w:rPr>
              <w:t>1 – 2</w:t>
            </w:r>
          </w:p>
        </w:tc>
      </w:tr>
      <w:tr w:rsidR="00484D3B" w:rsidRPr="00484D3B" w14:paraId="6D858182" w14:textId="77777777" w:rsidTr="00170B40">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10E8E" w14:textId="5A26149C" w:rsidR="00484D3B" w:rsidRPr="00484D3B" w:rsidRDefault="00484D3B" w:rsidP="00484D3B">
            <w:pPr>
              <w:spacing w:before="100" w:beforeAutospacing="1" w:after="0"/>
              <w:ind w:left="499"/>
              <w:rPr>
                <w:rFonts w:asciiTheme="majorHAnsi" w:hAnsiTheme="majorHAnsi" w:cstheme="majorHAnsi"/>
                <w:szCs w:val="24"/>
              </w:rPr>
            </w:pPr>
            <w:r w:rsidRPr="00484D3B">
              <w:rPr>
                <w:rFonts w:asciiTheme="majorHAnsi" w:hAnsiTheme="majorHAnsi" w:cstheme="majorHAnsi"/>
                <w:bCs/>
                <w:kern w:val="36"/>
                <w:szCs w:val="24"/>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C812C9" w14:textId="01F19A17" w:rsidR="00484D3B" w:rsidRPr="00484D3B" w:rsidRDefault="00484D3B" w:rsidP="00484D3B">
            <w:pPr>
              <w:spacing w:before="100" w:beforeAutospacing="1" w:after="0"/>
              <w:jc w:val="center"/>
              <w:rPr>
                <w:rFonts w:asciiTheme="majorHAnsi" w:hAnsiTheme="majorHAnsi" w:cstheme="majorHAnsi"/>
                <w:b/>
                <w:szCs w:val="24"/>
              </w:rPr>
            </w:pPr>
            <w:r w:rsidRPr="00484D3B">
              <w:rPr>
                <w:rFonts w:asciiTheme="majorHAnsi" w:hAnsiTheme="majorHAnsi" w:cstheme="majorHAnsi"/>
                <w:b/>
                <w:kern w:val="36"/>
                <w:szCs w:val="24"/>
              </w:rPr>
              <w:t>3 – 6</w:t>
            </w:r>
          </w:p>
        </w:tc>
      </w:tr>
      <w:tr w:rsidR="00484D3B" w:rsidRPr="00484D3B" w14:paraId="342B83AB" w14:textId="77777777" w:rsidTr="00484D3B">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54594" w14:textId="2CB109AC" w:rsidR="00484D3B" w:rsidRPr="00484D3B" w:rsidRDefault="00484D3B" w:rsidP="00484D3B">
            <w:pPr>
              <w:spacing w:before="100" w:beforeAutospacing="1" w:after="0"/>
              <w:rPr>
                <w:rFonts w:asciiTheme="majorHAnsi" w:hAnsiTheme="majorHAnsi" w:cstheme="majorHAnsi"/>
                <w:b/>
                <w:bCs/>
                <w:szCs w:val="24"/>
              </w:rPr>
            </w:pPr>
            <w:r w:rsidRPr="00484D3B">
              <w:rPr>
                <w:rFonts w:asciiTheme="majorHAnsi" w:hAnsiTheme="majorHAnsi" w:cstheme="majorHAnsi"/>
                <w:bCs/>
                <w:kern w:val="36"/>
                <w:szCs w:val="24"/>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B063F" w14:textId="1ECCD07F" w:rsidR="00484D3B" w:rsidRPr="00484D3B" w:rsidRDefault="00484D3B" w:rsidP="00484D3B">
            <w:pPr>
              <w:spacing w:before="100" w:beforeAutospacing="1" w:after="0"/>
              <w:jc w:val="center"/>
              <w:rPr>
                <w:rFonts w:asciiTheme="majorHAnsi" w:hAnsiTheme="majorHAnsi" w:cstheme="majorHAnsi"/>
                <w:b/>
                <w:szCs w:val="24"/>
              </w:rPr>
            </w:pPr>
            <w:r w:rsidRPr="00484D3B">
              <w:rPr>
                <w:rFonts w:asciiTheme="majorHAnsi" w:hAnsiTheme="majorHAnsi" w:cstheme="majorHAnsi"/>
                <w:b/>
                <w:kern w:val="36"/>
                <w:szCs w:val="24"/>
              </w:rPr>
              <w:t>7 – 8</w:t>
            </w:r>
          </w:p>
        </w:tc>
      </w:tr>
      <w:tr w:rsidR="00484D3B" w:rsidRPr="00484D3B" w14:paraId="615F8892" w14:textId="77777777" w:rsidTr="00484D3B">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60CF2" w14:textId="32676DC8" w:rsidR="00484D3B" w:rsidRPr="00484D3B" w:rsidRDefault="00484D3B" w:rsidP="00484D3B">
            <w:pPr>
              <w:spacing w:before="100" w:beforeAutospacing="1" w:after="0"/>
              <w:ind w:left="499"/>
              <w:rPr>
                <w:rFonts w:asciiTheme="majorHAnsi" w:hAnsiTheme="majorHAnsi" w:cstheme="majorHAnsi"/>
                <w:szCs w:val="24"/>
              </w:rPr>
            </w:pPr>
            <w:r w:rsidRPr="00484D3B">
              <w:rPr>
                <w:rFonts w:asciiTheme="majorHAnsi" w:hAnsiTheme="majorHAnsi" w:cstheme="majorHAnsi"/>
                <w:szCs w:val="24"/>
              </w:rPr>
              <w:t>Acordo vinculante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BA4D6" w14:textId="44EB5CBC" w:rsidR="00484D3B" w:rsidRPr="00484D3B" w:rsidRDefault="00484D3B" w:rsidP="00484D3B">
            <w:pPr>
              <w:spacing w:before="100" w:beforeAutospacing="1" w:after="0"/>
              <w:jc w:val="center"/>
              <w:rPr>
                <w:rFonts w:asciiTheme="majorHAnsi" w:hAnsiTheme="majorHAnsi" w:cstheme="majorHAnsi"/>
                <w:b/>
                <w:szCs w:val="24"/>
              </w:rPr>
            </w:pPr>
            <w:r w:rsidRPr="00484D3B">
              <w:rPr>
                <w:rFonts w:asciiTheme="majorHAnsi" w:hAnsiTheme="majorHAnsi" w:cstheme="majorHAnsi"/>
                <w:b/>
                <w:kern w:val="36"/>
                <w:szCs w:val="24"/>
              </w:rPr>
              <w:t>8</w:t>
            </w:r>
          </w:p>
        </w:tc>
      </w:tr>
      <w:tr w:rsidR="00484D3B" w:rsidRPr="00484D3B" w14:paraId="5F71AED3" w14:textId="77777777" w:rsidTr="00484D3B">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303C9E" w14:textId="1451724A" w:rsidR="00484D3B" w:rsidRPr="00484D3B" w:rsidRDefault="00484D3B" w:rsidP="00484D3B">
            <w:pPr>
              <w:spacing w:before="100" w:beforeAutospacing="1" w:after="0"/>
              <w:ind w:left="499"/>
              <w:rPr>
                <w:rFonts w:asciiTheme="majorHAnsi" w:hAnsiTheme="majorHAnsi" w:cstheme="majorHAnsi"/>
                <w:szCs w:val="24"/>
              </w:rPr>
            </w:pPr>
            <w:r w:rsidRPr="00484D3B">
              <w:rPr>
                <w:rFonts w:asciiTheme="majorHAnsi" w:hAnsiTheme="majorHAnsi" w:cstheme="majorHAnsi"/>
                <w:szCs w:val="24"/>
              </w:rPr>
              <w:t>Acordo em conjunto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23BB" w14:textId="139A3A22" w:rsidR="00484D3B" w:rsidRPr="00484D3B" w:rsidRDefault="00484D3B" w:rsidP="00484D3B">
            <w:pPr>
              <w:spacing w:before="100" w:beforeAutospacing="1" w:after="0"/>
              <w:jc w:val="center"/>
              <w:rPr>
                <w:rFonts w:asciiTheme="majorHAnsi" w:hAnsiTheme="majorHAnsi" w:cstheme="majorHAnsi"/>
                <w:b/>
                <w:szCs w:val="24"/>
              </w:rPr>
            </w:pPr>
            <w:r w:rsidRPr="00484D3B">
              <w:rPr>
                <w:rFonts w:asciiTheme="majorHAnsi" w:hAnsiTheme="majorHAnsi" w:cstheme="majorHAnsi"/>
                <w:b/>
                <w:kern w:val="36"/>
                <w:szCs w:val="24"/>
              </w:rPr>
              <w:t>9 – 22</w:t>
            </w:r>
          </w:p>
        </w:tc>
      </w:tr>
      <w:tr w:rsidR="00484D3B" w:rsidRPr="00484D3B" w14:paraId="5B281DCB" w14:textId="77777777" w:rsidTr="00484D3B">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8E33D" w14:textId="1EB4D523" w:rsidR="00484D3B" w:rsidRPr="00484D3B" w:rsidRDefault="00484D3B" w:rsidP="00484D3B">
            <w:pPr>
              <w:spacing w:before="100" w:beforeAutospacing="1" w:after="0"/>
              <w:rPr>
                <w:rFonts w:asciiTheme="majorHAnsi" w:hAnsiTheme="majorHAnsi" w:cstheme="majorHAnsi"/>
                <w:b/>
                <w:bCs/>
                <w:szCs w:val="24"/>
              </w:rPr>
            </w:pPr>
            <w:r w:rsidRPr="00484D3B">
              <w:rPr>
                <w:rFonts w:asciiTheme="majorHAnsi" w:hAnsiTheme="majorHAnsi" w:cstheme="majorHAnsi"/>
                <w:szCs w:val="24"/>
              </w:rPr>
              <w:t>Controle em conjunto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26E8F" w14:textId="1A616EB1" w:rsidR="00484D3B" w:rsidRPr="00484D3B" w:rsidRDefault="00484D3B" w:rsidP="00484D3B">
            <w:pPr>
              <w:spacing w:before="100" w:beforeAutospacing="1" w:after="0"/>
              <w:jc w:val="center"/>
              <w:rPr>
                <w:rFonts w:asciiTheme="majorHAnsi" w:hAnsiTheme="majorHAnsi" w:cstheme="majorHAnsi"/>
                <w:b/>
                <w:szCs w:val="24"/>
              </w:rPr>
            </w:pPr>
            <w:r w:rsidRPr="00484D3B">
              <w:rPr>
                <w:rFonts w:asciiTheme="majorHAnsi" w:hAnsiTheme="majorHAnsi" w:cstheme="majorHAnsi"/>
                <w:b/>
                <w:kern w:val="36"/>
                <w:szCs w:val="24"/>
              </w:rPr>
              <w:t>12 – 18</w:t>
            </w:r>
          </w:p>
        </w:tc>
      </w:tr>
      <w:tr w:rsidR="00484D3B" w:rsidRPr="00484D3B" w14:paraId="3D03CC0D" w14:textId="77777777" w:rsidTr="00484D3B">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E932A" w14:textId="26E04103" w:rsidR="00484D3B" w:rsidRPr="00484D3B" w:rsidRDefault="00484D3B" w:rsidP="00484D3B">
            <w:pPr>
              <w:tabs>
                <w:tab w:val="left" w:pos="256"/>
                <w:tab w:val="left" w:pos="631"/>
                <w:tab w:val="left" w:pos="826"/>
              </w:tabs>
              <w:spacing w:before="100" w:beforeAutospacing="1" w:after="0"/>
              <w:ind w:left="-68"/>
              <w:rPr>
                <w:rFonts w:asciiTheme="majorHAnsi" w:hAnsiTheme="majorHAnsi" w:cstheme="majorHAnsi"/>
                <w:szCs w:val="24"/>
              </w:rPr>
            </w:pPr>
            <w:r w:rsidRPr="00484D3B">
              <w:rPr>
                <w:rFonts w:asciiTheme="majorHAnsi" w:hAnsiTheme="majorHAnsi" w:cstheme="majorHAnsi"/>
                <w:szCs w:val="24"/>
              </w:rPr>
              <w:t>Tipos de controle em conjunto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79F6" w14:textId="042AD939" w:rsidR="00484D3B" w:rsidRPr="00484D3B" w:rsidRDefault="00484D3B" w:rsidP="00484D3B">
            <w:pPr>
              <w:spacing w:before="100" w:beforeAutospacing="1" w:after="0"/>
              <w:jc w:val="center"/>
              <w:rPr>
                <w:rFonts w:asciiTheme="majorHAnsi" w:hAnsiTheme="majorHAnsi" w:cstheme="majorHAnsi"/>
                <w:b/>
                <w:szCs w:val="24"/>
              </w:rPr>
            </w:pPr>
            <w:r w:rsidRPr="00484D3B">
              <w:rPr>
                <w:rFonts w:asciiTheme="majorHAnsi" w:hAnsiTheme="majorHAnsi" w:cstheme="majorHAnsi"/>
                <w:b/>
                <w:kern w:val="36"/>
                <w:szCs w:val="24"/>
              </w:rPr>
              <w:t>19 – 22</w:t>
            </w:r>
          </w:p>
        </w:tc>
      </w:tr>
      <w:tr w:rsidR="00484D3B" w:rsidRPr="00484D3B" w14:paraId="04C2C4CB" w14:textId="77777777" w:rsidTr="00484D3B">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AAF06" w14:textId="7ADC1DF8" w:rsidR="00484D3B" w:rsidRPr="00484D3B" w:rsidRDefault="00484D3B" w:rsidP="00484D3B">
            <w:pPr>
              <w:spacing w:before="100" w:beforeAutospacing="1" w:after="0"/>
              <w:rPr>
                <w:rFonts w:asciiTheme="majorHAnsi" w:hAnsiTheme="majorHAnsi" w:cstheme="majorHAnsi"/>
                <w:szCs w:val="24"/>
              </w:rPr>
            </w:pPr>
            <w:r w:rsidRPr="00484D3B">
              <w:rPr>
                <w:rFonts w:asciiTheme="majorHAnsi" w:hAnsiTheme="majorHAnsi" w:cstheme="majorHAnsi"/>
                <w:bCs/>
                <w:kern w:val="36"/>
                <w:szCs w:val="24"/>
              </w:rPr>
              <w:t>Demonstrações contábeis das partes de acordo em conjunto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926D0" w14:textId="6976B11F" w:rsidR="00484D3B" w:rsidRPr="00484D3B" w:rsidRDefault="00484D3B" w:rsidP="00484D3B">
            <w:pPr>
              <w:spacing w:before="100" w:beforeAutospacing="1" w:after="0"/>
              <w:jc w:val="center"/>
              <w:rPr>
                <w:rFonts w:asciiTheme="majorHAnsi" w:hAnsiTheme="majorHAnsi" w:cstheme="majorHAnsi"/>
                <w:b/>
                <w:szCs w:val="24"/>
              </w:rPr>
            </w:pPr>
            <w:r w:rsidRPr="00484D3B">
              <w:rPr>
                <w:rFonts w:asciiTheme="majorHAnsi" w:hAnsiTheme="majorHAnsi" w:cstheme="majorHAnsi"/>
                <w:b/>
                <w:kern w:val="36"/>
                <w:szCs w:val="24"/>
              </w:rPr>
              <w:t>23 – 28</w:t>
            </w:r>
          </w:p>
        </w:tc>
      </w:tr>
      <w:tr w:rsidR="00484D3B" w:rsidRPr="00484D3B" w14:paraId="224D49D6" w14:textId="77777777" w:rsidTr="00484D3B">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5EB11" w14:textId="0975E02F" w:rsidR="00484D3B" w:rsidRPr="00484D3B" w:rsidRDefault="00484D3B" w:rsidP="00484D3B">
            <w:pPr>
              <w:spacing w:before="100" w:beforeAutospacing="1" w:after="0"/>
              <w:rPr>
                <w:rFonts w:asciiTheme="majorHAnsi" w:hAnsiTheme="majorHAnsi" w:cstheme="majorHAnsi"/>
                <w:szCs w:val="24"/>
              </w:rPr>
            </w:pPr>
            <w:r w:rsidRPr="00484D3B">
              <w:rPr>
                <w:rFonts w:asciiTheme="majorHAnsi" w:hAnsiTheme="majorHAnsi" w:cstheme="majorHAnsi"/>
                <w:bCs/>
                <w:kern w:val="36"/>
                <w:szCs w:val="24"/>
              </w:rPr>
              <w:t>Operação em conjunto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7BD13" w14:textId="0A263076" w:rsidR="00484D3B" w:rsidRPr="00484D3B" w:rsidRDefault="00484D3B" w:rsidP="00484D3B">
            <w:pPr>
              <w:spacing w:before="100" w:beforeAutospacing="1" w:after="0"/>
              <w:jc w:val="center"/>
              <w:rPr>
                <w:rFonts w:asciiTheme="majorHAnsi" w:hAnsiTheme="majorHAnsi" w:cstheme="majorHAnsi"/>
                <w:b/>
                <w:szCs w:val="24"/>
              </w:rPr>
            </w:pPr>
            <w:r w:rsidRPr="00484D3B">
              <w:rPr>
                <w:rFonts w:asciiTheme="majorHAnsi" w:hAnsiTheme="majorHAnsi" w:cstheme="majorHAnsi"/>
                <w:b/>
                <w:kern w:val="36"/>
                <w:szCs w:val="24"/>
              </w:rPr>
              <w:t>23 – 26</w:t>
            </w:r>
          </w:p>
        </w:tc>
      </w:tr>
      <w:tr w:rsidR="00484D3B" w:rsidRPr="00484D3B" w14:paraId="37FC95A0" w14:textId="77777777" w:rsidTr="00484D3B">
        <w:trPr>
          <w:trHeight w:val="46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1FF30" w14:textId="761DD9FC" w:rsidR="00484D3B" w:rsidRPr="00484D3B" w:rsidRDefault="00484D3B" w:rsidP="00484D3B">
            <w:pPr>
              <w:spacing w:before="100" w:beforeAutospacing="1" w:after="0"/>
              <w:ind w:left="708"/>
              <w:jc w:val="both"/>
              <w:rPr>
                <w:rFonts w:asciiTheme="majorHAnsi" w:hAnsiTheme="majorHAnsi" w:cstheme="majorHAnsi"/>
                <w:szCs w:val="24"/>
              </w:rPr>
            </w:pPr>
            <w:r w:rsidRPr="00484D3B">
              <w:rPr>
                <w:rFonts w:asciiTheme="majorHAnsi" w:hAnsiTheme="majorHAnsi" w:cstheme="majorHAnsi"/>
                <w:bCs/>
                <w:kern w:val="36"/>
                <w:szCs w:val="24"/>
              </w:rPr>
              <w:t>Empreendimento controlado em conjunto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795D9" w14:textId="72407E72" w:rsidR="00484D3B" w:rsidRPr="00484D3B" w:rsidRDefault="00484D3B" w:rsidP="00484D3B">
            <w:pPr>
              <w:spacing w:before="100" w:beforeAutospacing="1" w:after="0"/>
              <w:jc w:val="center"/>
              <w:rPr>
                <w:rFonts w:asciiTheme="majorHAnsi" w:hAnsiTheme="majorHAnsi" w:cstheme="majorHAnsi"/>
                <w:b/>
                <w:szCs w:val="24"/>
              </w:rPr>
            </w:pPr>
            <w:r w:rsidRPr="00484D3B">
              <w:rPr>
                <w:rFonts w:asciiTheme="majorHAnsi" w:hAnsiTheme="majorHAnsi" w:cstheme="majorHAnsi"/>
                <w:b/>
                <w:kern w:val="36"/>
                <w:szCs w:val="24"/>
              </w:rPr>
              <w:t>27 – 28</w:t>
            </w:r>
          </w:p>
        </w:tc>
      </w:tr>
      <w:tr w:rsidR="00484D3B" w:rsidRPr="00484D3B" w14:paraId="6E72FCF9" w14:textId="77777777" w:rsidTr="00484D3B">
        <w:trPr>
          <w:trHeight w:val="419"/>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1F8E4" w14:textId="2F3FDCD1" w:rsidR="00484D3B" w:rsidRPr="00484D3B" w:rsidRDefault="00484D3B" w:rsidP="00484D3B">
            <w:pPr>
              <w:tabs>
                <w:tab w:val="left" w:pos="924"/>
              </w:tabs>
              <w:spacing w:before="100" w:beforeAutospacing="1" w:after="0"/>
              <w:ind w:left="499"/>
              <w:rPr>
                <w:rFonts w:asciiTheme="majorHAnsi" w:hAnsiTheme="majorHAnsi" w:cstheme="majorHAnsi"/>
                <w:szCs w:val="24"/>
              </w:rPr>
            </w:pPr>
            <w:r w:rsidRPr="00484D3B">
              <w:rPr>
                <w:rFonts w:asciiTheme="majorHAnsi" w:hAnsiTheme="majorHAnsi" w:cstheme="majorHAnsi"/>
                <w:bCs/>
                <w:kern w:val="36"/>
                <w:szCs w:val="24"/>
              </w:rPr>
              <w:t>Demonstrações contábeis separadas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5E585" w14:textId="40070C14" w:rsidR="00484D3B" w:rsidRPr="00484D3B" w:rsidRDefault="00484D3B" w:rsidP="00484D3B">
            <w:pPr>
              <w:spacing w:before="100" w:beforeAutospacing="1" w:after="0"/>
              <w:jc w:val="center"/>
              <w:rPr>
                <w:rFonts w:asciiTheme="majorHAnsi" w:hAnsiTheme="majorHAnsi" w:cstheme="majorHAnsi"/>
                <w:b/>
                <w:szCs w:val="24"/>
              </w:rPr>
            </w:pPr>
            <w:r w:rsidRPr="00484D3B">
              <w:rPr>
                <w:rFonts w:asciiTheme="majorHAnsi" w:hAnsiTheme="majorHAnsi" w:cstheme="majorHAnsi"/>
                <w:b/>
                <w:kern w:val="36"/>
                <w:szCs w:val="24"/>
              </w:rPr>
              <w:t>29 – 30</w:t>
            </w:r>
          </w:p>
        </w:tc>
      </w:tr>
      <w:tr w:rsidR="00484D3B" w:rsidRPr="00484D3B" w14:paraId="47C22210" w14:textId="77777777" w:rsidTr="00484D3B">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BCDC8" w14:textId="6967200C" w:rsidR="00484D3B" w:rsidRPr="00484D3B" w:rsidRDefault="00484D3B" w:rsidP="00484D3B">
            <w:pPr>
              <w:spacing w:before="100" w:beforeAutospacing="1" w:after="0"/>
              <w:ind w:left="499"/>
              <w:rPr>
                <w:rFonts w:asciiTheme="majorHAnsi" w:hAnsiTheme="majorHAnsi" w:cstheme="majorHAnsi"/>
                <w:szCs w:val="24"/>
              </w:rPr>
            </w:pPr>
            <w:r w:rsidRPr="00484D3B">
              <w:rPr>
                <w:rFonts w:asciiTheme="majorHAnsi" w:hAnsiTheme="majorHAnsi" w:cstheme="majorHAnsi"/>
                <w:bCs/>
                <w:kern w:val="36"/>
                <w:szCs w:val="24"/>
              </w:rPr>
              <w:t>Disposições Transitórias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23398" w14:textId="344562D2" w:rsidR="00484D3B" w:rsidRPr="00484D3B" w:rsidRDefault="00484D3B" w:rsidP="00484D3B">
            <w:pPr>
              <w:spacing w:before="100" w:beforeAutospacing="1" w:after="0"/>
              <w:jc w:val="center"/>
              <w:rPr>
                <w:rFonts w:asciiTheme="majorHAnsi" w:hAnsiTheme="majorHAnsi" w:cstheme="majorHAnsi"/>
                <w:b/>
                <w:szCs w:val="24"/>
              </w:rPr>
            </w:pPr>
            <w:r w:rsidRPr="00484D3B">
              <w:rPr>
                <w:rFonts w:asciiTheme="majorHAnsi" w:hAnsiTheme="majorHAnsi" w:cstheme="majorHAnsi"/>
                <w:b/>
                <w:kern w:val="36"/>
                <w:szCs w:val="24"/>
              </w:rPr>
              <w:t>31- 44</w:t>
            </w:r>
          </w:p>
        </w:tc>
      </w:tr>
      <w:tr w:rsidR="00484D3B" w:rsidRPr="00484D3B" w14:paraId="33149E4C" w14:textId="77777777" w:rsidTr="00484D3B">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8FC66" w14:textId="64ECF2CB" w:rsidR="00484D3B" w:rsidRPr="00484D3B" w:rsidRDefault="00484D3B" w:rsidP="00484D3B">
            <w:pPr>
              <w:tabs>
                <w:tab w:val="left" w:pos="512"/>
              </w:tabs>
              <w:spacing w:before="100" w:beforeAutospacing="1" w:after="0"/>
              <w:ind w:firstLine="499"/>
              <w:rPr>
                <w:rFonts w:asciiTheme="majorHAnsi" w:hAnsiTheme="majorHAnsi" w:cstheme="majorHAnsi"/>
                <w:szCs w:val="24"/>
              </w:rPr>
            </w:pPr>
            <w:r w:rsidRPr="00484D3B">
              <w:rPr>
                <w:rFonts w:asciiTheme="majorHAnsi" w:hAnsiTheme="majorHAnsi" w:cstheme="majorHAnsi"/>
                <w:bCs/>
                <w:kern w:val="36"/>
                <w:szCs w:val="24"/>
              </w:rPr>
              <w:t>Apêndice (A)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C7ABC0" w14:textId="712B5426" w:rsidR="00484D3B" w:rsidRPr="00484D3B" w:rsidRDefault="00484D3B" w:rsidP="00484D3B">
            <w:pPr>
              <w:spacing w:before="100" w:beforeAutospacing="1" w:after="0"/>
              <w:jc w:val="center"/>
              <w:rPr>
                <w:rFonts w:asciiTheme="majorHAnsi" w:hAnsiTheme="majorHAnsi" w:cstheme="majorHAnsi"/>
                <w:b/>
                <w:szCs w:val="24"/>
              </w:rPr>
            </w:pPr>
            <w:r w:rsidRPr="00484D3B">
              <w:rPr>
                <w:rFonts w:asciiTheme="majorHAnsi" w:hAnsiTheme="majorHAnsi" w:cstheme="majorHAnsi"/>
                <w:b/>
                <w:kern w:val="36"/>
                <w:szCs w:val="24"/>
              </w:rPr>
              <w:t>A33A -A37</w:t>
            </w:r>
          </w:p>
        </w:tc>
      </w:tr>
      <w:tr w:rsidR="00484D3B" w:rsidRPr="00484D3B" w14:paraId="4A8810F0" w14:textId="77777777" w:rsidTr="00055A69">
        <w:trPr>
          <w:trHeight w:val="410"/>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0658F" w14:textId="2648200E" w:rsidR="00484D3B" w:rsidRPr="00484D3B" w:rsidRDefault="00484D3B" w:rsidP="00484D3B">
            <w:pPr>
              <w:tabs>
                <w:tab w:val="left" w:pos="512"/>
              </w:tabs>
              <w:spacing w:before="100" w:beforeAutospacing="1" w:after="0"/>
              <w:rPr>
                <w:rFonts w:asciiTheme="majorHAnsi" w:hAnsiTheme="majorHAnsi" w:cstheme="majorHAnsi"/>
                <w:b/>
                <w:bCs/>
                <w:szCs w:val="24"/>
              </w:rPr>
            </w:pPr>
            <w:r w:rsidRPr="00484D3B">
              <w:rPr>
                <w:rFonts w:asciiTheme="majorHAnsi" w:hAnsiTheme="majorHAnsi" w:cstheme="majorHAnsi"/>
                <w:bCs/>
                <w:kern w:val="36"/>
                <w:szCs w:val="24"/>
              </w:rPr>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74E529" w14:textId="3C85EFAE" w:rsidR="00484D3B" w:rsidRPr="00484D3B" w:rsidRDefault="00484D3B" w:rsidP="00484D3B">
            <w:pPr>
              <w:spacing w:before="100" w:beforeAutospacing="1" w:after="0"/>
              <w:jc w:val="center"/>
              <w:rPr>
                <w:rFonts w:asciiTheme="majorHAnsi" w:hAnsiTheme="majorHAnsi" w:cstheme="majorHAnsi"/>
                <w:b/>
                <w:szCs w:val="24"/>
              </w:rPr>
            </w:pPr>
          </w:p>
        </w:tc>
      </w:tr>
    </w:tbl>
    <w:p w14:paraId="19C24BDD" w14:textId="77777777" w:rsidR="00507F8C" w:rsidRPr="00484D3B" w:rsidRDefault="00507F8C" w:rsidP="00126599">
      <w:pPr>
        <w:pStyle w:val="IASBSectionTitle1NonInd"/>
        <w:pBdr>
          <w:bottom w:val="none" w:sz="0" w:space="0" w:color="auto"/>
        </w:pBdr>
        <w:spacing w:before="0" w:after="0"/>
        <w:jc w:val="both"/>
        <w:rPr>
          <w:rFonts w:asciiTheme="majorHAnsi" w:hAnsiTheme="majorHAnsi" w:cstheme="majorHAnsi"/>
          <w:sz w:val="24"/>
          <w:szCs w:val="24"/>
        </w:rPr>
      </w:pPr>
      <w:bookmarkStart w:id="0" w:name="F55665969"/>
    </w:p>
    <w:p w14:paraId="1B45B1CB" w14:textId="77777777" w:rsidR="00464E6A" w:rsidRPr="00484D3B"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r w:rsidRPr="00484D3B">
        <w:rPr>
          <w:rFonts w:asciiTheme="majorHAnsi" w:eastAsiaTheme="minorHAnsi" w:hAnsiTheme="majorHAnsi" w:cstheme="majorHAnsi"/>
          <w:b/>
          <w:bCs/>
          <w:szCs w:val="24"/>
          <w:lang w:eastAsia="en-US"/>
        </w:rPr>
        <w:t xml:space="preserve">Objetivo </w:t>
      </w:r>
    </w:p>
    <w:p w14:paraId="200EB9C3" w14:textId="77777777" w:rsidR="00464E6A" w:rsidRPr="00484D3B"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p>
    <w:p w14:paraId="7E663E3A" w14:textId="77777777" w:rsidR="00C606B2" w:rsidRPr="00484D3B" w:rsidRDefault="00C606B2" w:rsidP="00C606B2">
      <w:pPr>
        <w:ind w:left="2"/>
        <w:rPr>
          <w:rFonts w:asciiTheme="majorHAnsi" w:eastAsia="Calibri" w:hAnsiTheme="majorHAnsi" w:cstheme="majorHAnsi"/>
          <w:szCs w:val="24"/>
        </w:rPr>
      </w:pPr>
    </w:p>
    <w:p w14:paraId="26226A9B"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rPr>
      </w:pPr>
      <w:bookmarkStart w:id="1" w:name="_Hlk209448963"/>
      <w:bookmarkEnd w:id="0"/>
      <w:r w:rsidRPr="00484D3B">
        <w:rPr>
          <w:rFonts w:asciiTheme="majorHAnsi" w:hAnsiTheme="majorHAnsi" w:cstheme="majorHAnsi"/>
        </w:rPr>
        <w:lastRenderedPageBreak/>
        <w:t>O objetivo desta norma é estabelecer critérios para a elaboração e divulgação de informação contábil por entidades que tenham participação em acordos em conjunto.</w:t>
      </w:r>
    </w:p>
    <w:p w14:paraId="11608178" w14:textId="77777777" w:rsidR="00484D3B" w:rsidRPr="00484D3B" w:rsidRDefault="00484D3B" w:rsidP="00484D3B">
      <w:pPr>
        <w:pStyle w:val="PargrafodaLista"/>
        <w:spacing w:after="0" w:line="240" w:lineRule="auto"/>
        <w:ind w:left="1065"/>
        <w:jc w:val="both"/>
        <w:rPr>
          <w:rFonts w:asciiTheme="majorHAnsi" w:hAnsiTheme="majorHAnsi" w:cstheme="majorHAnsi"/>
        </w:rPr>
      </w:pPr>
    </w:p>
    <w:p w14:paraId="3E53A52C"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rPr>
      </w:pPr>
      <w:r w:rsidRPr="00484D3B">
        <w:rPr>
          <w:rFonts w:asciiTheme="majorHAnsi" w:hAnsiTheme="majorHAnsi" w:cstheme="majorHAnsi"/>
        </w:rPr>
        <w:t>Para cumprir o objetivo do item 1, esta norma define controle em conjunto e exige que a entidade que seja parte determine o tipo de acordo em conjunto em que está envolvida pela avaliação dos seus direitos e obrigações e contabilize os mesmos conforme esse tipo de acordo.</w:t>
      </w:r>
    </w:p>
    <w:p w14:paraId="29F454E3" w14:textId="77777777" w:rsidR="00484D3B" w:rsidRPr="00484D3B" w:rsidRDefault="00484D3B" w:rsidP="00484D3B">
      <w:pPr>
        <w:spacing w:after="0"/>
        <w:jc w:val="both"/>
        <w:rPr>
          <w:rFonts w:asciiTheme="majorHAnsi" w:hAnsiTheme="majorHAnsi" w:cstheme="majorHAnsi"/>
          <w:szCs w:val="24"/>
        </w:rPr>
      </w:pPr>
    </w:p>
    <w:p w14:paraId="1D696262" w14:textId="77777777" w:rsidR="00484D3B" w:rsidRPr="00484D3B" w:rsidRDefault="00484D3B" w:rsidP="00484D3B">
      <w:pPr>
        <w:spacing w:after="0"/>
        <w:jc w:val="both"/>
        <w:rPr>
          <w:rFonts w:asciiTheme="majorHAnsi" w:hAnsiTheme="majorHAnsi" w:cstheme="majorHAnsi"/>
          <w:b/>
          <w:szCs w:val="24"/>
        </w:rPr>
      </w:pPr>
      <w:r w:rsidRPr="00484D3B">
        <w:rPr>
          <w:rFonts w:asciiTheme="majorHAnsi" w:hAnsiTheme="majorHAnsi" w:cstheme="majorHAnsi"/>
          <w:b/>
          <w:szCs w:val="24"/>
        </w:rPr>
        <w:t>Alcance</w:t>
      </w:r>
    </w:p>
    <w:p w14:paraId="6EEFFBE0" w14:textId="77777777" w:rsidR="00484D3B" w:rsidRPr="00484D3B" w:rsidRDefault="00484D3B" w:rsidP="00484D3B">
      <w:pPr>
        <w:spacing w:after="0"/>
        <w:jc w:val="both"/>
        <w:rPr>
          <w:rFonts w:asciiTheme="majorHAnsi" w:hAnsiTheme="majorHAnsi" w:cstheme="majorHAnsi"/>
          <w:b/>
          <w:szCs w:val="24"/>
        </w:rPr>
      </w:pPr>
    </w:p>
    <w:p w14:paraId="079EBC03"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A entidade que elabora e apresenta demonstrações contábeis, de acordo com o regime de competência, deve aplicar esta norma para determinar o tipo de acordo em conjunto em que está envolvida, bem como para contabilizar os direitos e as obrigações referentes ao acordo em conjunto.</w:t>
      </w:r>
    </w:p>
    <w:p w14:paraId="6F9F6779" w14:textId="77777777" w:rsidR="00484D3B" w:rsidRPr="00484D3B" w:rsidRDefault="00484D3B" w:rsidP="00484D3B">
      <w:pPr>
        <w:pStyle w:val="PargrafodaLista"/>
        <w:spacing w:after="0" w:line="240" w:lineRule="auto"/>
        <w:ind w:left="1065"/>
        <w:jc w:val="both"/>
        <w:rPr>
          <w:rFonts w:asciiTheme="majorHAnsi" w:hAnsiTheme="majorHAnsi" w:cstheme="majorHAnsi"/>
          <w:b/>
        </w:rPr>
      </w:pPr>
    </w:p>
    <w:p w14:paraId="5151897D"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Esta norma deve ser aplicada a todas as entidades que sejam parte de acordo em conjunto.</w:t>
      </w:r>
    </w:p>
    <w:p w14:paraId="4014560E" w14:textId="77777777" w:rsidR="00484D3B" w:rsidRPr="00484D3B" w:rsidRDefault="00484D3B" w:rsidP="00484D3B">
      <w:pPr>
        <w:pStyle w:val="PargrafodaLista"/>
        <w:jc w:val="both"/>
        <w:rPr>
          <w:rFonts w:asciiTheme="majorHAnsi" w:hAnsiTheme="majorHAnsi" w:cstheme="majorHAnsi"/>
          <w:b/>
        </w:rPr>
      </w:pPr>
    </w:p>
    <w:p w14:paraId="67362229"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strike/>
        </w:rPr>
      </w:pPr>
      <w:r w:rsidRPr="00484D3B">
        <w:rPr>
          <w:rFonts w:asciiTheme="majorHAnsi" w:hAnsiTheme="majorHAnsi" w:cstheme="majorHAnsi"/>
          <w:b/>
          <w:strike/>
        </w:rPr>
        <w:t xml:space="preserve">Esta norma se aplica às entidades do setor público, conforme o alcance definido na NBC TSP ESTRUTURA CONCEITUAL. </w:t>
      </w:r>
      <w:r w:rsidRPr="00484D3B">
        <w:rPr>
          <w:rFonts w:asciiTheme="majorHAnsi" w:hAnsiTheme="majorHAnsi" w:cstheme="majorHAnsi"/>
          <w:bCs/>
          <w:color w:val="4C94D8"/>
        </w:rPr>
        <w:t>(Eliminado na NBC TSP 19 (R1)).</w:t>
      </w:r>
    </w:p>
    <w:p w14:paraId="22C97F40" w14:textId="77777777" w:rsidR="00484D3B" w:rsidRPr="00484D3B" w:rsidRDefault="00484D3B" w:rsidP="00484D3B">
      <w:pPr>
        <w:pStyle w:val="PargrafodaLista"/>
        <w:jc w:val="both"/>
        <w:rPr>
          <w:rFonts w:asciiTheme="majorHAnsi" w:hAnsiTheme="majorHAnsi" w:cstheme="majorHAnsi"/>
        </w:rPr>
      </w:pPr>
    </w:p>
    <w:p w14:paraId="2723737F"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rPr>
      </w:pPr>
      <w:r w:rsidRPr="00484D3B">
        <w:rPr>
          <w:rFonts w:asciiTheme="majorHAnsi" w:hAnsiTheme="majorHAnsi" w:cstheme="majorHAnsi"/>
        </w:rPr>
        <w:t>(Não convergido).</w:t>
      </w:r>
    </w:p>
    <w:p w14:paraId="1612A049" w14:textId="77777777" w:rsidR="00484D3B" w:rsidRPr="00484D3B" w:rsidRDefault="00484D3B" w:rsidP="00484D3B">
      <w:pPr>
        <w:spacing w:after="0"/>
        <w:jc w:val="both"/>
        <w:rPr>
          <w:rFonts w:asciiTheme="majorHAnsi" w:hAnsiTheme="majorHAnsi" w:cstheme="majorHAnsi"/>
          <w:szCs w:val="24"/>
        </w:rPr>
      </w:pPr>
    </w:p>
    <w:p w14:paraId="639BDF7E" w14:textId="77777777" w:rsidR="00484D3B" w:rsidRPr="00484D3B" w:rsidRDefault="00484D3B" w:rsidP="00484D3B">
      <w:pPr>
        <w:spacing w:after="0"/>
        <w:jc w:val="both"/>
        <w:rPr>
          <w:rFonts w:asciiTheme="majorHAnsi" w:hAnsiTheme="majorHAnsi" w:cstheme="majorHAnsi"/>
          <w:b/>
          <w:szCs w:val="24"/>
        </w:rPr>
      </w:pPr>
      <w:r w:rsidRPr="00484D3B">
        <w:rPr>
          <w:rFonts w:asciiTheme="majorHAnsi" w:hAnsiTheme="majorHAnsi" w:cstheme="majorHAnsi"/>
          <w:b/>
          <w:szCs w:val="24"/>
        </w:rPr>
        <w:t>Definições</w:t>
      </w:r>
    </w:p>
    <w:p w14:paraId="6DD9CFD8" w14:textId="77777777" w:rsidR="00484D3B" w:rsidRPr="00484D3B" w:rsidRDefault="00484D3B" w:rsidP="00484D3B">
      <w:pPr>
        <w:spacing w:after="0"/>
        <w:jc w:val="both"/>
        <w:rPr>
          <w:rFonts w:asciiTheme="majorHAnsi" w:hAnsiTheme="majorHAnsi" w:cstheme="majorHAnsi"/>
          <w:szCs w:val="24"/>
        </w:rPr>
      </w:pPr>
    </w:p>
    <w:p w14:paraId="580780F6"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Os termos a seguir são utilizados nesta norma com os seguintes significados:</w:t>
      </w:r>
    </w:p>
    <w:p w14:paraId="32EB41FF" w14:textId="77777777" w:rsidR="00484D3B" w:rsidRPr="00484D3B" w:rsidRDefault="00484D3B" w:rsidP="00484D3B">
      <w:pPr>
        <w:pStyle w:val="PargrafodaLista"/>
        <w:spacing w:after="0" w:line="240" w:lineRule="auto"/>
        <w:ind w:left="567"/>
        <w:jc w:val="both"/>
        <w:rPr>
          <w:rFonts w:asciiTheme="majorHAnsi" w:hAnsiTheme="majorHAnsi" w:cstheme="majorHAnsi"/>
          <w:b/>
        </w:rPr>
      </w:pPr>
      <w:r w:rsidRPr="00484D3B">
        <w:rPr>
          <w:rFonts w:asciiTheme="majorHAnsi" w:hAnsiTheme="majorHAnsi" w:cstheme="majorHAnsi"/>
          <w:b/>
          <w:u w:val="single"/>
        </w:rPr>
        <w:t>Acordo vinculante</w:t>
      </w:r>
      <w:r w:rsidRPr="00484D3B">
        <w:rPr>
          <w:rFonts w:asciiTheme="majorHAnsi" w:hAnsiTheme="majorHAnsi" w:cstheme="majorHAnsi"/>
          <w:b/>
        </w:rPr>
        <w:t xml:space="preserve"> é aquele que confere direitos e obrigações executáveis às partes como se fosse na forma de contrato. Isso inclui direitos contratuais ou outros direitos legais.</w:t>
      </w:r>
    </w:p>
    <w:p w14:paraId="064FAB4F" w14:textId="77777777" w:rsidR="00484D3B" w:rsidRPr="00484D3B" w:rsidRDefault="00484D3B" w:rsidP="00484D3B">
      <w:pPr>
        <w:pStyle w:val="PargrafodaLista"/>
        <w:spacing w:after="0" w:line="240" w:lineRule="auto"/>
        <w:ind w:left="567"/>
        <w:jc w:val="both"/>
        <w:rPr>
          <w:rFonts w:asciiTheme="majorHAnsi" w:hAnsiTheme="majorHAnsi" w:cstheme="majorHAnsi"/>
          <w:b/>
        </w:rPr>
      </w:pPr>
      <w:r w:rsidRPr="00484D3B">
        <w:rPr>
          <w:rFonts w:asciiTheme="majorHAnsi" w:hAnsiTheme="majorHAnsi" w:cstheme="majorHAnsi"/>
          <w:b/>
          <w:u w:val="single"/>
        </w:rPr>
        <w:t>Acordo em conjunto</w:t>
      </w:r>
      <w:r w:rsidRPr="00484D3B">
        <w:rPr>
          <w:rFonts w:asciiTheme="majorHAnsi" w:hAnsiTheme="majorHAnsi" w:cstheme="majorHAnsi"/>
          <w:b/>
        </w:rPr>
        <w:t xml:space="preserve"> é o acordo pelo qual duas ou mais partes têm controle em conjunto.</w:t>
      </w:r>
    </w:p>
    <w:p w14:paraId="396B96BE" w14:textId="77777777" w:rsidR="00484D3B" w:rsidRPr="00484D3B" w:rsidRDefault="00484D3B" w:rsidP="00484D3B">
      <w:pPr>
        <w:pStyle w:val="PargrafodaLista"/>
        <w:spacing w:after="0" w:line="240" w:lineRule="auto"/>
        <w:ind w:left="567"/>
        <w:jc w:val="both"/>
        <w:rPr>
          <w:rFonts w:asciiTheme="majorHAnsi" w:hAnsiTheme="majorHAnsi" w:cstheme="majorHAnsi"/>
          <w:b/>
        </w:rPr>
      </w:pPr>
      <w:r w:rsidRPr="00484D3B">
        <w:rPr>
          <w:rFonts w:asciiTheme="majorHAnsi" w:hAnsiTheme="majorHAnsi" w:cstheme="majorHAnsi"/>
          <w:b/>
          <w:u w:val="single"/>
        </w:rPr>
        <w:t>Controle em conjunto</w:t>
      </w:r>
      <w:r w:rsidRPr="00484D3B">
        <w:rPr>
          <w:rFonts w:asciiTheme="majorHAnsi" w:hAnsiTheme="majorHAnsi" w:cstheme="majorHAnsi"/>
          <w:b/>
        </w:rPr>
        <w:t xml:space="preserve"> é o compartilhamento do controle por meio de acordo vinculante, que existe apenas quando decisões sobre as atividades relevantes exigirem o consentimento unânime das partes que compartilham o controle.</w:t>
      </w:r>
    </w:p>
    <w:p w14:paraId="6F82D4D5" w14:textId="77777777" w:rsidR="00484D3B" w:rsidRPr="00484D3B" w:rsidRDefault="00484D3B" w:rsidP="00484D3B">
      <w:pPr>
        <w:pStyle w:val="PargrafodaLista"/>
        <w:spacing w:after="0" w:line="240" w:lineRule="auto"/>
        <w:ind w:left="567"/>
        <w:jc w:val="both"/>
        <w:rPr>
          <w:rFonts w:asciiTheme="majorHAnsi" w:hAnsiTheme="majorHAnsi" w:cstheme="majorHAnsi"/>
          <w:b/>
        </w:rPr>
      </w:pPr>
      <w:r w:rsidRPr="00484D3B">
        <w:rPr>
          <w:rFonts w:asciiTheme="majorHAnsi" w:hAnsiTheme="majorHAnsi" w:cstheme="majorHAnsi"/>
          <w:b/>
          <w:u w:val="single"/>
        </w:rPr>
        <w:t>Operação em conjunto</w:t>
      </w:r>
      <w:r w:rsidRPr="00484D3B">
        <w:rPr>
          <w:rFonts w:asciiTheme="majorHAnsi" w:hAnsiTheme="majorHAnsi" w:cstheme="majorHAnsi"/>
          <w:b/>
        </w:rPr>
        <w:t xml:space="preserve"> corresponde ao acordo em conjunto em que as partes que o controlam têm direitos sobre os ativos e obrigações junto aos passivos, relacionadas ao acordo.</w:t>
      </w:r>
    </w:p>
    <w:p w14:paraId="092BD91B" w14:textId="77777777" w:rsidR="00484D3B" w:rsidRPr="00484D3B" w:rsidRDefault="00484D3B" w:rsidP="00484D3B">
      <w:pPr>
        <w:pStyle w:val="PargrafodaLista"/>
        <w:spacing w:after="0" w:line="240" w:lineRule="auto"/>
        <w:ind w:left="567"/>
        <w:jc w:val="both"/>
        <w:rPr>
          <w:rFonts w:asciiTheme="majorHAnsi" w:hAnsiTheme="majorHAnsi" w:cstheme="majorHAnsi"/>
          <w:b/>
        </w:rPr>
      </w:pPr>
      <w:r w:rsidRPr="00484D3B">
        <w:rPr>
          <w:rFonts w:asciiTheme="majorHAnsi" w:hAnsiTheme="majorHAnsi" w:cstheme="majorHAnsi"/>
          <w:b/>
          <w:u w:val="single"/>
        </w:rPr>
        <w:t>Operador em conjunto</w:t>
      </w:r>
      <w:r w:rsidRPr="00484D3B">
        <w:rPr>
          <w:rFonts w:asciiTheme="majorHAnsi" w:hAnsiTheme="majorHAnsi" w:cstheme="majorHAnsi"/>
          <w:b/>
        </w:rPr>
        <w:t xml:space="preserve"> é parte de operação conjunta que possui controle em conjunto dessa operação.</w:t>
      </w:r>
    </w:p>
    <w:p w14:paraId="72349FAC" w14:textId="77777777" w:rsidR="00484D3B" w:rsidRPr="00484D3B" w:rsidRDefault="00484D3B" w:rsidP="00484D3B">
      <w:pPr>
        <w:pStyle w:val="PargrafodaLista"/>
        <w:spacing w:after="0" w:line="240" w:lineRule="auto"/>
        <w:ind w:left="567"/>
        <w:jc w:val="both"/>
        <w:rPr>
          <w:rFonts w:asciiTheme="majorHAnsi" w:hAnsiTheme="majorHAnsi" w:cstheme="majorHAnsi"/>
          <w:b/>
        </w:rPr>
      </w:pPr>
      <w:r w:rsidRPr="00484D3B">
        <w:rPr>
          <w:rFonts w:asciiTheme="majorHAnsi" w:hAnsiTheme="majorHAnsi" w:cstheme="majorHAnsi"/>
          <w:b/>
          <w:u w:val="single"/>
        </w:rPr>
        <w:t>Empreendimento controlado em conjunto</w:t>
      </w:r>
      <w:r w:rsidRPr="00484D3B">
        <w:rPr>
          <w:rFonts w:asciiTheme="majorHAnsi" w:hAnsiTheme="majorHAnsi" w:cstheme="majorHAnsi"/>
          <w:b/>
        </w:rPr>
        <w:t xml:space="preserve"> é o acordo por meio do qual as partes controlam em conjunto o empreendimento e possuem direitos em seus ativos líquidos.</w:t>
      </w:r>
    </w:p>
    <w:p w14:paraId="67DE7288" w14:textId="77777777" w:rsidR="00484D3B" w:rsidRPr="00484D3B" w:rsidRDefault="00484D3B" w:rsidP="00484D3B">
      <w:pPr>
        <w:pStyle w:val="PargrafodaLista"/>
        <w:spacing w:after="0" w:line="240" w:lineRule="auto"/>
        <w:ind w:left="567"/>
        <w:jc w:val="both"/>
        <w:rPr>
          <w:rFonts w:asciiTheme="majorHAnsi" w:hAnsiTheme="majorHAnsi" w:cstheme="majorHAnsi"/>
          <w:b/>
        </w:rPr>
      </w:pPr>
      <w:r w:rsidRPr="00484D3B">
        <w:rPr>
          <w:rFonts w:asciiTheme="majorHAnsi" w:hAnsiTheme="majorHAnsi" w:cstheme="majorHAnsi"/>
          <w:b/>
          <w:u w:val="single"/>
        </w:rPr>
        <w:t>Empreendedor em conjunto</w:t>
      </w:r>
      <w:r w:rsidRPr="00484D3B">
        <w:rPr>
          <w:rFonts w:asciiTheme="majorHAnsi" w:hAnsiTheme="majorHAnsi" w:cstheme="majorHAnsi"/>
          <w:b/>
        </w:rPr>
        <w:t xml:space="preserve"> é a parte de empreendimento controlado em conjunto que tem controle em conjunto desse empreendimento.</w:t>
      </w:r>
    </w:p>
    <w:p w14:paraId="5BDCBEB8" w14:textId="77777777" w:rsidR="00484D3B" w:rsidRPr="00484D3B" w:rsidRDefault="00484D3B" w:rsidP="00484D3B">
      <w:pPr>
        <w:pStyle w:val="PargrafodaLista"/>
        <w:spacing w:after="0" w:line="240" w:lineRule="auto"/>
        <w:ind w:left="567"/>
        <w:jc w:val="both"/>
        <w:rPr>
          <w:rFonts w:asciiTheme="majorHAnsi" w:hAnsiTheme="majorHAnsi" w:cstheme="majorHAnsi"/>
          <w:b/>
        </w:rPr>
      </w:pPr>
      <w:r w:rsidRPr="00484D3B">
        <w:rPr>
          <w:rFonts w:asciiTheme="majorHAnsi" w:hAnsiTheme="majorHAnsi" w:cstheme="majorHAnsi"/>
          <w:b/>
          <w:u w:val="single"/>
        </w:rPr>
        <w:t>Parte em acordo em conjunto</w:t>
      </w:r>
      <w:r w:rsidRPr="00484D3B">
        <w:rPr>
          <w:rFonts w:asciiTheme="majorHAnsi" w:hAnsiTheme="majorHAnsi" w:cstheme="majorHAnsi"/>
          <w:b/>
        </w:rPr>
        <w:t xml:space="preserve"> é a entidade que participa de acordo em conjunto, independentemente de ter o controle em conjunto do acordo.</w:t>
      </w:r>
    </w:p>
    <w:p w14:paraId="3E8D8797" w14:textId="77777777" w:rsidR="00484D3B" w:rsidRPr="00484D3B" w:rsidRDefault="00484D3B" w:rsidP="00484D3B">
      <w:pPr>
        <w:pStyle w:val="PargrafodaLista"/>
        <w:spacing w:after="0" w:line="240" w:lineRule="auto"/>
        <w:ind w:left="567"/>
        <w:jc w:val="both"/>
        <w:rPr>
          <w:rFonts w:asciiTheme="majorHAnsi" w:hAnsiTheme="majorHAnsi" w:cstheme="majorHAnsi"/>
          <w:b/>
        </w:rPr>
      </w:pPr>
      <w:r w:rsidRPr="00484D3B">
        <w:rPr>
          <w:rFonts w:asciiTheme="majorHAnsi" w:hAnsiTheme="majorHAnsi" w:cstheme="majorHAnsi"/>
          <w:b/>
          <w:u w:val="single"/>
        </w:rPr>
        <w:lastRenderedPageBreak/>
        <w:t>Instrumento separado</w:t>
      </w:r>
      <w:r w:rsidRPr="00484D3B">
        <w:rPr>
          <w:rFonts w:asciiTheme="majorHAnsi" w:hAnsiTheme="majorHAnsi" w:cstheme="majorHAnsi"/>
          <w:b/>
        </w:rPr>
        <w:t xml:space="preserve"> é a estrutura financeira identificável separadamente, incluindo entidades legalmente separadas ou reconhecidas por estatuto, independentemente de essas entidades terem personalidade jurídica.</w:t>
      </w:r>
    </w:p>
    <w:p w14:paraId="5697712A" w14:textId="77777777" w:rsidR="00484D3B" w:rsidRPr="00484D3B" w:rsidRDefault="00484D3B" w:rsidP="00484D3B">
      <w:pPr>
        <w:pStyle w:val="PargrafodaLista"/>
        <w:spacing w:after="0" w:line="240" w:lineRule="auto"/>
        <w:ind w:left="567"/>
        <w:jc w:val="both"/>
        <w:rPr>
          <w:rFonts w:asciiTheme="majorHAnsi" w:hAnsiTheme="majorHAnsi" w:cstheme="majorHAnsi"/>
          <w:b/>
        </w:rPr>
      </w:pPr>
    </w:p>
    <w:p w14:paraId="0ADD32C6" w14:textId="77777777" w:rsidR="00484D3B" w:rsidRPr="00484D3B" w:rsidRDefault="00484D3B" w:rsidP="00484D3B">
      <w:pPr>
        <w:pStyle w:val="PargrafodaLista"/>
        <w:spacing w:after="0" w:line="240" w:lineRule="auto"/>
        <w:ind w:left="567"/>
        <w:jc w:val="both"/>
        <w:rPr>
          <w:rFonts w:asciiTheme="majorHAnsi" w:hAnsiTheme="majorHAnsi" w:cstheme="majorHAnsi"/>
          <w:b/>
        </w:rPr>
      </w:pPr>
      <w:r w:rsidRPr="00484D3B">
        <w:rPr>
          <w:rFonts w:asciiTheme="majorHAnsi" w:hAnsiTheme="majorHAnsi" w:cstheme="majorHAnsi"/>
          <w:b/>
        </w:rPr>
        <w:t>Os termos definidos em outras NBCs TSP são utilizados nesta norma com o mesmo significado que nessas outras normas. Os seguintes termos são definidos na NBC TSP 16 – Demonstrações Contábeis Separadas, na NBC TSP 17 – Demonstrações Contábeis Consolidadas ou na NBC TSP 18 – Investimento em Coligada e em Empreendimento Controlado em Conjunto: benefícios, controle, método da equivalência patrimonial, poder, direitos de proteção, atividades relevantes, demonstrações contábeis separadas e influência significativa.</w:t>
      </w:r>
    </w:p>
    <w:p w14:paraId="62F19997" w14:textId="77777777" w:rsidR="00484D3B" w:rsidRPr="00484D3B" w:rsidRDefault="00484D3B" w:rsidP="00484D3B">
      <w:pPr>
        <w:spacing w:after="0"/>
        <w:jc w:val="both"/>
        <w:rPr>
          <w:rFonts w:asciiTheme="majorHAnsi" w:hAnsiTheme="majorHAnsi" w:cstheme="majorHAnsi"/>
          <w:szCs w:val="24"/>
        </w:rPr>
      </w:pPr>
    </w:p>
    <w:p w14:paraId="699E1084" w14:textId="77777777" w:rsidR="00484D3B" w:rsidRPr="00484D3B" w:rsidRDefault="00484D3B" w:rsidP="00484D3B">
      <w:pPr>
        <w:spacing w:after="0"/>
        <w:jc w:val="both"/>
        <w:rPr>
          <w:rFonts w:asciiTheme="majorHAnsi" w:hAnsiTheme="majorHAnsi" w:cstheme="majorHAnsi"/>
          <w:b/>
          <w:szCs w:val="24"/>
        </w:rPr>
      </w:pPr>
      <w:r w:rsidRPr="00484D3B">
        <w:rPr>
          <w:rFonts w:asciiTheme="majorHAnsi" w:hAnsiTheme="majorHAnsi" w:cstheme="majorHAnsi"/>
          <w:b/>
          <w:szCs w:val="24"/>
        </w:rPr>
        <w:t>Acordo vinculante</w:t>
      </w:r>
    </w:p>
    <w:p w14:paraId="6FEC8FE9" w14:textId="77777777" w:rsidR="00484D3B" w:rsidRPr="00484D3B" w:rsidRDefault="00484D3B" w:rsidP="00484D3B">
      <w:pPr>
        <w:spacing w:after="0"/>
        <w:jc w:val="both"/>
        <w:rPr>
          <w:rFonts w:asciiTheme="majorHAnsi" w:hAnsiTheme="majorHAnsi" w:cstheme="majorHAnsi"/>
          <w:b/>
          <w:szCs w:val="24"/>
        </w:rPr>
      </w:pPr>
    </w:p>
    <w:p w14:paraId="6159D66D"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rPr>
      </w:pPr>
      <w:r w:rsidRPr="00484D3B">
        <w:rPr>
          <w:rFonts w:asciiTheme="majorHAnsi" w:hAnsiTheme="majorHAnsi" w:cstheme="majorHAnsi"/>
        </w:rPr>
        <w:t>Acordos vinculantes podem ser evidenciados de diferentes maneiras. O acordo vinculante é geralmente, mas nem sempre, formalizado por escrito, tal como contrato ou deliberações documentadas entre as partes. Mecanismos legais, tais como atos dos Poderes Legislativo ou Executivo, podem também criar acordos executáveis, similares a acordos contratuais, tanto por si mesmo ou em conjunto com contratos entre as partes.</w:t>
      </w:r>
    </w:p>
    <w:p w14:paraId="4E840C4E" w14:textId="77777777" w:rsidR="00484D3B" w:rsidRPr="00484D3B" w:rsidRDefault="00484D3B" w:rsidP="00484D3B">
      <w:pPr>
        <w:spacing w:after="0"/>
        <w:jc w:val="both"/>
        <w:rPr>
          <w:rFonts w:asciiTheme="majorHAnsi" w:hAnsiTheme="majorHAnsi" w:cstheme="majorHAnsi"/>
          <w:szCs w:val="24"/>
        </w:rPr>
      </w:pPr>
    </w:p>
    <w:p w14:paraId="3AD8FE14" w14:textId="77777777" w:rsidR="00484D3B" w:rsidRPr="00484D3B" w:rsidRDefault="00484D3B" w:rsidP="00484D3B">
      <w:pPr>
        <w:spacing w:after="0"/>
        <w:jc w:val="both"/>
        <w:rPr>
          <w:rFonts w:asciiTheme="majorHAnsi" w:hAnsiTheme="majorHAnsi" w:cstheme="majorHAnsi"/>
          <w:b/>
          <w:szCs w:val="24"/>
        </w:rPr>
      </w:pPr>
      <w:r w:rsidRPr="00484D3B">
        <w:rPr>
          <w:rFonts w:asciiTheme="majorHAnsi" w:hAnsiTheme="majorHAnsi" w:cstheme="majorHAnsi"/>
          <w:b/>
          <w:szCs w:val="24"/>
        </w:rPr>
        <w:t>Acordo em conjunto</w:t>
      </w:r>
    </w:p>
    <w:p w14:paraId="319814C4" w14:textId="77777777" w:rsidR="00484D3B" w:rsidRPr="00484D3B" w:rsidRDefault="00484D3B" w:rsidP="00484D3B">
      <w:pPr>
        <w:spacing w:after="0"/>
        <w:jc w:val="both"/>
        <w:rPr>
          <w:rFonts w:asciiTheme="majorHAnsi" w:hAnsiTheme="majorHAnsi" w:cstheme="majorHAnsi"/>
          <w:szCs w:val="24"/>
        </w:rPr>
      </w:pPr>
    </w:p>
    <w:p w14:paraId="32617254"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Acordo em conjunto é o acordo pelo qual duas ou mais partes têm controle em conjunto.</w:t>
      </w:r>
    </w:p>
    <w:p w14:paraId="5F6BD329" w14:textId="77777777" w:rsidR="00484D3B" w:rsidRPr="00484D3B" w:rsidRDefault="00484D3B" w:rsidP="00484D3B">
      <w:pPr>
        <w:pStyle w:val="PargrafodaLista"/>
        <w:spacing w:after="0" w:line="240" w:lineRule="auto"/>
        <w:ind w:left="1065"/>
        <w:jc w:val="both"/>
        <w:rPr>
          <w:rFonts w:asciiTheme="majorHAnsi" w:hAnsiTheme="majorHAnsi" w:cstheme="majorHAnsi"/>
          <w:b/>
        </w:rPr>
      </w:pPr>
    </w:p>
    <w:p w14:paraId="4690B325"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O acordo em conjunto tem as seguintes características:</w:t>
      </w:r>
    </w:p>
    <w:p w14:paraId="383577D2" w14:textId="77777777" w:rsidR="00484D3B" w:rsidRPr="00484D3B" w:rsidRDefault="00484D3B" w:rsidP="00484D3B">
      <w:pPr>
        <w:pStyle w:val="PargrafodaLista"/>
        <w:numPr>
          <w:ilvl w:val="0"/>
          <w:numId w:val="5"/>
        </w:numPr>
        <w:spacing w:after="0" w:line="240" w:lineRule="auto"/>
        <w:ind w:left="993" w:hanging="426"/>
        <w:jc w:val="both"/>
        <w:rPr>
          <w:rFonts w:asciiTheme="majorHAnsi" w:hAnsiTheme="majorHAnsi" w:cstheme="majorHAnsi"/>
          <w:b/>
        </w:rPr>
      </w:pPr>
      <w:r w:rsidRPr="00484D3B">
        <w:rPr>
          <w:rFonts w:asciiTheme="majorHAnsi" w:hAnsiTheme="majorHAnsi" w:cstheme="majorHAnsi"/>
          <w:b/>
        </w:rPr>
        <w:t>as partes integrantes estão vinculadas por acordo vinculante;</w:t>
      </w:r>
    </w:p>
    <w:p w14:paraId="764283E9" w14:textId="77777777" w:rsidR="00484D3B" w:rsidRPr="00484D3B" w:rsidRDefault="00484D3B" w:rsidP="00484D3B">
      <w:pPr>
        <w:pStyle w:val="PargrafodaLista"/>
        <w:numPr>
          <w:ilvl w:val="0"/>
          <w:numId w:val="5"/>
        </w:numPr>
        <w:spacing w:after="0" w:line="240" w:lineRule="auto"/>
        <w:ind w:left="993" w:hanging="426"/>
        <w:jc w:val="both"/>
        <w:rPr>
          <w:rFonts w:asciiTheme="majorHAnsi" w:hAnsiTheme="majorHAnsi" w:cstheme="majorHAnsi"/>
          <w:b/>
        </w:rPr>
      </w:pPr>
      <w:r w:rsidRPr="00484D3B">
        <w:rPr>
          <w:rFonts w:asciiTheme="majorHAnsi" w:hAnsiTheme="majorHAnsi" w:cstheme="majorHAnsi"/>
          <w:b/>
        </w:rPr>
        <w:t>o acordo vinculante dá a duas ou mais dessas partes o controle em conjunto do acordo (ver itens 12 a 18).</w:t>
      </w:r>
    </w:p>
    <w:p w14:paraId="70CB6C91" w14:textId="77777777" w:rsidR="00484D3B" w:rsidRPr="00484D3B" w:rsidRDefault="00484D3B" w:rsidP="00484D3B">
      <w:pPr>
        <w:spacing w:after="0"/>
        <w:jc w:val="both"/>
        <w:rPr>
          <w:rFonts w:asciiTheme="majorHAnsi" w:hAnsiTheme="majorHAnsi" w:cstheme="majorHAnsi"/>
          <w:b/>
          <w:szCs w:val="24"/>
        </w:rPr>
      </w:pPr>
    </w:p>
    <w:p w14:paraId="4710D84F"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O acordo em conjunto é operação em conjunto ou empreendimento controlado em conjunto.</w:t>
      </w:r>
    </w:p>
    <w:p w14:paraId="6C471C3F" w14:textId="77777777" w:rsidR="00484D3B" w:rsidRPr="00484D3B" w:rsidRDefault="00484D3B" w:rsidP="00484D3B">
      <w:pPr>
        <w:spacing w:after="0"/>
        <w:jc w:val="both"/>
        <w:rPr>
          <w:rFonts w:asciiTheme="majorHAnsi" w:hAnsiTheme="majorHAnsi" w:cstheme="majorHAnsi"/>
          <w:szCs w:val="24"/>
        </w:rPr>
      </w:pPr>
    </w:p>
    <w:p w14:paraId="7F139D03" w14:textId="77777777" w:rsidR="00484D3B" w:rsidRPr="00484D3B" w:rsidRDefault="00484D3B" w:rsidP="00484D3B">
      <w:pPr>
        <w:spacing w:after="0"/>
        <w:jc w:val="both"/>
        <w:rPr>
          <w:rFonts w:asciiTheme="majorHAnsi" w:hAnsiTheme="majorHAnsi" w:cstheme="majorHAnsi"/>
          <w:b/>
          <w:szCs w:val="24"/>
        </w:rPr>
      </w:pPr>
      <w:r w:rsidRPr="00484D3B">
        <w:rPr>
          <w:rFonts w:asciiTheme="majorHAnsi" w:hAnsiTheme="majorHAnsi" w:cstheme="majorHAnsi"/>
          <w:b/>
          <w:szCs w:val="24"/>
        </w:rPr>
        <w:t>Controle em conjunto</w:t>
      </w:r>
    </w:p>
    <w:p w14:paraId="2E7B6D4F" w14:textId="77777777" w:rsidR="00484D3B" w:rsidRPr="00484D3B" w:rsidRDefault="00484D3B" w:rsidP="00484D3B">
      <w:pPr>
        <w:spacing w:after="0"/>
        <w:jc w:val="both"/>
        <w:rPr>
          <w:rFonts w:asciiTheme="majorHAnsi" w:hAnsiTheme="majorHAnsi" w:cstheme="majorHAnsi"/>
          <w:szCs w:val="24"/>
        </w:rPr>
      </w:pPr>
    </w:p>
    <w:p w14:paraId="501D34DB"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Controle em conjunto é o compartilhamento do controle do acordo, que existe apenas quando decisões relacionadas a atividades relevantes exigirem o consentimento unânime das partes que compartilham o controle. O compartilhamento do controle pode ter sido firmado por meio de acordo vinculante.</w:t>
      </w:r>
    </w:p>
    <w:p w14:paraId="0B81A881" w14:textId="77777777" w:rsidR="00484D3B" w:rsidRPr="00484D3B" w:rsidRDefault="00484D3B" w:rsidP="00484D3B">
      <w:pPr>
        <w:pStyle w:val="PargrafodaLista"/>
        <w:spacing w:after="0" w:line="240" w:lineRule="auto"/>
        <w:ind w:left="1065"/>
        <w:jc w:val="both"/>
        <w:rPr>
          <w:rFonts w:asciiTheme="majorHAnsi" w:hAnsiTheme="majorHAnsi" w:cstheme="majorHAnsi"/>
          <w:b/>
        </w:rPr>
      </w:pPr>
    </w:p>
    <w:p w14:paraId="082A0268"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A entidade que é parte do acordo deve avaliar se o acordo vinculante dá a todas as partes, ou a grupo das partes, o controle do acordo coletivamente. Todas as partes, ou grupo das partes, controlam coletivamente o acordo quando devem agir em conjunto para conduzir as atividades que afetem significativamente os benefícios do acordo (ou seja, atividades relevantes).</w:t>
      </w:r>
    </w:p>
    <w:p w14:paraId="4EAB0355" w14:textId="77777777" w:rsidR="00484D3B" w:rsidRPr="00484D3B" w:rsidRDefault="00484D3B" w:rsidP="00484D3B">
      <w:pPr>
        <w:pStyle w:val="PargrafodaLista"/>
        <w:jc w:val="both"/>
        <w:rPr>
          <w:rFonts w:asciiTheme="majorHAnsi" w:hAnsiTheme="majorHAnsi" w:cstheme="majorHAnsi"/>
        </w:rPr>
      </w:pPr>
    </w:p>
    <w:p w14:paraId="11ABAC86"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rPr>
      </w:pPr>
      <w:r w:rsidRPr="00484D3B">
        <w:rPr>
          <w:rFonts w:asciiTheme="majorHAnsi" w:hAnsiTheme="majorHAnsi" w:cstheme="majorHAnsi"/>
        </w:rPr>
        <w:t>Uma vez que tenha sido determinado que todas as partes, ou grupo das partes, controlam o acordo coletivamente, o controle em conjunto existe somente quando as decisões sobre as atividades relevantes exigirem o consentimento unânime das partes que controlam o acordo coletivamente.</w:t>
      </w:r>
    </w:p>
    <w:p w14:paraId="02063F97" w14:textId="77777777" w:rsidR="00484D3B" w:rsidRPr="00484D3B" w:rsidRDefault="00484D3B" w:rsidP="00484D3B">
      <w:pPr>
        <w:pStyle w:val="PargrafodaLista"/>
        <w:jc w:val="both"/>
        <w:rPr>
          <w:rFonts w:asciiTheme="majorHAnsi" w:hAnsiTheme="majorHAnsi" w:cstheme="majorHAnsi"/>
        </w:rPr>
      </w:pPr>
    </w:p>
    <w:p w14:paraId="44C22C18"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rPr>
      </w:pPr>
      <w:r w:rsidRPr="00484D3B">
        <w:rPr>
          <w:rFonts w:asciiTheme="majorHAnsi" w:hAnsiTheme="majorHAnsi" w:cstheme="majorHAnsi"/>
        </w:rPr>
        <w:t>Em acordo em conjunto, nenhuma parte controla o acordo por si mesma. Uma parte com controle em conjunto do acordo pode impedir que qualquer das outras partes, ou grupo das partes, controle o acordo.</w:t>
      </w:r>
    </w:p>
    <w:p w14:paraId="68225CF3" w14:textId="77777777" w:rsidR="00484D3B" w:rsidRPr="00484D3B" w:rsidRDefault="00484D3B" w:rsidP="00484D3B">
      <w:pPr>
        <w:pStyle w:val="PargrafodaLista"/>
        <w:jc w:val="both"/>
        <w:rPr>
          <w:rFonts w:asciiTheme="majorHAnsi" w:hAnsiTheme="majorHAnsi" w:cstheme="majorHAnsi"/>
        </w:rPr>
      </w:pPr>
    </w:p>
    <w:p w14:paraId="0954CB05"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rPr>
      </w:pPr>
      <w:r w:rsidRPr="00484D3B">
        <w:rPr>
          <w:rFonts w:asciiTheme="majorHAnsi" w:hAnsiTheme="majorHAnsi" w:cstheme="majorHAnsi"/>
        </w:rPr>
        <w:t>O acordo pode ser conjunto, mesmo que nem todas as partes tenham controle em conjunto do acordo. Esta norma faz distinção entre as partes que têm controle em conjunto do acordo em conjunto (operadores conjuntos ou empreendedores controlados em conjunto) e as partes que participam, mas não têm controle em conjunto, do acordo em conjunto.</w:t>
      </w:r>
    </w:p>
    <w:p w14:paraId="14FD3225" w14:textId="77777777" w:rsidR="00484D3B" w:rsidRPr="00484D3B" w:rsidRDefault="00484D3B" w:rsidP="00484D3B">
      <w:pPr>
        <w:pStyle w:val="PargrafodaLista"/>
        <w:jc w:val="both"/>
        <w:rPr>
          <w:rFonts w:asciiTheme="majorHAnsi" w:hAnsiTheme="majorHAnsi" w:cstheme="majorHAnsi"/>
        </w:rPr>
      </w:pPr>
    </w:p>
    <w:p w14:paraId="5079792D"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A entidade deve fazer uso de julgamento quando da avaliação se todas as partes, ou grupo das partes, têm o controle em conjunto do acordo. A entidade deve fazer essa avaliação considerando todos os fatos e circunstâncias.</w:t>
      </w:r>
    </w:p>
    <w:p w14:paraId="5F2A94FA" w14:textId="77777777" w:rsidR="00484D3B" w:rsidRPr="00484D3B" w:rsidRDefault="00484D3B" w:rsidP="00484D3B">
      <w:pPr>
        <w:pStyle w:val="PargrafodaLista"/>
        <w:jc w:val="both"/>
        <w:rPr>
          <w:rFonts w:asciiTheme="majorHAnsi" w:hAnsiTheme="majorHAnsi" w:cstheme="majorHAnsi"/>
          <w:b/>
        </w:rPr>
      </w:pPr>
    </w:p>
    <w:p w14:paraId="7FA22EA8"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 xml:space="preserve">Se fatos e circunstâncias mudarem, a entidade </w:t>
      </w:r>
      <w:proofErr w:type="spellStart"/>
      <w:r w:rsidRPr="00484D3B">
        <w:rPr>
          <w:rFonts w:asciiTheme="majorHAnsi" w:hAnsiTheme="majorHAnsi" w:cstheme="majorHAnsi"/>
          <w:b/>
        </w:rPr>
        <w:t>deve</w:t>
      </w:r>
      <w:proofErr w:type="spellEnd"/>
      <w:r w:rsidRPr="00484D3B">
        <w:rPr>
          <w:rFonts w:asciiTheme="majorHAnsi" w:hAnsiTheme="majorHAnsi" w:cstheme="majorHAnsi"/>
          <w:b/>
        </w:rPr>
        <w:t xml:space="preserve"> reavaliar se ainda possui controle em conjunto do acordo.</w:t>
      </w:r>
    </w:p>
    <w:p w14:paraId="0BE4DC32" w14:textId="77777777" w:rsidR="00484D3B" w:rsidRPr="00484D3B" w:rsidRDefault="00484D3B" w:rsidP="00484D3B">
      <w:pPr>
        <w:spacing w:after="0"/>
        <w:jc w:val="both"/>
        <w:rPr>
          <w:rFonts w:asciiTheme="majorHAnsi" w:hAnsiTheme="majorHAnsi" w:cstheme="majorHAnsi"/>
          <w:szCs w:val="24"/>
        </w:rPr>
      </w:pPr>
    </w:p>
    <w:p w14:paraId="65E012B3" w14:textId="77777777" w:rsidR="00484D3B" w:rsidRPr="00484D3B" w:rsidRDefault="00484D3B" w:rsidP="00484D3B">
      <w:pPr>
        <w:autoSpaceDE w:val="0"/>
        <w:autoSpaceDN w:val="0"/>
        <w:adjustRightInd w:val="0"/>
        <w:spacing w:after="0"/>
        <w:jc w:val="both"/>
        <w:rPr>
          <w:rFonts w:asciiTheme="majorHAnsi" w:hAnsiTheme="majorHAnsi" w:cstheme="majorHAnsi"/>
          <w:b/>
          <w:szCs w:val="24"/>
        </w:rPr>
      </w:pPr>
      <w:r w:rsidRPr="00484D3B">
        <w:rPr>
          <w:rFonts w:asciiTheme="majorHAnsi" w:hAnsiTheme="majorHAnsi" w:cstheme="majorHAnsi"/>
          <w:b/>
          <w:szCs w:val="24"/>
        </w:rPr>
        <w:t>Tipos de acordo em conjunto</w:t>
      </w:r>
    </w:p>
    <w:p w14:paraId="603A4121" w14:textId="77777777" w:rsidR="00484D3B" w:rsidRPr="00484D3B" w:rsidRDefault="00484D3B" w:rsidP="00484D3B">
      <w:pPr>
        <w:autoSpaceDE w:val="0"/>
        <w:autoSpaceDN w:val="0"/>
        <w:adjustRightInd w:val="0"/>
        <w:spacing w:after="0"/>
        <w:jc w:val="both"/>
        <w:rPr>
          <w:rFonts w:asciiTheme="majorHAnsi" w:hAnsiTheme="majorHAnsi" w:cstheme="majorHAnsi"/>
          <w:szCs w:val="24"/>
        </w:rPr>
      </w:pPr>
    </w:p>
    <w:p w14:paraId="35E1829B"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A entidade deve determinar o tipo de acordo em conjunto em que está envolvida. A classificação do acordo em conjunto como operação em conjunto ou empreendimento controlado em conjunto depende dos direitos e obrigações das partes no acordo.</w:t>
      </w:r>
    </w:p>
    <w:p w14:paraId="275C3234" w14:textId="77777777" w:rsidR="00484D3B" w:rsidRPr="00484D3B" w:rsidRDefault="00484D3B" w:rsidP="00484D3B">
      <w:pPr>
        <w:autoSpaceDE w:val="0"/>
        <w:autoSpaceDN w:val="0"/>
        <w:adjustRightInd w:val="0"/>
        <w:spacing w:after="0"/>
        <w:jc w:val="both"/>
        <w:rPr>
          <w:rFonts w:asciiTheme="majorHAnsi" w:hAnsiTheme="majorHAnsi" w:cstheme="majorHAnsi"/>
          <w:b/>
          <w:szCs w:val="24"/>
        </w:rPr>
      </w:pPr>
    </w:p>
    <w:p w14:paraId="16FEA9B8"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A entidade deve fazer uso de julgamento ao avaliar se o acordo em conjunto é operação em conjunto ou empreendimento controlado em conjunto. A entidade deve determinar o tipo de acordo em conjunto em que está envolvida, considerando seus direitos e obrigações decorrentes do acordo. A entidade deve avaliar os seus direitos e obrigações, considerando a estrutura e a forma jurídica do acordo, os termos acordados pelas partes ou estabelecidos por autoridade legislativa ou executiva e, quando relevante, outros fatos e circunstâncias.</w:t>
      </w:r>
    </w:p>
    <w:p w14:paraId="42C1AD7E" w14:textId="77777777" w:rsidR="00484D3B" w:rsidRPr="00484D3B" w:rsidRDefault="00484D3B" w:rsidP="00484D3B">
      <w:pPr>
        <w:autoSpaceDE w:val="0"/>
        <w:autoSpaceDN w:val="0"/>
        <w:adjustRightInd w:val="0"/>
        <w:spacing w:after="0"/>
        <w:jc w:val="both"/>
        <w:rPr>
          <w:rFonts w:asciiTheme="majorHAnsi" w:hAnsiTheme="majorHAnsi" w:cstheme="majorHAnsi"/>
          <w:szCs w:val="24"/>
        </w:rPr>
      </w:pPr>
    </w:p>
    <w:p w14:paraId="1B2996B7"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rPr>
      </w:pPr>
      <w:r w:rsidRPr="00484D3B">
        <w:rPr>
          <w:rFonts w:asciiTheme="majorHAnsi" w:hAnsiTheme="majorHAnsi" w:cstheme="majorHAnsi"/>
        </w:rPr>
        <w:t xml:space="preserve">Algumas vezes, as partes estão limitadas pela estrutura do acordo que estabelece os termos gerais para a realização de uma ou mais atividades. Essa estrutura de acordo pode indicar que as partes estabelecem diferentes acordos em conjunto para lidar com atividades específicas que fazem parte do acordo. Embora esses acordos em conjunto estejam relacionados com a mesma estrutura, seu tipo pode ser diferente, se os direitos e as obrigações das partes diferirem ao realizarem as diferentes atividades tratadas na estrutura do acordo. Consequentemente, as operações em conjunto e os </w:t>
      </w:r>
      <w:r w:rsidRPr="00484D3B">
        <w:rPr>
          <w:rFonts w:asciiTheme="majorHAnsi" w:hAnsiTheme="majorHAnsi" w:cstheme="majorHAnsi"/>
        </w:rPr>
        <w:lastRenderedPageBreak/>
        <w:t>empreendimentos controlados em conjunto podem coexistir quando as partes realizam diferentes atividades que fazem parte da mesma estrutura do acordo.</w:t>
      </w:r>
    </w:p>
    <w:p w14:paraId="25879916" w14:textId="77777777" w:rsidR="00484D3B" w:rsidRPr="00484D3B" w:rsidRDefault="00484D3B" w:rsidP="00484D3B">
      <w:pPr>
        <w:autoSpaceDE w:val="0"/>
        <w:autoSpaceDN w:val="0"/>
        <w:adjustRightInd w:val="0"/>
        <w:spacing w:after="0"/>
        <w:jc w:val="both"/>
        <w:rPr>
          <w:rFonts w:asciiTheme="majorHAnsi" w:hAnsiTheme="majorHAnsi" w:cstheme="majorHAnsi"/>
          <w:szCs w:val="24"/>
        </w:rPr>
      </w:pPr>
    </w:p>
    <w:p w14:paraId="5E08BA15"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 xml:space="preserve">Se os fatos e as circunstâncias mudarem, a entidade </w:t>
      </w:r>
      <w:proofErr w:type="spellStart"/>
      <w:r w:rsidRPr="00484D3B">
        <w:rPr>
          <w:rFonts w:asciiTheme="majorHAnsi" w:hAnsiTheme="majorHAnsi" w:cstheme="majorHAnsi"/>
          <w:b/>
        </w:rPr>
        <w:t>deve</w:t>
      </w:r>
      <w:proofErr w:type="spellEnd"/>
      <w:r w:rsidRPr="00484D3B">
        <w:rPr>
          <w:rFonts w:asciiTheme="majorHAnsi" w:hAnsiTheme="majorHAnsi" w:cstheme="majorHAnsi"/>
          <w:b/>
        </w:rPr>
        <w:t xml:space="preserve"> reavaliar se o tipo de acordo em conjunto em que está envolvida mudou.</w:t>
      </w:r>
    </w:p>
    <w:p w14:paraId="0FD79059" w14:textId="77777777" w:rsidR="00484D3B" w:rsidRPr="00484D3B" w:rsidRDefault="00484D3B" w:rsidP="00484D3B">
      <w:pPr>
        <w:spacing w:after="0"/>
        <w:jc w:val="both"/>
        <w:rPr>
          <w:rFonts w:asciiTheme="majorHAnsi" w:hAnsiTheme="majorHAnsi" w:cstheme="majorHAnsi"/>
          <w:szCs w:val="24"/>
        </w:rPr>
      </w:pPr>
    </w:p>
    <w:p w14:paraId="5BC95C34" w14:textId="77777777" w:rsidR="00484D3B" w:rsidRPr="00484D3B" w:rsidRDefault="00484D3B" w:rsidP="00484D3B">
      <w:pPr>
        <w:spacing w:after="0"/>
        <w:jc w:val="both"/>
        <w:rPr>
          <w:rFonts w:asciiTheme="majorHAnsi" w:hAnsiTheme="majorHAnsi" w:cstheme="majorHAnsi"/>
          <w:b/>
          <w:szCs w:val="24"/>
        </w:rPr>
      </w:pPr>
      <w:r w:rsidRPr="00484D3B">
        <w:rPr>
          <w:rFonts w:asciiTheme="majorHAnsi" w:hAnsiTheme="majorHAnsi" w:cstheme="majorHAnsi"/>
          <w:b/>
          <w:szCs w:val="24"/>
        </w:rPr>
        <w:t>Demonstrações contábeis das partes de acordo em conjunto</w:t>
      </w:r>
    </w:p>
    <w:p w14:paraId="56E327BB" w14:textId="77777777" w:rsidR="00484D3B" w:rsidRPr="00484D3B" w:rsidRDefault="00484D3B" w:rsidP="00484D3B">
      <w:pPr>
        <w:spacing w:after="0"/>
        <w:jc w:val="both"/>
        <w:rPr>
          <w:rFonts w:asciiTheme="majorHAnsi" w:hAnsiTheme="majorHAnsi" w:cstheme="majorHAnsi"/>
          <w:szCs w:val="24"/>
        </w:rPr>
      </w:pPr>
    </w:p>
    <w:p w14:paraId="63781FE7" w14:textId="77777777" w:rsidR="00484D3B" w:rsidRPr="00484D3B" w:rsidRDefault="00484D3B" w:rsidP="00484D3B">
      <w:pPr>
        <w:spacing w:after="0"/>
        <w:jc w:val="both"/>
        <w:rPr>
          <w:rFonts w:asciiTheme="majorHAnsi" w:hAnsiTheme="majorHAnsi" w:cstheme="majorHAnsi"/>
          <w:b/>
          <w:szCs w:val="24"/>
        </w:rPr>
      </w:pPr>
      <w:r w:rsidRPr="00484D3B">
        <w:rPr>
          <w:rFonts w:asciiTheme="majorHAnsi" w:hAnsiTheme="majorHAnsi" w:cstheme="majorHAnsi"/>
          <w:b/>
          <w:szCs w:val="24"/>
        </w:rPr>
        <w:t>Operação em conjunto</w:t>
      </w:r>
    </w:p>
    <w:p w14:paraId="126CBB22" w14:textId="77777777" w:rsidR="00484D3B" w:rsidRPr="00484D3B" w:rsidRDefault="00484D3B" w:rsidP="00484D3B">
      <w:pPr>
        <w:spacing w:after="0"/>
        <w:jc w:val="both"/>
        <w:rPr>
          <w:rFonts w:asciiTheme="majorHAnsi" w:hAnsiTheme="majorHAnsi" w:cstheme="majorHAnsi"/>
          <w:szCs w:val="24"/>
        </w:rPr>
      </w:pPr>
    </w:p>
    <w:p w14:paraId="7053D580"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O operador em conjunto deve reconhecer em relação à sua participação em operação em conjunto:</w:t>
      </w:r>
    </w:p>
    <w:p w14:paraId="5B327AA5" w14:textId="77777777" w:rsidR="00484D3B" w:rsidRPr="00484D3B" w:rsidRDefault="00484D3B" w:rsidP="00484D3B">
      <w:pPr>
        <w:pStyle w:val="PargrafodaLista"/>
        <w:numPr>
          <w:ilvl w:val="0"/>
          <w:numId w:val="6"/>
        </w:numPr>
        <w:spacing w:after="0" w:line="240" w:lineRule="auto"/>
        <w:ind w:left="993" w:hanging="426"/>
        <w:jc w:val="both"/>
        <w:rPr>
          <w:rFonts w:asciiTheme="majorHAnsi" w:hAnsiTheme="majorHAnsi" w:cstheme="majorHAnsi"/>
          <w:b/>
        </w:rPr>
      </w:pPr>
      <w:r w:rsidRPr="00484D3B">
        <w:rPr>
          <w:rFonts w:asciiTheme="majorHAnsi" w:hAnsiTheme="majorHAnsi" w:cstheme="majorHAnsi"/>
          <w:b/>
        </w:rPr>
        <w:t>seus ativos, incluindo a sua participação em quaisquer ativos mantidos em conjunto;</w:t>
      </w:r>
    </w:p>
    <w:p w14:paraId="3A98028E" w14:textId="77777777" w:rsidR="00484D3B" w:rsidRPr="00484D3B" w:rsidRDefault="00484D3B" w:rsidP="00484D3B">
      <w:pPr>
        <w:pStyle w:val="PargrafodaLista"/>
        <w:numPr>
          <w:ilvl w:val="0"/>
          <w:numId w:val="6"/>
        </w:numPr>
        <w:spacing w:after="0" w:line="240" w:lineRule="auto"/>
        <w:ind w:left="993" w:hanging="426"/>
        <w:jc w:val="both"/>
        <w:rPr>
          <w:rFonts w:asciiTheme="majorHAnsi" w:hAnsiTheme="majorHAnsi" w:cstheme="majorHAnsi"/>
          <w:b/>
        </w:rPr>
      </w:pPr>
      <w:r w:rsidRPr="00484D3B">
        <w:rPr>
          <w:rFonts w:asciiTheme="majorHAnsi" w:hAnsiTheme="majorHAnsi" w:cstheme="majorHAnsi"/>
          <w:b/>
        </w:rPr>
        <w:t>seus passivos, incluindo a sua participação em quaisquer passivos incorridos em conjunto;</w:t>
      </w:r>
    </w:p>
    <w:p w14:paraId="74A6C9AA" w14:textId="77777777" w:rsidR="00484D3B" w:rsidRPr="00484D3B" w:rsidRDefault="00484D3B" w:rsidP="00484D3B">
      <w:pPr>
        <w:pStyle w:val="PargrafodaLista"/>
        <w:numPr>
          <w:ilvl w:val="0"/>
          <w:numId w:val="6"/>
        </w:numPr>
        <w:spacing w:after="0" w:line="240" w:lineRule="auto"/>
        <w:ind w:left="993" w:hanging="426"/>
        <w:jc w:val="both"/>
        <w:rPr>
          <w:rFonts w:asciiTheme="majorHAnsi" w:hAnsiTheme="majorHAnsi" w:cstheme="majorHAnsi"/>
          <w:b/>
        </w:rPr>
      </w:pPr>
      <w:r w:rsidRPr="00484D3B">
        <w:rPr>
          <w:rFonts w:asciiTheme="majorHAnsi" w:hAnsiTheme="majorHAnsi" w:cstheme="majorHAnsi"/>
          <w:b/>
        </w:rPr>
        <w:t>sua receita de venda da sua parcela sobre a produção advinda da operação em conjunto (venda direta por parte do operador em conjunto);</w:t>
      </w:r>
    </w:p>
    <w:p w14:paraId="3D9374EC" w14:textId="77777777" w:rsidR="00484D3B" w:rsidRPr="00484D3B" w:rsidRDefault="00484D3B" w:rsidP="00484D3B">
      <w:pPr>
        <w:pStyle w:val="PargrafodaLista"/>
        <w:numPr>
          <w:ilvl w:val="0"/>
          <w:numId w:val="6"/>
        </w:numPr>
        <w:spacing w:after="0" w:line="240" w:lineRule="auto"/>
        <w:ind w:left="993" w:hanging="426"/>
        <w:jc w:val="both"/>
        <w:rPr>
          <w:rFonts w:asciiTheme="majorHAnsi" w:hAnsiTheme="majorHAnsi" w:cstheme="majorHAnsi"/>
          <w:b/>
        </w:rPr>
      </w:pPr>
      <w:r w:rsidRPr="00484D3B">
        <w:rPr>
          <w:rFonts w:asciiTheme="majorHAnsi" w:hAnsiTheme="majorHAnsi" w:cstheme="majorHAnsi"/>
          <w:b/>
        </w:rPr>
        <w:t>sua parcela sobre a receita de venda da produção da operação em conjunto (venda por parte da operação em conjunto); e</w:t>
      </w:r>
    </w:p>
    <w:p w14:paraId="5CF94671" w14:textId="77777777" w:rsidR="00484D3B" w:rsidRPr="00484D3B" w:rsidRDefault="00484D3B" w:rsidP="00484D3B">
      <w:pPr>
        <w:pStyle w:val="PargrafodaLista"/>
        <w:numPr>
          <w:ilvl w:val="0"/>
          <w:numId w:val="6"/>
        </w:numPr>
        <w:spacing w:after="0" w:line="240" w:lineRule="auto"/>
        <w:ind w:left="993" w:hanging="426"/>
        <w:jc w:val="both"/>
        <w:rPr>
          <w:rFonts w:asciiTheme="majorHAnsi" w:hAnsiTheme="majorHAnsi" w:cstheme="majorHAnsi"/>
          <w:b/>
        </w:rPr>
      </w:pPr>
      <w:r w:rsidRPr="00484D3B">
        <w:rPr>
          <w:rFonts w:asciiTheme="majorHAnsi" w:hAnsiTheme="majorHAnsi" w:cstheme="majorHAnsi"/>
          <w:b/>
        </w:rPr>
        <w:t>suas despesas, incluindo a sua participação em quaisquer despesas incorridas em conjunto.</w:t>
      </w:r>
    </w:p>
    <w:p w14:paraId="62104C8B" w14:textId="77777777" w:rsidR="00484D3B" w:rsidRPr="00484D3B" w:rsidRDefault="00484D3B" w:rsidP="00484D3B">
      <w:pPr>
        <w:spacing w:after="0"/>
        <w:jc w:val="both"/>
        <w:rPr>
          <w:rFonts w:asciiTheme="majorHAnsi" w:hAnsiTheme="majorHAnsi" w:cstheme="majorHAnsi"/>
          <w:szCs w:val="24"/>
        </w:rPr>
      </w:pPr>
    </w:p>
    <w:p w14:paraId="26555520"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O operador em conjunto deve contabilizar os ativos, os passivos, as receitas e as despesas relacionados à sua participação em operação em conjunto de acordo com as NBCs TSP aplicáveis aos ativos, passivos, receitas e despesas específicas.</w:t>
      </w:r>
    </w:p>
    <w:p w14:paraId="32AF844B" w14:textId="77777777" w:rsidR="00484D3B" w:rsidRPr="00484D3B" w:rsidRDefault="00484D3B" w:rsidP="00484D3B">
      <w:pPr>
        <w:pStyle w:val="PargrafodaLista"/>
        <w:spacing w:after="0" w:line="240" w:lineRule="auto"/>
        <w:ind w:left="567"/>
        <w:jc w:val="both"/>
        <w:rPr>
          <w:rFonts w:asciiTheme="majorHAnsi" w:hAnsiTheme="majorHAnsi" w:cstheme="majorHAnsi"/>
          <w:b/>
        </w:rPr>
      </w:pPr>
    </w:p>
    <w:p w14:paraId="1272F8A8" w14:textId="77777777" w:rsidR="00484D3B" w:rsidRPr="00484D3B" w:rsidRDefault="00484D3B" w:rsidP="00484D3B">
      <w:pPr>
        <w:spacing w:after="0"/>
        <w:ind w:left="567" w:hanging="567"/>
        <w:jc w:val="both"/>
        <w:rPr>
          <w:rFonts w:asciiTheme="majorHAnsi" w:hAnsiTheme="majorHAnsi" w:cstheme="majorHAnsi"/>
          <w:b/>
          <w:bCs/>
          <w:color w:val="45B0E1"/>
          <w:szCs w:val="24"/>
        </w:rPr>
      </w:pPr>
      <w:r w:rsidRPr="00484D3B">
        <w:rPr>
          <w:rFonts w:asciiTheme="majorHAnsi" w:hAnsiTheme="majorHAnsi" w:cstheme="majorHAnsi"/>
          <w:b/>
          <w:szCs w:val="24"/>
        </w:rPr>
        <w:t xml:space="preserve">24A. </w:t>
      </w:r>
      <w:r w:rsidRPr="00484D3B">
        <w:rPr>
          <w:rFonts w:asciiTheme="majorHAnsi" w:hAnsiTheme="majorHAnsi" w:cstheme="majorHAnsi"/>
          <w:b/>
          <w:bCs/>
          <w:szCs w:val="24"/>
        </w:rPr>
        <w:t>Quando uma entidade adquire uma participação em uma operação conjunta cuja atividade constitui uma operação, conforme definido na NBC TSP 21 – Combinações no Setor Público, ela deve aplicar, na medida da sua participação e de acordo com o item 23, todos os princípios de contabilidade aplicáveis na aquisição estabelecidos na NBC TSP 21 e em outras NBCs TSP, desde que não entrem em conflito com as orientações desta Norma, além de divulgar as informações exigidas nessas NBCs TSP em relação às aquisições.</w:t>
      </w:r>
    </w:p>
    <w:p w14:paraId="5FB9FC7A" w14:textId="77777777" w:rsidR="00484D3B" w:rsidRPr="00484D3B" w:rsidRDefault="00484D3B" w:rsidP="00484D3B">
      <w:pPr>
        <w:spacing w:after="0"/>
        <w:ind w:left="567" w:hanging="567"/>
        <w:jc w:val="both"/>
        <w:rPr>
          <w:rFonts w:asciiTheme="majorHAnsi" w:hAnsiTheme="majorHAnsi" w:cstheme="majorHAnsi"/>
          <w:b/>
          <w:bCs/>
          <w:color w:val="45B0E1"/>
          <w:szCs w:val="24"/>
        </w:rPr>
      </w:pPr>
      <w:r w:rsidRPr="00484D3B">
        <w:rPr>
          <w:rFonts w:asciiTheme="majorHAnsi" w:hAnsiTheme="majorHAnsi" w:cstheme="majorHAnsi"/>
          <w:b/>
          <w:bCs/>
          <w:color w:val="45B0E1"/>
          <w:szCs w:val="24"/>
        </w:rPr>
        <w:tab/>
      </w:r>
      <w:r w:rsidRPr="00484D3B">
        <w:rPr>
          <w:rFonts w:asciiTheme="majorHAnsi" w:hAnsiTheme="majorHAnsi" w:cstheme="majorHAnsi"/>
          <w:b/>
          <w:bCs/>
          <w:szCs w:val="24"/>
        </w:rPr>
        <w:t xml:space="preserve">Isso se aplica tanto à aquisição da participação inicial quanto as aquisições adicionais em uma operação conjunta cuja atividade constitua uma operação. O tratamento contábil para a aquisição de uma participação em tal operação conjunta está especificado nos itens A33A – A33D do Apêndice desta Norma. </w:t>
      </w:r>
      <w:r w:rsidRPr="00484D3B">
        <w:rPr>
          <w:rFonts w:asciiTheme="majorHAnsi" w:hAnsiTheme="majorHAnsi" w:cstheme="majorHAnsi"/>
          <w:color w:val="45B0E1"/>
          <w:szCs w:val="24"/>
        </w:rPr>
        <w:t>(Incluído pela NBC TSP 19 (R1))</w:t>
      </w:r>
    </w:p>
    <w:p w14:paraId="7D17BE0A" w14:textId="77777777" w:rsidR="00484D3B" w:rsidRPr="00484D3B" w:rsidRDefault="00484D3B" w:rsidP="00484D3B">
      <w:pPr>
        <w:spacing w:after="0"/>
        <w:ind w:left="567" w:hanging="567"/>
        <w:jc w:val="both"/>
        <w:rPr>
          <w:rFonts w:asciiTheme="majorHAnsi" w:hAnsiTheme="majorHAnsi" w:cstheme="majorHAnsi"/>
          <w:b/>
          <w:bCs/>
          <w:szCs w:val="24"/>
        </w:rPr>
      </w:pPr>
    </w:p>
    <w:p w14:paraId="12E29127" w14:textId="77777777" w:rsidR="00484D3B" w:rsidRPr="00484D3B" w:rsidRDefault="00484D3B" w:rsidP="00484D3B">
      <w:pPr>
        <w:pStyle w:val="PargrafodaLista"/>
        <w:spacing w:after="0" w:line="240" w:lineRule="auto"/>
        <w:jc w:val="both"/>
        <w:rPr>
          <w:rFonts w:asciiTheme="majorHAnsi" w:hAnsiTheme="majorHAnsi" w:cstheme="majorHAnsi"/>
          <w:b/>
        </w:rPr>
      </w:pPr>
    </w:p>
    <w:p w14:paraId="18E7410A"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rPr>
      </w:pPr>
      <w:r w:rsidRPr="00484D3B">
        <w:rPr>
          <w:rFonts w:asciiTheme="majorHAnsi" w:hAnsiTheme="majorHAnsi" w:cstheme="majorHAnsi"/>
        </w:rPr>
        <w:t xml:space="preserve">A contabilização de transações, como a venda, contribuição ou compra de ativos entre uma entidade e a operação em conjunto da qual seja operadora conjunta, é especificada nos itens A34 – A37 do Apêndice. </w:t>
      </w:r>
      <w:r w:rsidRPr="00484D3B">
        <w:rPr>
          <w:rFonts w:asciiTheme="majorHAnsi" w:eastAsia="Times New Roman" w:hAnsiTheme="majorHAnsi" w:cstheme="majorHAnsi"/>
          <w:color w:val="45B0E1"/>
          <w:lang w:eastAsia="pt-BR"/>
        </w:rPr>
        <w:t>(Incluído pela NBC TSP 19 (R1))</w:t>
      </w:r>
    </w:p>
    <w:p w14:paraId="7AB6D520" w14:textId="77777777" w:rsidR="00484D3B" w:rsidRPr="00484D3B" w:rsidRDefault="00484D3B" w:rsidP="00484D3B">
      <w:pPr>
        <w:pStyle w:val="PargrafodaLista"/>
        <w:jc w:val="both"/>
        <w:rPr>
          <w:rFonts w:asciiTheme="majorHAnsi" w:hAnsiTheme="majorHAnsi" w:cstheme="majorHAnsi"/>
        </w:rPr>
      </w:pPr>
    </w:p>
    <w:p w14:paraId="531B2B2E"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lastRenderedPageBreak/>
        <w:t>Uma parte em operação em conjunto que não detenha o seu controle em conjunto também deve contabilizar sua participação no acordo, conforme os itens 23 e 24, caso tenha, com relação à operação em conjunto, direitos sobre os ativos e as obrigações quanto aos passivos. Se uma parte em operação em conjunto, mas que não seja parte do controle em conjunto, não tiver direitos sobre os ativos e as obrigações junto aos passivos, deve contabilizar sua participação na operação em conjunto em conformidade com as NBCs TSP aplicáveis àquela participação.</w:t>
      </w:r>
    </w:p>
    <w:p w14:paraId="5454559B" w14:textId="77777777" w:rsidR="00484D3B" w:rsidRPr="00484D3B" w:rsidRDefault="00484D3B" w:rsidP="00484D3B">
      <w:pPr>
        <w:spacing w:after="0"/>
        <w:jc w:val="both"/>
        <w:rPr>
          <w:rFonts w:asciiTheme="majorHAnsi" w:hAnsiTheme="majorHAnsi" w:cstheme="majorHAnsi"/>
          <w:szCs w:val="24"/>
        </w:rPr>
      </w:pPr>
    </w:p>
    <w:p w14:paraId="4265099A" w14:textId="77777777" w:rsidR="00484D3B" w:rsidRPr="00484D3B" w:rsidRDefault="00484D3B" w:rsidP="00484D3B">
      <w:pPr>
        <w:spacing w:after="0"/>
        <w:jc w:val="both"/>
        <w:rPr>
          <w:rFonts w:asciiTheme="majorHAnsi" w:hAnsiTheme="majorHAnsi" w:cstheme="majorHAnsi"/>
          <w:b/>
          <w:szCs w:val="24"/>
        </w:rPr>
      </w:pPr>
      <w:r w:rsidRPr="00484D3B">
        <w:rPr>
          <w:rFonts w:asciiTheme="majorHAnsi" w:hAnsiTheme="majorHAnsi" w:cstheme="majorHAnsi"/>
          <w:b/>
          <w:szCs w:val="24"/>
        </w:rPr>
        <w:t>Empreendimento controlado em conjunto</w:t>
      </w:r>
    </w:p>
    <w:p w14:paraId="392E412C" w14:textId="77777777" w:rsidR="00484D3B" w:rsidRPr="00484D3B" w:rsidRDefault="00484D3B" w:rsidP="00484D3B">
      <w:pPr>
        <w:spacing w:after="0"/>
        <w:jc w:val="both"/>
        <w:rPr>
          <w:rFonts w:asciiTheme="majorHAnsi" w:hAnsiTheme="majorHAnsi" w:cstheme="majorHAnsi"/>
          <w:szCs w:val="24"/>
        </w:rPr>
      </w:pPr>
    </w:p>
    <w:p w14:paraId="3E8701DC"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O empreendedor em conjunto deve reconhecer sua participação em empreendimento controlado em conjunto como investimento e deve contabilizá-lo com a aplicação do método da equivalência patrimonial, de acordo com a NBC TSP 18, a menos que a entidade esteja dispensada de aplicar o método da equivalência patrimonial de acordo com o especificado naquela norma.</w:t>
      </w:r>
    </w:p>
    <w:p w14:paraId="5C5F3CB2" w14:textId="77777777" w:rsidR="00484D3B" w:rsidRPr="00484D3B" w:rsidRDefault="00484D3B" w:rsidP="00484D3B">
      <w:pPr>
        <w:pStyle w:val="PargrafodaLista"/>
        <w:spacing w:after="0" w:line="240" w:lineRule="auto"/>
        <w:ind w:left="1065"/>
        <w:jc w:val="both"/>
        <w:rPr>
          <w:rFonts w:asciiTheme="majorHAnsi" w:hAnsiTheme="majorHAnsi" w:cstheme="majorHAnsi"/>
        </w:rPr>
      </w:pPr>
    </w:p>
    <w:p w14:paraId="4CA86875" w14:textId="77777777" w:rsidR="00484D3B" w:rsidRPr="00484D3B" w:rsidRDefault="00484D3B" w:rsidP="00484D3B">
      <w:pPr>
        <w:spacing w:after="0"/>
        <w:ind w:left="567" w:hanging="567"/>
        <w:jc w:val="both"/>
        <w:rPr>
          <w:rFonts w:asciiTheme="majorHAnsi" w:hAnsiTheme="majorHAnsi" w:cstheme="majorHAnsi"/>
          <w:b/>
          <w:bCs/>
          <w:color w:val="45B0E1"/>
          <w:szCs w:val="24"/>
        </w:rPr>
      </w:pPr>
      <w:r w:rsidRPr="00484D3B">
        <w:rPr>
          <w:rFonts w:asciiTheme="majorHAnsi" w:hAnsiTheme="majorHAnsi" w:cstheme="majorHAnsi"/>
          <w:b/>
          <w:bCs/>
          <w:szCs w:val="24"/>
        </w:rPr>
        <w:t xml:space="preserve">28.  A parte que participa, mas não tenha controle conjunto de um empreendimento controlado em conjunto deve contabilizar sua participação no acordo conforme as NBCs TSP aplicáveis a instrumentos financeiros, sendo elas: NBC TSP 30 – Instrumentos Financeiros: Apresentação, NBC TSP 33 – Instrumentos Financeiros: Divulgação e NBC TSP 31 – Instrumentos Financeiros, a menos que tenha influência significativa sobre o empreendimento controlado em conjunto, caso em que deve contabilizá-la de acordo com a NBC TSP 18.  </w:t>
      </w:r>
      <w:r w:rsidRPr="00484D3B">
        <w:rPr>
          <w:rFonts w:asciiTheme="majorHAnsi" w:hAnsiTheme="majorHAnsi" w:cstheme="majorHAnsi"/>
          <w:color w:val="45B0E1"/>
          <w:szCs w:val="24"/>
        </w:rPr>
        <w:t>(Incluído pela NBC TSP 19 (R1))</w:t>
      </w:r>
    </w:p>
    <w:p w14:paraId="73BC2AA4" w14:textId="77777777" w:rsidR="00484D3B" w:rsidRPr="00484D3B" w:rsidRDefault="00484D3B" w:rsidP="00484D3B">
      <w:pPr>
        <w:spacing w:after="0"/>
        <w:ind w:left="567" w:hanging="567"/>
        <w:jc w:val="both"/>
        <w:rPr>
          <w:rFonts w:asciiTheme="majorHAnsi" w:hAnsiTheme="majorHAnsi" w:cstheme="majorHAnsi"/>
          <w:szCs w:val="24"/>
        </w:rPr>
      </w:pPr>
    </w:p>
    <w:p w14:paraId="14BCC320" w14:textId="77777777" w:rsidR="00484D3B" w:rsidRPr="00484D3B" w:rsidRDefault="00484D3B" w:rsidP="00484D3B">
      <w:pPr>
        <w:spacing w:after="0"/>
        <w:jc w:val="both"/>
        <w:rPr>
          <w:rFonts w:asciiTheme="majorHAnsi" w:hAnsiTheme="majorHAnsi" w:cstheme="majorHAnsi"/>
          <w:b/>
          <w:szCs w:val="24"/>
        </w:rPr>
      </w:pPr>
      <w:r w:rsidRPr="00484D3B">
        <w:rPr>
          <w:rFonts w:asciiTheme="majorHAnsi" w:hAnsiTheme="majorHAnsi" w:cstheme="majorHAnsi"/>
          <w:b/>
          <w:szCs w:val="24"/>
        </w:rPr>
        <w:t>Demonstrações contábeis separadas</w:t>
      </w:r>
    </w:p>
    <w:p w14:paraId="28966BAF" w14:textId="77777777" w:rsidR="00484D3B" w:rsidRPr="00484D3B" w:rsidRDefault="00484D3B" w:rsidP="00484D3B">
      <w:pPr>
        <w:spacing w:after="0"/>
        <w:jc w:val="both"/>
        <w:rPr>
          <w:rFonts w:asciiTheme="majorHAnsi" w:hAnsiTheme="majorHAnsi" w:cstheme="majorHAnsi"/>
          <w:szCs w:val="24"/>
        </w:rPr>
      </w:pPr>
    </w:p>
    <w:p w14:paraId="2DADCFDF"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Nas suas demonstrações contábeis separadas, o operador ou o empreendedor em conjunto deve contabilizar sua participação em:</w:t>
      </w:r>
    </w:p>
    <w:p w14:paraId="000C79CE" w14:textId="77777777" w:rsidR="00484D3B" w:rsidRPr="00484D3B" w:rsidRDefault="00484D3B" w:rsidP="00484D3B">
      <w:pPr>
        <w:pStyle w:val="PargrafodaLista"/>
        <w:numPr>
          <w:ilvl w:val="0"/>
          <w:numId w:val="7"/>
        </w:numPr>
        <w:spacing w:after="0" w:line="240" w:lineRule="auto"/>
        <w:ind w:left="993" w:hanging="426"/>
        <w:jc w:val="both"/>
        <w:rPr>
          <w:rFonts w:asciiTheme="majorHAnsi" w:hAnsiTheme="majorHAnsi" w:cstheme="majorHAnsi"/>
          <w:b/>
        </w:rPr>
      </w:pPr>
      <w:r w:rsidRPr="00484D3B">
        <w:rPr>
          <w:rFonts w:asciiTheme="majorHAnsi" w:hAnsiTheme="majorHAnsi" w:cstheme="majorHAnsi"/>
          <w:b/>
        </w:rPr>
        <w:t>operação em conjunto, conforme os itens 23 e 24; e</w:t>
      </w:r>
    </w:p>
    <w:p w14:paraId="79A97480" w14:textId="77777777" w:rsidR="00484D3B" w:rsidRPr="00484D3B" w:rsidRDefault="00484D3B" w:rsidP="00484D3B">
      <w:pPr>
        <w:pStyle w:val="PargrafodaLista"/>
        <w:numPr>
          <w:ilvl w:val="0"/>
          <w:numId w:val="7"/>
        </w:numPr>
        <w:spacing w:after="0" w:line="240" w:lineRule="auto"/>
        <w:ind w:left="993" w:hanging="426"/>
        <w:jc w:val="both"/>
        <w:rPr>
          <w:rFonts w:asciiTheme="majorHAnsi" w:hAnsiTheme="majorHAnsi" w:cstheme="majorHAnsi"/>
          <w:b/>
        </w:rPr>
      </w:pPr>
      <w:r w:rsidRPr="00484D3B">
        <w:rPr>
          <w:rFonts w:asciiTheme="majorHAnsi" w:hAnsiTheme="majorHAnsi" w:cstheme="majorHAnsi"/>
          <w:b/>
        </w:rPr>
        <w:t>empreendimento controlado em conjunto, conforme o item 12 da NBC TSP 16.</w:t>
      </w:r>
    </w:p>
    <w:p w14:paraId="74E75A32" w14:textId="77777777" w:rsidR="00484D3B" w:rsidRPr="00484D3B" w:rsidRDefault="00484D3B" w:rsidP="00484D3B">
      <w:pPr>
        <w:spacing w:after="0"/>
        <w:jc w:val="both"/>
        <w:rPr>
          <w:rFonts w:asciiTheme="majorHAnsi" w:hAnsiTheme="majorHAnsi" w:cstheme="majorHAnsi"/>
          <w:b/>
          <w:szCs w:val="24"/>
        </w:rPr>
      </w:pPr>
    </w:p>
    <w:p w14:paraId="6A7C15D7" w14:textId="77777777" w:rsidR="00484D3B" w:rsidRPr="00484D3B" w:rsidRDefault="00484D3B" w:rsidP="00484D3B">
      <w:pPr>
        <w:pStyle w:val="PargrafodaLista"/>
        <w:numPr>
          <w:ilvl w:val="0"/>
          <w:numId w:val="4"/>
        </w:numPr>
        <w:spacing w:after="0" w:line="240" w:lineRule="auto"/>
        <w:ind w:left="567" w:hanging="567"/>
        <w:jc w:val="both"/>
        <w:rPr>
          <w:rFonts w:asciiTheme="majorHAnsi" w:hAnsiTheme="majorHAnsi" w:cstheme="majorHAnsi"/>
          <w:b/>
        </w:rPr>
      </w:pPr>
      <w:r w:rsidRPr="00484D3B">
        <w:rPr>
          <w:rFonts w:asciiTheme="majorHAnsi" w:hAnsiTheme="majorHAnsi" w:cstheme="majorHAnsi"/>
          <w:b/>
        </w:rPr>
        <w:t>Nas suas demonstrações contábeis separadas, uma parte de acordo em conjunto, mas que não faça parte do controle em conjunto, deve considerar sua participação em:</w:t>
      </w:r>
    </w:p>
    <w:p w14:paraId="355EC5AD" w14:textId="77777777" w:rsidR="00484D3B" w:rsidRPr="00484D3B" w:rsidRDefault="00484D3B" w:rsidP="00484D3B">
      <w:pPr>
        <w:pStyle w:val="PargrafodaLista"/>
        <w:numPr>
          <w:ilvl w:val="0"/>
          <w:numId w:val="8"/>
        </w:numPr>
        <w:spacing w:after="0" w:line="240" w:lineRule="auto"/>
        <w:ind w:left="993" w:hanging="426"/>
        <w:jc w:val="both"/>
        <w:rPr>
          <w:rFonts w:asciiTheme="majorHAnsi" w:hAnsiTheme="majorHAnsi" w:cstheme="majorHAnsi"/>
          <w:b/>
        </w:rPr>
      </w:pPr>
      <w:r w:rsidRPr="00484D3B">
        <w:rPr>
          <w:rFonts w:asciiTheme="majorHAnsi" w:hAnsiTheme="majorHAnsi" w:cstheme="majorHAnsi"/>
          <w:b/>
        </w:rPr>
        <w:t>operação em conjunto, conforme o item 26; e</w:t>
      </w:r>
    </w:p>
    <w:p w14:paraId="0FD25F42" w14:textId="77777777" w:rsidR="00484D3B" w:rsidRPr="00484D3B" w:rsidRDefault="00484D3B" w:rsidP="00484D3B">
      <w:pPr>
        <w:pStyle w:val="PargrafodaLista"/>
        <w:numPr>
          <w:ilvl w:val="0"/>
          <w:numId w:val="8"/>
        </w:numPr>
        <w:spacing w:after="0" w:line="240" w:lineRule="auto"/>
        <w:ind w:left="993" w:hanging="426"/>
        <w:jc w:val="both"/>
        <w:rPr>
          <w:rFonts w:asciiTheme="majorHAnsi" w:hAnsiTheme="majorHAnsi" w:cstheme="majorHAnsi"/>
          <w:b/>
        </w:rPr>
      </w:pPr>
      <w:r w:rsidRPr="00484D3B">
        <w:rPr>
          <w:rFonts w:asciiTheme="majorHAnsi" w:hAnsiTheme="majorHAnsi" w:cstheme="majorHAnsi"/>
          <w:b/>
        </w:rPr>
        <w:t>empreendimento controlado em conjunto, quando detiver influência significativa, caso em que deve aplicar o item 12 da NBC TSP 16.</w:t>
      </w:r>
    </w:p>
    <w:p w14:paraId="149D1F8D" w14:textId="77777777" w:rsidR="00484D3B" w:rsidRPr="00484D3B" w:rsidRDefault="00484D3B" w:rsidP="00484D3B">
      <w:pPr>
        <w:pStyle w:val="PargrafodaLista"/>
        <w:spacing w:after="0" w:line="240" w:lineRule="auto"/>
        <w:ind w:left="0"/>
        <w:jc w:val="both"/>
        <w:rPr>
          <w:rFonts w:asciiTheme="majorHAnsi" w:hAnsiTheme="majorHAnsi" w:cstheme="majorHAnsi"/>
          <w:b/>
        </w:rPr>
      </w:pPr>
    </w:p>
    <w:p w14:paraId="6AD01D04" w14:textId="77777777" w:rsidR="00484D3B" w:rsidRPr="00484D3B" w:rsidRDefault="00484D3B" w:rsidP="00484D3B">
      <w:pPr>
        <w:pStyle w:val="PargrafodaLista"/>
        <w:numPr>
          <w:ilvl w:val="0"/>
          <w:numId w:val="4"/>
        </w:numPr>
        <w:spacing w:after="0" w:line="240" w:lineRule="auto"/>
        <w:jc w:val="both"/>
        <w:rPr>
          <w:rFonts w:asciiTheme="majorHAnsi" w:hAnsiTheme="majorHAnsi" w:cstheme="majorHAnsi"/>
          <w:b/>
        </w:rPr>
      </w:pPr>
      <w:r w:rsidRPr="00484D3B">
        <w:rPr>
          <w:rFonts w:asciiTheme="majorHAnsi" w:hAnsiTheme="majorHAnsi" w:cstheme="majorHAnsi"/>
          <w:b/>
        </w:rPr>
        <w:t>Nas suas demonstrações contábeis separadas, uma parte de acordo em conjunto, mas que não faça parte do controle em conjunto, deve considerar sua participação em:</w:t>
      </w:r>
    </w:p>
    <w:p w14:paraId="4CF61684" w14:textId="77777777" w:rsidR="00484D3B" w:rsidRPr="00484D3B" w:rsidRDefault="00484D3B" w:rsidP="00484D3B">
      <w:pPr>
        <w:pStyle w:val="PargrafodaLista"/>
        <w:numPr>
          <w:ilvl w:val="0"/>
          <w:numId w:val="9"/>
        </w:numPr>
        <w:spacing w:after="0" w:line="240" w:lineRule="auto"/>
        <w:jc w:val="both"/>
        <w:rPr>
          <w:rFonts w:asciiTheme="majorHAnsi" w:hAnsiTheme="majorHAnsi" w:cstheme="majorHAnsi"/>
          <w:b/>
        </w:rPr>
      </w:pPr>
      <w:r w:rsidRPr="00484D3B">
        <w:rPr>
          <w:rFonts w:asciiTheme="majorHAnsi" w:hAnsiTheme="majorHAnsi" w:cstheme="majorHAnsi"/>
          <w:b/>
        </w:rPr>
        <w:t xml:space="preserve">operação em conjunto, conforme o item 26; e </w:t>
      </w:r>
    </w:p>
    <w:p w14:paraId="17CAADBB" w14:textId="77777777" w:rsidR="00484D3B" w:rsidRPr="00484D3B" w:rsidRDefault="00484D3B" w:rsidP="00484D3B">
      <w:pPr>
        <w:pStyle w:val="PargrafodaLista"/>
        <w:numPr>
          <w:ilvl w:val="0"/>
          <w:numId w:val="9"/>
        </w:numPr>
        <w:spacing w:after="0" w:line="240" w:lineRule="auto"/>
        <w:jc w:val="both"/>
        <w:rPr>
          <w:rFonts w:asciiTheme="majorHAnsi" w:hAnsiTheme="majorHAnsi" w:cstheme="majorHAnsi"/>
          <w:b/>
          <w:strike/>
        </w:rPr>
      </w:pPr>
      <w:r w:rsidRPr="00484D3B">
        <w:rPr>
          <w:rFonts w:asciiTheme="majorHAnsi" w:hAnsiTheme="majorHAnsi" w:cstheme="majorHAnsi"/>
          <w:b/>
          <w:strike/>
        </w:rPr>
        <w:t>empreendimento controlado em conjunto, quando detiver influência significativa, caso em que deve aplicar o item 12 da NBC TSP 16.</w:t>
      </w:r>
    </w:p>
    <w:p w14:paraId="5577A85D" w14:textId="77777777" w:rsidR="00484D3B" w:rsidRPr="00484D3B" w:rsidRDefault="00484D3B" w:rsidP="00484D3B">
      <w:pPr>
        <w:spacing w:after="0"/>
        <w:ind w:left="709"/>
        <w:jc w:val="both"/>
        <w:rPr>
          <w:rFonts w:asciiTheme="majorHAnsi" w:hAnsiTheme="majorHAnsi" w:cstheme="majorHAnsi"/>
          <w:b/>
          <w:bCs/>
          <w:color w:val="45B0E1"/>
          <w:szCs w:val="24"/>
        </w:rPr>
      </w:pPr>
      <w:r w:rsidRPr="00484D3B">
        <w:rPr>
          <w:rFonts w:asciiTheme="majorHAnsi" w:hAnsiTheme="majorHAnsi" w:cstheme="majorHAnsi"/>
          <w:b/>
          <w:bCs/>
          <w:szCs w:val="24"/>
        </w:rPr>
        <w:lastRenderedPageBreak/>
        <w:t xml:space="preserve">(b) empreendimento controlado em conjunto, de acordo com a NBC TSP 31; caso a entidade tenha influência significativa sobre o empreendimento controlado em conjunto deve aplicar o item 12 da NBC TSP 16. </w:t>
      </w:r>
      <w:r w:rsidRPr="00484D3B">
        <w:rPr>
          <w:rFonts w:asciiTheme="majorHAnsi" w:hAnsiTheme="majorHAnsi" w:cstheme="majorHAnsi"/>
          <w:color w:val="45B0E1"/>
          <w:szCs w:val="24"/>
        </w:rPr>
        <w:t>(Alterado pela NBC TSP 19 (R1))</w:t>
      </w:r>
    </w:p>
    <w:p w14:paraId="6A82D1EC" w14:textId="77777777" w:rsidR="00484D3B" w:rsidRPr="00484D3B" w:rsidRDefault="00484D3B" w:rsidP="00484D3B">
      <w:pPr>
        <w:spacing w:after="0"/>
        <w:jc w:val="both"/>
        <w:rPr>
          <w:rFonts w:asciiTheme="majorHAnsi" w:hAnsiTheme="majorHAnsi" w:cstheme="majorHAnsi"/>
          <w:b/>
          <w:bCs/>
          <w:szCs w:val="24"/>
        </w:rPr>
      </w:pPr>
    </w:p>
    <w:p w14:paraId="37BC3848" w14:textId="77777777" w:rsidR="00484D3B" w:rsidRPr="00484D3B" w:rsidRDefault="00484D3B" w:rsidP="00484D3B">
      <w:pPr>
        <w:spacing w:after="0"/>
        <w:jc w:val="both"/>
        <w:rPr>
          <w:rFonts w:asciiTheme="majorHAnsi" w:hAnsiTheme="majorHAnsi" w:cstheme="majorHAnsi"/>
          <w:b/>
          <w:bCs/>
          <w:szCs w:val="24"/>
        </w:rPr>
      </w:pPr>
      <w:r w:rsidRPr="00484D3B">
        <w:rPr>
          <w:rFonts w:asciiTheme="majorHAnsi" w:hAnsiTheme="majorHAnsi" w:cstheme="majorHAnsi"/>
          <w:b/>
          <w:bCs/>
          <w:szCs w:val="24"/>
        </w:rPr>
        <w:t xml:space="preserve">Disposições Transitórias </w:t>
      </w:r>
      <w:r w:rsidRPr="00484D3B">
        <w:rPr>
          <w:rFonts w:asciiTheme="majorHAnsi" w:hAnsiTheme="majorHAnsi" w:cstheme="majorHAnsi"/>
          <w:color w:val="45B0E1"/>
          <w:szCs w:val="24"/>
        </w:rPr>
        <w:t>(</w:t>
      </w:r>
      <w:bookmarkStart w:id="2" w:name="_Hlk208399356"/>
      <w:r w:rsidRPr="00484D3B">
        <w:rPr>
          <w:rFonts w:asciiTheme="majorHAnsi" w:hAnsiTheme="majorHAnsi" w:cstheme="majorHAnsi"/>
          <w:color w:val="45B0E1"/>
          <w:szCs w:val="24"/>
        </w:rPr>
        <w:t>Incluído pela NBC TSP 19 (R1))</w:t>
      </w:r>
      <w:bookmarkEnd w:id="2"/>
    </w:p>
    <w:p w14:paraId="4AC7EB10" w14:textId="77777777" w:rsidR="00484D3B" w:rsidRPr="00484D3B" w:rsidRDefault="00484D3B" w:rsidP="00484D3B">
      <w:pPr>
        <w:spacing w:after="0"/>
        <w:jc w:val="both"/>
        <w:rPr>
          <w:rFonts w:asciiTheme="majorHAnsi" w:hAnsiTheme="majorHAnsi" w:cstheme="majorHAnsi"/>
          <w:b/>
          <w:bCs/>
          <w:szCs w:val="24"/>
        </w:rPr>
      </w:pPr>
    </w:p>
    <w:p w14:paraId="72919489" w14:textId="77777777" w:rsidR="00484D3B" w:rsidRPr="00484D3B" w:rsidRDefault="00484D3B" w:rsidP="00484D3B">
      <w:pPr>
        <w:pStyle w:val="PargrafodaLista"/>
        <w:numPr>
          <w:ilvl w:val="0"/>
          <w:numId w:val="4"/>
        </w:numPr>
        <w:spacing w:after="0" w:line="240" w:lineRule="auto"/>
        <w:ind w:left="567" w:hanging="567"/>
        <w:jc w:val="both"/>
        <w:rPr>
          <w:rFonts w:asciiTheme="majorHAnsi" w:eastAsia="Times New Roman" w:hAnsiTheme="majorHAnsi" w:cstheme="majorHAnsi"/>
          <w:b/>
          <w:bCs/>
          <w:color w:val="45B0E1"/>
          <w:lang w:eastAsia="pt-BR"/>
        </w:rPr>
      </w:pPr>
      <w:r w:rsidRPr="00484D3B">
        <w:rPr>
          <w:rFonts w:asciiTheme="majorHAnsi" w:eastAsia="Times New Roman" w:hAnsiTheme="majorHAnsi" w:cstheme="majorHAnsi"/>
          <w:b/>
          <w:bCs/>
          <w:lang w:eastAsia="pt-BR"/>
        </w:rPr>
        <w:t xml:space="preserve">Não obstante os requisitos do item 33 da NBC TSP 23 – Políticas Contábeis, Mudanças em Estimativas Contábeis e Retificação de Erro, quando esta Norma for aplicada pela primeira vez, uma entidade necessita apresentar apenas as informações quantitativas exigidas pelo item 33(f) da NBC TSP 23 para o período anual imediatamente anterior ao primeiro período anual para o qual esta Norma é aplicada (o “período imediatamente anterior”). A entidade pode também apresentar essas informações para o período atual ou para períodos comparativos anteriores, mas não é obrigada a fazê-lo. </w:t>
      </w:r>
      <w:r w:rsidRPr="00484D3B">
        <w:rPr>
          <w:rFonts w:asciiTheme="majorHAnsi" w:eastAsia="Times New Roman" w:hAnsiTheme="majorHAnsi" w:cstheme="majorHAnsi"/>
          <w:color w:val="45B0E1"/>
          <w:lang w:eastAsia="pt-BR"/>
        </w:rPr>
        <w:t>(Incluído pela NBC TSP 19 (R1))</w:t>
      </w:r>
    </w:p>
    <w:p w14:paraId="55FC2FCC" w14:textId="77777777" w:rsidR="00484D3B" w:rsidRPr="00484D3B" w:rsidRDefault="00484D3B" w:rsidP="00484D3B">
      <w:pPr>
        <w:spacing w:after="0"/>
        <w:jc w:val="both"/>
        <w:rPr>
          <w:rFonts w:asciiTheme="majorHAnsi" w:hAnsiTheme="majorHAnsi" w:cstheme="majorHAnsi"/>
          <w:szCs w:val="24"/>
        </w:rPr>
      </w:pPr>
    </w:p>
    <w:p w14:paraId="46C291D5" w14:textId="77777777" w:rsidR="00484D3B" w:rsidRPr="00484D3B" w:rsidRDefault="00484D3B" w:rsidP="00484D3B">
      <w:pPr>
        <w:spacing w:after="0"/>
        <w:jc w:val="both"/>
        <w:rPr>
          <w:rFonts w:asciiTheme="majorHAnsi" w:hAnsiTheme="majorHAnsi" w:cstheme="majorHAnsi"/>
          <w:b/>
          <w:szCs w:val="24"/>
        </w:rPr>
      </w:pPr>
      <w:r w:rsidRPr="00484D3B">
        <w:rPr>
          <w:rFonts w:asciiTheme="majorHAnsi" w:hAnsiTheme="majorHAnsi" w:cstheme="majorHAnsi"/>
          <w:b/>
          <w:szCs w:val="24"/>
        </w:rPr>
        <w:t>Vigência</w:t>
      </w:r>
    </w:p>
    <w:p w14:paraId="3161615C" w14:textId="77777777" w:rsidR="00484D3B" w:rsidRPr="00484D3B" w:rsidRDefault="00484D3B" w:rsidP="00484D3B">
      <w:pPr>
        <w:spacing w:after="0"/>
        <w:jc w:val="both"/>
        <w:rPr>
          <w:rFonts w:asciiTheme="majorHAnsi" w:hAnsiTheme="majorHAnsi" w:cstheme="majorHAnsi"/>
          <w:szCs w:val="24"/>
        </w:rPr>
      </w:pPr>
    </w:p>
    <w:p w14:paraId="7FE0DD1C" w14:textId="2D44C715" w:rsidR="00484D3B" w:rsidRPr="00484D3B" w:rsidRDefault="00484D3B" w:rsidP="00484D3B">
      <w:pPr>
        <w:pBdr>
          <w:top w:val="nil"/>
          <w:left w:val="nil"/>
          <w:bottom w:val="nil"/>
          <w:right w:val="nil"/>
          <w:between w:val="nil"/>
        </w:pBdr>
        <w:spacing w:after="0"/>
        <w:jc w:val="both"/>
        <w:rPr>
          <w:rFonts w:asciiTheme="majorHAnsi" w:eastAsia="Arial" w:hAnsiTheme="majorHAnsi" w:cstheme="majorHAnsi"/>
          <w:szCs w:val="24"/>
        </w:rPr>
      </w:pPr>
      <w:r w:rsidRPr="00484D3B">
        <w:rPr>
          <w:rFonts w:asciiTheme="majorHAnsi" w:eastAsia="Arial" w:hAnsiTheme="majorHAnsi" w:cstheme="majorHAnsi"/>
          <w:szCs w:val="24"/>
        </w:rPr>
        <w:t xml:space="preserve">Esta Norma entra em vigor na data de sua publicação, aplicando-se aos exercícios iniciados a partir de 1º de janeiro de 2027, e revoga a NBC TSP 19, publicada no DOU, Seção 1, de </w:t>
      </w:r>
      <w:r w:rsidR="006C391D" w:rsidRPr="00484D3B">
        <w:rPr>
          <w:rFonts w:asciiTheme="majorHAnsi" w:eastAsia="Arial" w:hAnsiTheme="majorHAnsi" w:cstheme="majorHAnsi"/>
          <w:szCs w:val="24"/>
        </w:rPr>
        <w:t>31</w:t>
      </w:r>
      <w:r w:rsidR="006C391D">
        <w:rPr>
          <w:rFonts w:asciiTheme="majorHAnsi" w:eastAsia="Arial" w:hAnsiTheme="majorHAnsi" w:cstheme="majorHAnsi"/>
          <w:szCs w:val="24"/>
        </w:rPr>
        <w:t xml:space="preserve"> de outubro de </w:t>
      </w:r>
      <w:r w:rsidRPr="00484D3B">
        <w:rPr>
          <w:rFonts w:asciiTheme="majorHAnsi" w:eastAsia="Arial" w:hAnsiTheme="majorHAnsi" w:cstheme="majorHAnsi"/>
          <w:szCs w:val="24"/>
        </w:rPr>
        <w:t>2018, salvo na existência de algum normativo em âmbito nacional que estabeleça prazos específicos – casos em que esses prevalecem.</w:t>
      </w:r>
    </w:p>
    <w:p w14:paraId="708F8171" w14:textId="77777777" w:rsidR="00484D3B" w:rsidRPr="00484D3B" w:rsidRDefault="00484D3B" w:rsidP="00484D3B">
      <w:pPr>
        <w:pBdr>
          <w:top w:val="nil"/>
          <w:left w:val="nil"/>
          <w:bottom w:val="nil"/>
          <w:right w:val="nil"/>
          <w:between w:val="nil"/>
        </w:pBdr>
        <w:spacing w:after="0"/>
        <w:ind w:left="567"/>
        <w:jc w:val="both"/>
        <w:rPr>
          <w:rFonts w:asciiTheme="majorHAnsi" w:eastAsia="Arial" w:hAnsiTheme="majorHAnsi" w:cstheme="majorHAnsi"/>
          <w:szCs w:val="24"/>
        </w:rPr>
      </w:pPr>
    </w:p>
    <w:p w14:paraId="4C65B912" w14:textId="77777777" w:rsidR="00484D3B" w:rsidRPr="00484D3B" w:rsidRDefault="00484D3B" w:rsidP="00484D3B">
      <w:pPr>
        <w:spacing w:after="0"/>
        <w:ind w:left="567" w:hanging="567"/>
        <w:jc w:val="right"/>
        <w:rPr>
          <w:rFonts w:asciiTheme="majorHAnsi" w:eastAsia="Arial" w:hAnsiTheme="majorHAnsi" w:cstheme="majorHAnsi"/>
          <w:szCs w:val="24"/>
        </w:rPr>
      </w:pPr>
    </w:p>
    <w:p w14:paraId="7579CC77" w14:textId="77777777" w:rsidR="00484D3B" w:rsidRPr="00484D3B" w:rsidRDefault="00484D3B" w:rsidP="00484D3B">
      <w:pPr>
        <w:spacing w:after="0"/>
        <w:ind w:left="567" w:hanging="567"/>
        <w:jc w:val="right"/>
        <w:rPr>
          <w:rFonts w:asciiTheme="majorHAnsi" w:eastAsia="Arial" w:hAnsiTheme="majorHAnsi" w:cstheme="majorHAnsi"/>
          <w:szCs w:val="24"/>
        </w:rPr>
      </w:pPr>
      <w:r w:rsidRPr="00484D3B">
        <w:rPr>
          <w:rFonts w:asciiTheme="majorHAnsi" w:eastAsia="Arial" w:hAnsiTheme="majorHAnsi" w:cstheme="majorHAnsi"/>
          <w:szCs w:val="24"/>
        </w:rPr>
        <w:t>Brasília (DF), XX de XX de 2025.</w:t>
      </w:r>
    </w:p>
    <w:p w14:paraId="5CA5E4C5" w14:textId="77777777" w:rsidR="00484D3B" w:rsidRDefault="00484D3B" w:rsidP="00484D3B">
      <w:pPr>
        <w:spacing w:after="0"/>
        <w:ind w:left="567" w:hanging="567"/>
        <w:jc w:val="both"/>
        <w:rPr>
          <w:rFonts w:asciiTheme="majorHAnsi" w:eastAsia="Arial" w:hAnsiTheme="majorHAnsi" w:cstheme="majorHAnsi"/>
          <w:szCs w:val="24"/>
        </w:rPr>
      </w:pPr>
    </w:p>
    <w:p w14:paraId="7CD9FDE6" w14:textId="77777777" w:rsidR="006C391D" w:rsidRPr="00484D3B" w:rsidRDefault="006C391D" w:rsidP="00484D3B">
      <w:pPr>
        <w:spacing w:after="0"/>
        <w:ind w:left="567" w:hanging="567"/>
        <w:jc w:val="both"/>
        <w:rPr>
          <w:rFonts w:asciiTheme="majorHAnsi" w:eastAsia="Arial" w:hAnsiTheme="majorHAnsi" w:cstheme="majorHAnsi"/>
          <w:szCs w:val="24"/>
        </w:rPr>
      </w:pPr>
    </w:p>
    <w:p w14:paraId="651BE4E0" w14:textId="77777777" w:rsidR="006C391D" w:rsidRPr="00FF7E11" w:rsidRDefault="006C391D" w:rsidP="006C391D">
      <w:pPr>
        <w:spacing w:after="0"/>
        <w:ind w:right="-142"/>
        <w:jc w:val="center"/>
        <w:rPr>
          <w:rFonts w:asciiTheme="majorHAnsi" w:eastAsia="Calibri" w:hAnsiTheme="majorHAnsi" w:cstheme="majorHAnsi"/>
          <w:szCs w:val="24"/>
        </w:rPr>
      </w:pPr>
      <w:r w:rsidRPr="00FF7E11">
        <w:rPr>
          <w:rFonts w:asciiTheme="majorHAnsi" w:eastAsia="Calibri" w:hAnsiTheme="majorHAnsi" w:cstheme="majorHAnsi"/>
          <w:szCs w:val="24"/>
        </w:rPr>
        <w:t xml:space="preserve">CONTADOR AÉCIO PRADO DANTAS JÚNIOR </w:t>
      </w:r>
    </w:p>
    <w:p w14:paraId="7A285876" w14:textId="77777777" w:rsidR="006C391D" w:rsidRPr="00FF7E11" w:rsidRDefault="006C391D" w:rsidP="006C391D">
      <w:pPr>
        <w:spacing w:after="0"/>
        <w:ind w:right="-142"/>
        <w:jc w:val="center"/>
        <w:rPr>
          <w:rFonts w:asciiTheme="majorHAnsi" w:eastAsia="Calibri" w:hAnsiTheme="majorHAnsi" w:cstheme="majorHAnsi"/>
          <w:szCs w:val="24"/>
        </w:rPr>
      </w:pPr>
      <w:r w:rsidRPr="00FF7E11">
        <w:rPr>
          <w:rFonts w:asciiTheme="majorHAnsi" w:eastAsia="Calibri" w:hAnsiTheme="majorHAnsi" w:cstheme="majorHAnsi"/>
          <w:szCs w:val="24"/>
        </w:rPr>
        <w:t>Presidente</w:t>
      </w:r>
    </w:p>
    <w:p w14:paraId="2BB28C49" w14:textId="77777777" w:rsidR="00484D3B" w:rsidRPr="00484D3B" w:rsidRDefault="00484D3B" w:rsidP="00484D3B">
      <w:pPr>
        <w:spacing w:after="0"/>
        <w:jc w:val="both"/>
        <w:rPr>
          <w:rFonts w:asciiTheme="majorHAnsi" w:hAnsiTheme="majorHAnsi" w:cstheme="majorHAnsi"/>
          <w:szCs w:val="24"/>
        </w:rPr>
      </w:pPr>
    </w:p>
    <w:p w14:paraId="7BBC865C" w14:textId="06D37788" w:rsidR="006C391D" w:rsidRDefault="00484D3B" w:rsidP="00484D3B">
      <w:pPr>
        <w:spacing w:after="0"/>
        <w:jc w:val="both"/>
        <w:rPr>
          <w:rFonts w:asciiTheme="majorHAnsi" w:hAnsiTheme="majorHAnsi" w:cstheme="majorHAnsi"/>
          <w:szCs w:val="24"/>
        </w:rPr>
      </w:pPr>
      <w:r w:rsidRPr="00484D3B">
        <w:rPr>
          <w:rFonts w:asciiTheme="majorHAnsi" w:hAnsiTheme="majorHAnsi" w:cstheme="majorHAnsi"/>
          <w:szCs w:val="24"/>
        </w:rPr>
        <w:t>Ata CFC n.º 1XXX.</w:t>
      </w:r>
    </w:p>
    <w:p w14:paraId="0A7B8052" w14:textId="25CBC338" w:rsidR="00484D3B" w:rsidRPr="00484D3B" w:rsidRDefault="006C391D" w:rsidP="006C391D">
      <w:pPr>
        <w:spacing w:after="0"/>
        <w:rPr>
          <w:rFonts w:asciiTheme="majorHAnsi" w:hAnsiTheme="majorHAnsi" w:cstheme="majorHAnsi"/>
          <w:szCs w:val="24"/>
        </w:rPr>
      </w:pPr>
      <w:r>
        <w:rPr>
          <w:rFonts w:asciiTheme="majorHAnsi" w:hAnsiTheme="majorHAnsi" w:cstheme="majorHAnsi"/>
          <w:szCs w:val="24"/>
        </w:rPr>
        <w:br w:type="page"/>
      </w:r>
    </w:p>
    <w:p w14:paraId="3EF677DF" w14:textId="77777777" w:rsidR="00484D3B" w:rsidRPr="00484D3B" w:rsidRDefault="00484D3B" w:rsidP="00484D3B">
      <w:pPr>
        <w:spacing w:after="0"/>
        <w:jc w:val="both"/>
        <w:rPr>
          <w:rFonts w:asciiTheme="majorHAnsi" w:hAnsiTheme="majorHAnsi" w:cstheme="majorHAnsi"/>
          <w:b/>
          <w:bCs/>
          <w:color w:val="4C94D8"/>
          <w:szCs w:val="24"/>
        </w:rPr>
      </w:pPr>
      <w:r w:rsidRPr="00484D3B">
        <w:rPr>
          <w:rFonts w:asciiTheme="majorHAnsi" w:hAnsiTheme="majorHAnsi" w:cstheme="majorHAnsi"/>
          <w:b/>
          <w:bCs/>
          <w:szCs w:val="24"/>
        </w:rPr>
        <w:lastRenderedPageBreak/>
        <w:t xml:space="preserve">Apêndice </w:t>
      </w:r>
      <w:r w:rsidRPr="00484D3B">
        <w:rPr>
          <w:rFonts w:asciiTheme="majorHAnsi" w:hAnsiTheme="majorHAnsi" w:cstheme="majorHAnsi"/>
          <w:b/>
          <w:bCs/>
          <w:color w:val="4C94D8"/>
          <w:szCs w:val="24"/>
        </w:rPr>
        <w:t>(Incluído pela NBC TSP 19 (R1))</w:t>
      </w:r>
    </w:p>
    <w:p w14:paraId="106174B1" w14:textId="77777777" w:rsidR="00484D3B" w:rsidRPr="00484D3B" w:rsidRDefault="00484D3B" w:rsidP="00484D3B">
      <w:pPr>
        <w:spacing w:after="0"/>
        <w:jc w:val="both"/>
        <w:rPr>
          <w:rFonts w:asciiTheme="majorHAnsi" w:hAnsiTheme="majorHAnsi" w:cstheme="majorHAnsi"/>
          <w:b/>
          <w:bCs/>
          <w:color w:val="4C94D8"/>
          <w:szCs w:val="24"/>
        </w:rPr>
      </w:pPr>
    </w:p>
    <w:p w14:paraId="05C65324" w14:textId="77777777" w:rsidR="00484D3B" w:rsidRPr="00484D3B" w:rsidRDefault="00484D3B" w:rsidP="00484D3B">
      <w:pPr>
        <w:spacing w:after="0"/>
        <w:jc w:val="both"/>
        <w:rPr>
          <w:rFonts w:asciiTheme="majorHAnsi" w:hAnsiTheme="majorHAnsi" w:cstheme="majorHAnsi"/>
          <w:b/>
          <w:bCs/>
          <w:szCs w:val="24"/>
        </w:rPr>
      </w:pPr>
      <w:r w:rsidRPr="00484D3B">
        <w:rPr>
          <w:rFonts w:asciiTheme="majorHAnsi" w:hAnsiTheme="majorHAnsi" w:cstheme="majorHAnsi"/>
          <w:b/>
          <w:bCs/>
          <w:szCs w:val="24"/>
        </w:rPr>
        <w:t>A1 – A32 – Não convergidos</w:t>
      </w:r>
    </w:p>
    <w:p w14:paraId="24703F55" w14:textId="77777777" w:rsidR="00484D3B" w:rsidRPr="00484D3B" w:rsidRDefault="00484D3B" w:rsidP="00484D3B">
      <w:pPr>
        <w:spacing w:after="0"/>
        <w:jc w:val="both"/>
        <w:rPr>
          <w:rFonts w:asciiTheme="majorHAnsi" w:hAnsiTheme="majorHAnsi" w:cstheme="majorHAnsi"/>
          <w:szCs w:val="24"/>
        </w:rPr>
      </w:pPr>
    </w:p>
    <w:p w14:paraId="013A5CA6" w14:textId="77777777" w:rsidR="00484D3B" w:rsidRPr="00484D3B" w:rsidRDefault="00484D3B" w:rsidP="00484D3B">
      <w:pPr>
        <w:spacing w:after="0"/>
        <w:jc w:val="both"/>
        <w:rPr>
          <w:rFonts w:asciiTheme="majorHAnsi" w:hAnsiTheme="majorHAnsi" w:cstheme="majorHAnsi"/>
          <w:b/>
          <w:bCs/>
          <w:szCs w:val="24"/>
        </w:rPr>
      </w:pPr>
      <w:r w:rsidRPr="00484D3B">
        <w:rPr>
          <w:rFonts w:asciiTheme="majorHAnsi" w:hAnsiTheme="majorHAnsi" w:cstheme="majorHAnsi"/>
          <w:b/>
          <w:bCs/>
          <w:szCs w:val="24"/>
        </w:rPr>
        <w:t>Demonstrações Contábeis das Partes de um Acordo em Conjunto (itens 23–28)</w:t>
      </w:r>
    </w:p>
    <w:p w14:paraId="37010BB2" w14:textId="77777777" w:rsidR="00484D3B" w:rsidRPr="00484D3B" w:rsidRDefault="00484D3B" w:rsidP="00484D3B">
      <w:pPr>
        <w:spacing w:after="0"/>
        <w:jc w:val="both"/>
        <w:rPr>
          <w:rFonts w:asciiTheme="majorHAnsi" w:hAnsiTheme="majorHAnsi" w:cstheme="majorHAnsi"/>
          <w:b/>
          <w:bCs/>
          <w:szCs w:val="24"/>
        </w:rPr>
      </w:pPr>
    </w:p>
    <w:p w14:paraId="3E2A78C4" w14:textId="77777777" w:rsidR="00484D3B" w:rsidRPr="00484D3B" w:rsidRDefault="00484D3B" w:rsidP="00484D3B">
      <w:pPr>
        <w:spacing w:after="0"/>
        <w:jc w:val="both"/>
        <w:rPr>
          <w:rFonts w:asciiTheme="majorHAnsi" w:hAnsiTheme="majorHAnsi" w:cstheme="majorHAnsi"/>
          <w:b/>
          <w:bCs/>
          <w:szCs w:val="24"/>
        </w:rPr>
      </w:pPr>
      <w:r w:rsidRPr="00484D3B">
        <w:rPr>
          <w:rFonts w:asciiTheme="majorHAnsi" w:hAnsiTheme="majorHAnsi" w:cstheme="majorHAnsi"/>
          <w:b/>
          <w:bCs/>
          <w:szCs w:val="24"/>
        </w:rPr>
        <w:t>Contabilização de Aquisições de Participações em Operações em Conjunto</w:t>
      </w:r>
    </w:p>
    <w:p w14:paraId="7E67D8FB" w14:textId="77777777" w:rsidR="00484D3B" w:rsidRPr="00484D3B" w:rsidRDefault="00484D3B" w:rsidP="00484D3B">
      <w:pPr>
        <w:spacing w:after="0"/>
        <w:jc w:val="both"/>
        <w:rPr>
          <w:rFonts w:asciiTheme="majorHAnsi" w:hAnsiTheme="majorHAnsi" w:cstheme="majorHAnsi"/>
          <w:szCs w:val="24"/>
        </w:rPr>
      </w:pPr>
    </w:p>
    <w:p w14:paraId="70FC16F5" w14:textId="77777777" w:rsidR="00484D3B" w:rsidRPr="00484D3B" w:rsidRDefault="00484D3B" w:rsidP="00484D3B">
      <w:pPr>
        <w:spacing w:after="0"/>
        <w:ind w:left="709" w:hanging="709"/>
        <w:jc w:val="both"/>
        <w:rPr>
          <w:rFonts w:asciiTheme="majorHAnsi" w:hAnsiTheme="majorHAnsi" w:cstheme="majorHAnsi"/>
          <w:szCs w:val="24"/>
        </w:rPr>
      </w:pPr>
      <w:r w:rsidRPr="00484D3B">
        <w:rPr>
          <w:rFonts w:asciiTheme="majorHAnsi" w:hAnsiTheme="majorHAnsi" w:cstheme="majorHAnsi"/>
          <w:szCs w:val="24"/>
        </w:rPr>
        <w:t>A33A. Quando uma entidade adquire uma participação em uma operação em conjunto a qual constitui uma operação conforme definido na NBC TSP 21 ela deverá aplicar, na proporção de sua participação conforme o item 23, todos os princípios de contabilidade aplicáveis na aquisição previstos na NBC TSP 21 e em outras NBCs TSP que não conflitem com as orientações desta Norma, e divulgar as informações exigidas por essas NBCs TSP em relação às aquisições. Os princípios de contabilidade aplicáveis na aquisição que não conflitam com as orientações desta Norma incluem, mas não se limitam a:</w:t>
      </w:r>
    </w:p>
    <w:p w14:paraId="1209A5ED" w14:textId="77777777" w:rsidR="00484D3B" w:rsidRPr="00484D3B" w:rsidRDefault="00484D3B" w:rsidP="00484D3B">
      <w:pPr>
        <w:spacing w:after="0"/>
        <w:ind w:left="709"/>
        <w:jc w:val="both"/>
        <w:rPr>
          <w:rFonts w:asciiTheme="majorHAnsi" w:hAnsiTheme="majorHAnsi" w:cstheme="majorHAnsi"/>
          <w:szCs w:val="24"/>
        </w:rPr>
      </w:pPr>
    </w:p>
    <w:p w14:paraId="172F1E63" w14:textId="77777777" w:rsidR="00484D3B" w:rsidRPr="00484D3B" w:rsidRDefault="00484D3B" w:rsidP="00484D3B">
      <w:pPr>
        <w:spacing w:after="0"/>
        <w:ind w:left="709"/>
        <w:jc w:val="both"/>
        <w:rPr>
          <w:rFonts w:asciiTheme="majorHAnsi" w:hAnsiTheme="majorHAnsi" w:cstheme="majorHAnsi"/>
          <w:szCs w:val="24"/>
        </w:rPr>
      </w:pPr>
      <w:r w:rsidRPr="00484D3B">
        <w:rPr>
          <w:rFonts w:asciiTheme="majorHAnsi" w:hAnsiTheme="majorHAnsi" w:cstheme="majorHAnsi"/>
          <w:szCs w:val="24"/>
        </w:rPr>
        <w:t>(a) Mensurar os ativos e passivos identificáveis pelo valor justo, exceto os itens para os quais há exceções previstas na NBC TSP 21 e em outras NBCs TSP;</w:t>
      </w:r>
    </w:p>
    <w:p w14:paraId="05AD72AB" w14:textId="77777777" w:rsidR="00484D3B" w:rsidRPr="00484D3B" w:rsidRDefault="00484D3B" w:rsidP="00484D3B">
      <w:pPr>
        <w:spacing w:after="0"/>
        <w:ind w:left="709"/>
        <w:jc w:val="both"/>
        <w:rPr>
          <w:rFonts w:asciiTheme="majorHAnsi" w:hAnsiTheme="majorHAnsi" w:cstheme="majorHAnsi"/>
          <w:szCs w:val="24"/>
        </w:rPr>
      </w:pPr>
    </w:p>
    <w:p w14:paraId="6A14AE29" w14:textId="77777777" w:rsidR="00484D3B" w:rsidRPr="00484D3B" w:rsidRDefault="00484D3B" w:rsidP="00484D3B">
      <w:pPr>
        <w:spacing w:after="0"/>
        <w:ind w:left="709"/>
        <w:jc w:val="both"/>
        <w:rPr>
          <w:rFonts w:asciiTheme="majorHAnsi" w:hAnsiTheme="majorHAnsi" w:cstheme="majorHAnsi"/>
          <w:szCs w:val="24"/>
        </w:rPr>
      </w:pPr>
      <w:r w:rsidRPr="00484D3B">
        <w:rPr>
          <w:rFonts w:asciiTheme="majorHAnsi" w:hAnsiTheme="majorHAnsi" w:cstheme="majorHAnsi"/>
          <w:szCs w:val="24"/>
        </w:rPr>
        <w:t>(b) Reconhecer os custos relacionados à aquisição como despesas nos períodos em que tais custos são incorridos e os serviços são recebidos, com exceção dos custos para emissão de títulos de dívida ou instrumentos patrimoniais, os quais devem ser reconhecidos de acordo com a NBC TSP 30 e a NBC TSP 31;</w:t>
      </w:r>
    </w:p>
    <w:p w14:paraId="366A42E5" w14:textId="77777777" w:rsidR="00484D3B" w:rsidRPr="00484D3B" w:rsidRDefault="00484D3B" w:rsidP="00484D3B">
      <w:pPr>
        <w:spacing w:after="0"/>
        <w:ind w:left="709"/>
        <w:jc w:val="both"/>
        <w:rPr>
          <w:rFonts w:asciiTheme="majorHAnsi" w:hAnsiTheme="majorHAnsi" w:cstheme="majorHAnsi"/>
          <w:szCs w:val="24"/>
        </w:rPr>
      </w:pPr>
    </w:p>
    <w:p w14:paraId="25952987" w14:textId="77777777" w:rsidR="00484D3B" w:rsidRPr="00484D3B" w:rsidRDefault="00484D3B" w:rsidP="00484D3B">
      <w:pPr>
        <w:spacing w:after="0"/>
        <w:ind w:left="709"/>
        <w:jc w:val="both"/>
        <w:rPr>
          <w:rFonts w:asciiTheme="majorHAnsi" w:hAnsiTheme="majorHAnsi" w:cstheme="majorHAnsi"/>
          <w:szCs w:val="24"/>
        </w:rPr>
      </w:pPr>
      <w:r w:rsidRPr="00484D3B">
        <w:rPr>
          <w:rFonts w:asciiTheme="majorHAnsi" w:hAnsiTheme="majorHAnsi" w:cstheme="majorHAnsi"/>
          <w:szCs w:val="24"/>
        </w:rPr>
        <w:t>(c) Reconhecer o valor excedente da contraprestação transferida sobre o valor líquido, na data de aquisição, dos ativos identificáveis adquiridos e dos passivos assumidos, se houver, como ágio por expectativa de rentabilidade futura (</w:t>
      </w:r>
      <w:proofErr w:type="spellStart"/>
      <w:r w:rsidRPr="00484D3B">
        <w:rPr>
          <w:rFonts w:asciiTheme="majorHAnsi" w:hAnsiTheme="majorHAnsi" w:cstheme="majorHAnsi"/>
          <w:i/>
          <w:iCs/>
          <w:szCs w:val="24"/>
        </w:rPr>
        <w:t>goodwill</w:t>
      </w:r>
      <w:proofErr w:type="spellEnd"/>
      <w:r w:rsidRPr="00484D3B">
        <w:rPr>
          <w:rFonts w:asciiTheme="majorHAnsi" w:hAnsiTheme="majorHAnsi" w:cstheme="majorHAnsi"/>
          <w:szCs w:val="24"/>
        </w:rPr>
        <w:t>); e</w:t>
      </w:r>
    </w:p>
    <w:p w14:paraId="6666EDD1" w14:textId="77777777" w:rsidR="00484D3B" w:rsidRPr="00484D3B" w:rsidRDefault="00484D3B" w:rsidP="00484D3B">
      <w:pPr>
        <w:spacing w:after="0"/>
        <w:ind w:left="709"/>
        <w:jc w:val="both"/>
        <w:rPr>
          <w:rFonts w:asciiTheme="majorHAnsi" w:hAnsiTheme="majorHAnsi" w:cstheme="majorHAnsi"/>
          <w:szCs w:val="24"/>
        </w:rPr>
      </w:pPr>
    </w:p>
    <w:p w14:paraId="15BE5999" w14:textId="77777777" w:rsidR="00484D3B" w:rsidRPr="00484D3B" w:rsidRDefault="00484D3B" w:rsidP="00484D3B">
      <w:pPr>
        <w:spacing w:after="0"/>
        <w:ind w:left="709"/>
        <w:jc w:val="both"/>
        <w:rPr>
          <w:rFonts w:asciiTheme="majorHAnsi" w:hAnsiTheme="majorHAnsi" w:cstheme="majorHAnsi"/>
          <w:szCs w:val="24"/>
        </w:rPr>
      </w:pPr>
      <w:r w:rsidRPr="00484D3B">
        <w:rPr>
          <w:rFonts w:asciiTheme="majorHAnsi" w:hAnsiTheme="majorHAnsi" w:cstheme="majorHAnsi"/>
          <w:szCs w:val="24"/>
        </w:rPr>
        <w:t>(d) Testar a unidade geradora de caixa à qual o ágio por expectativa de rentabilidade futura (</w:t>
      </w:r>
      <w:proofErr w:type="spellStart"/>
      <w:r w:rsidRPr="00484D3B">
        <w:rPr>
          <w:rFonts w:asciiTheme="majorHAnsi" w:hAnsiTheme="majorHAnsi" w:cstheme="majorHAnsi"/>
          <w:i/>
          <w:iCs/>
          <w:szCs w:val="24"/>
        </w:rPr>
        <w:t>goodwill</w:t>
      </w:r>
      <w:proofErr w:type="spellEnd"/>
      <w:r w:rsidRPr="00484D3B">
        <w:rPr>
          <w:rFonts w:asciiTheme="majorHAnsi" w:hAnsiTheme="majorHAnsi" w:cstheme="majorHAnsi"/>
          <w:szCs w:val="24"/>
        </w:rPr>
        <w:t>) foi alocado quanto à perda por redução ao valor recuperável, pelo menos anualmente e sempre que houver indicação de que a unidade possa estar desvalorizada, conforme exigido pela NBC TSP 10 – Redução ao Valor Recuperável de Ativo Gerador de Caixa, no caso de ágio por expectativa de rentabilidade futura (</w:t>
      </w:r>
      <w:proofErr w:type="spellStart"/>
      <w:r w:rsidRPr="00484D3B">
        <w:rPr>
          <w:rFonts w:asciiTheme="majorHAnsi" w:hAnsiTheme="majorHAnsi" w:cstheme="majorHAnsi"/>
          <w:i/>
          <w:iCs/>
          <w:szCs w:val="24"/>
        </w:rPr>
        <w:t>goodwill</w:t>
      </w:r>
      <w:proofErr w:type="spellEnd"/>
      <w:r w:rsidRPr="00484D3B">
        <w:rPr>
          <w:rFonts w:asciiTheme="majorHAnsi" w:hAnsiTheme="majorHAnsi" w:cstheme="majorHAnsi"/>
          <w:szCs w:val="24"/>
        </w:rPr>
        <w:t>) adquirido em uma aquisição.</w:t>
      </w:r>
    </w:p>
    <w:p w14:paraId="428000EC" w14:textId="77777777" w:rsidR="00484D3B" w:rsidRPr="00484D3B" w:rsidRDefault="00484D3B" w:rsidP="00484D3B">
      <w:pPr>
        <w:spacing w:after="0"/>
        <w:ind w:left="709"/>
        <w:jc w:val="both"/>
        <w:rPr>
          <w:rFonts w:asciiTheme="majorHAnsi" w:hAnsiTheme="majorHAnsi" w:cstheme="majorHAnsi"/>
          <w:szCs w:val="24"/>
        </w:rPr>
      </w:pPr>
    </w:p>
    <w:p w14:paraId="43B03C5E" w14:textId="77777777" w:rsidR="00484D3B" w:rsidRPr="00484D3B" w:rsidRDefault="00484D3B" w:rsidP="00484D3B">
      <w:pPr>
        <w:spacing w:after="0"/>
        <w:ind w:left="709" w:hanging="709"/>
        <w:jc w:val="both"/>
        <w:rPr>
          <w:rFonts w:asciiTheme="majorHAnsi" w:hAnsiTheme="majorHAnsi" w:cstheme="majorHAnsi"/>
          <w:szCs w:val="24"/>
        </w:rPr>
      </w:pPr>
      <w:r w:rsidRPr="00484D3B">
        <w:rPr>
          <w:rFonts w:asciiTheme="majorHAnsi" w:hAnsiTheme="majorHAnsi" w:cstheme="majorHAnsi"/>
          <w:szCs w:val="24"/>
        </w:rPr>
        <w:t>A33B. Os itens 24A e A33A também se aplicam à formação de uma operação em conjunto se, e somente se, a operação existente, conforme definido na NBC TSP 21, for incorporada à operação em conjunto, no momento de sua formação, por uma das partes que participam da operação. No entanto, esses itens não se aplicam à formação de uma operação em conjunto se todas as partes que participam da operação em conjunto contribuírem, no momento da formação, apenas com ativos ou grupos de ativos que não constituem operações.</w:t>
      </w:r>
    </w:p>
    <w:p w14:paraId="5B08CBCC" w14:textId="77777777" w:rsidR="00484D3B" w:rsidRPr="00484D3B" w:rsidRDefault="00484D3B" w:rsidP="00484D3B">
      <w:pPr>
        <w:spacing w:after="0"/>
        <w:jc w:val="both"/>
        <w:rPr>
          <w:rFonts w:asciiTheme="majorHAnsi" w:hAnsiTheme="majorHAnsi" w:cstheme="majorHAnsi"/>
          <w:szCs w:val="24"/>
        </w:rPr>
      </w:pPr>
    </w:p>
    <w:p w14:paraId="7B7F2F4A" w14:textId="77777777" w:rsidR="00484D3B" w:rsidRPr="00484D3B" w:rsidRDefault="00484D3B" w:rsidP="00484D3B">
      <w:pPr>
        <w:spacing w:after="0"/>
        <w:ind w:left="851" w:hanging="851"/>
        <w:jc w:val="both"/>
        <w:rPr>
          <w:rFonts w:asciiTheme="majorHAnsi" w:hAnsiTheme="majorHAnsi" w:cstheme="majorHAnsi"/>
          <w:szCs w:val="24"/>
        </w:rPr>
      </w:pPr>
      <w:r w:rsidRPr="00484D3B">
        <w:rPr>
          <w:rFonts w:asciiTheme="majorHAnsi" w:hAnsiTheme="majorHAnsi" w:cstheme="majorHAnsi"/>
          <w:szCs w:val="24"/>
        </w:rPr>
        <w:lastRenderedPageBreak/>
        <w:t xml:space="preserve">A33C. O operador em conjunto pode aumentar sua participação em uma operação em conjunto na qual a atividade constitua uma operação, conforme definida na NBC TSP 21, por meio da aquisição de uma participação adicional na operação em conjunto. Nesses casos, as participações anteriormente detidas na operação em conjunto não são </w:t>
      </w:r>
      <w:proofErr w:type="spellStart"/>
      <w:r w:rsidRPr="00484D3B">
        <w:rPr>
          <w:rFonts w:asciiTheme="majorHAnsi" w:hAnsiTheme="majorHAnsi" w:cstheme="majorHAnsi"/>
          <w:szCs w:val="24"/>
        </w:rPr>
        <w:t>remensuradas</w:t>
      </w:r>
      <w:proofErr w:type="spellEnd"/>
      <w:r w:rsidRPr="00484D3B">
        <w:rPr>
          <w:rFonts w:asciiTheme="majorHAnsi" w:hAnsiTheme="majorHAnsi" w:cstheme="majorHAnsi"/>
          <w:szCs w:val="24"/>
        </w:rPr>
        <w:t>, desde que o operador em conjunto mantenha o controle conjunto.</w:t>
      </w:r>
    </w:p>
    <w:p w14:paraId="59463672" w14:textId="77777777" w:rsidR="00484D3B" w:rsidRPr="00484D3B" w:rsidRDefault="00484D3B" w:rsidP="00484D3B">
      <w:pPr>
        <w:spacing w:after="0"/>
        <w:jc w:val="both"/>
        <w:rPr>
          <w:rFonts w:asciiTheme="majorHAnsi" w:hAnsiTheme="majorHAnsi" w:cstheme="majorHAnsi"/>
          <w:szCs w:val="24"/>
        </w:rPr>
      </w:pPr>
    </w:p>
    <w:p w14:paraId="75A3AA53" w14:textId="77777777" w:rsidR="00484D3B" w:rsidRPr="00484D3B" w:rsidRDefault="00484D3B" w:rsidP="00484D3B">
      <w:pPr>
        <w:spacing w:after="0"/>
        <w:ind w:left="851" w:hanging="851"/>
        <w:jc w:val="both"/>
        <w:rPr>
          <w:rFonts w:asciiTheme="majorHAnsi" w:hAnsiTheme="majorHAnsi" w:cstheme="majorHAnsi"/>
          <w:szCs w:val="24"/>
        </w:rPr>
      </w:pPr>
      <w:r w:rsidRPr="00484D3B">
        <w:rPr>
          <w:rFonts w:asciiTheme="majorHAnsi" w:hAnsiTheme="majorHAnsi" w:cstheme="majorHAnsi"/>
          <w:szCs w:val="24"/>
        </w:rPr>
        <w:t xml:space="preserve">A33CA. A parte que não possui controle conjunto de uma operação em conjunto, pode vir a obter o controle conjunto dessa operação, na qual a atividade constitui uma operação conforme definida na NBC TSP 21. Nesses casos, as participações anteriormente detidas na operação em conjunto não são </w:t>
      </w:r>
      <w:proofErr w:type="spellStart"/>
      <w:r w:rsidRPr="00484D3B">
        <w:rPr>
          <w:rFonts w:asciiTheme="majorHAnsi" w:hAnsiTheme="majorHAnsi" w:cstheme="majorHAnsi"/>
          <w:szCs w:val="24"/>
        </w:rPr>
        <w:t>remensuradas</w:t>
      </w:r>
      <w:proofErr w:type="spellEnd"/>
      <w:r w:rsidRPr="00484D3B">
        <w:rPr>
          <w:rFonts w:asciiTheme="majorHAnsi" w:hAnsiTheme="majorHAnsi" w:cstheme="majorHAnsi"/>
          <w:szCs w:val="24"/>
        </w:rPr>
        <w:t>.</w:t>
      </w:r>
    </w:p>
    <w:p w14:paraId="22CA161C" w14:textId="77777777" w:rsidR="00484D3B" w:rsidRPr="00484D3B" w:rsidRDefault="00484D3B" w:rsidP="00484D3B">
      <w:pPr>
        <w:spacing w:after="0"/>
        <w:ind w:left="851" w:hanging="851"/>
        <w:jc w:val="both"/>
        <w:rPr>
          <w:rFonts w:asciiTheme="majorHAnsi" w:hAnsiTheme="majorHAnsi" w:cstheme="majorHAnsi"/>
          <w:szCs w:val="24"/>
        </w:rPr>
      </w:pPr>
    </w:p>
    <w:p w14:paraId="3DBEEFA3" w14:textId="77777777" w:rsidR="00484D3B" w:rsidRPr="00484D3B" w:rsidRDefault="00484D3B" w:rsidP="00484D3B">
      <w:pPr>
        <w:spacing w:after="0"/>
        <w:ind w:left="851" w:hanging="851"/>
        <w:jc w:val="both"/>
        <w:rPr>
          <w:rFonts w:asciiTheme="majorHAnsi" w:hAnsiTheme="majorHAnsi" w:cstheme="majorHAnsi"/>
          <w:szCs w:val="24"/>
        </w:rPr>
      </w:pPr>
      <w:r w:rsidRPr="00484D3B">
        <w:rPr>
          <w:rFonts w:asciiTheme="majorHAnsi" w:hAnsiTheme="majorHAnsi" w:cstheme="majorHAnsi"/>
          <w:szCs w:val="24"/>
        </w:rPr>
        <w:t>A33D. Os itens 24A e A33A–A33C não se aplicam à aquisição de uma participação em uma operação em conjunto quando as partes que compartilham o controle conjunto, incluindo a entidade que adquire a participação na operação em conjunto, estão sob o controle comum da mesma parte ou partes controladoras finais, tanto antes como depois da aquisição, e esse controle não é transitório.</w:t>
      </w:r>
    </w:p>
    <w:p w14:paraId="60FC1448" w14:textId="77777777" w:rsidR="00484D3B" w:rsidRPr="00484D3B" w:rsidRDefault="00484D3B" w:rsidP="00484D3B">
      <w:pPr>
        <w:spacing w:after="0"/>
        <w:ind w:left="851" w:hanging="851"/>
        <w:jc w:val="both"/>
        <w:rPr>
          <w:rFonts w:asciiTheme="majorHAnsi" w:hAnsiTheme="majorHAnsi" w:cstheme="majorHAnsi"/>
          <w:szCs w:val="24"/>
        </w:rPr>
      </w:pPr>
    </w:p>
    <w:p w14:paraId="41A306B7" w14:textId="77777777" w:rsidR="00484D3B" w:rsidRPr="00484D3B" w:rsidRDefault="00484D3B" w:rsidP="00484D3B">
      <w:pPr>
        <w:spacing w:before="240" w:after="240"/>
        <w:jc w:val="both"/>
        <w:rPr>
          <w:rFonts w:asciiTheme="majorHAnsi" w:hAnsiTheme="majorHAnsi" w:cstheme="majorHAnsi"/>
          <w:szCs w:val="24"/>
        </w:rPr>
      </w:pPr>
      <w:r w:rsidRPr="00484D3B">
        <w:rPr>
          <w:rFonts w:asciiTheme="majorHAnsi" w:hAnsiTheme="majorHAnsi" w:cstheme="majorHAnsi"/>
          <w:b/>
          <w:bCs/>
          <w:color w:val="000000"/>
          <w:szCs w:val="24"/>
        </w:rPr>
        <w:t>Contabilização de Vendas ou Contribuições de Ativos para uma Operação em Conjunto</w:t>
      </w:r>
    </w:p>
    <w:p w14:paraId="26457E49" w14:textId="77777777" w:rsidR="00484D3B" w:rsidRPr="00484D3B" w:rsidRDefault="00484D3B" w:rsidP="00484D3B">
      <w:pPr>
        <w:spacing w:after="0"/>
        <w:ind w:left="709" w:hanging="709"/>
        <w:jc w:val="both"/>
        <w:rPr>
          <w:rFonts w:asciiTheme="majorHAnsi" w:hAnsiTheme="majorHAnsi" w:cstheme="majorHAnsi"/>
          <w:szCs w:val="24"/>
        </w:rPr>
      </w:pPr>
      <w:r w:rsidRPr="00484D3B">
        <w:rPr>
          <w:rFonts w:asciiTheme="majorHAnsi" w:hAnsiTheme="majorHAnsi" w:cstheme="majorHAnsi"/>
          <w:szCs w:val="24"/>
        </w:rPr>
        <w:t>A34</w:t>
      </w:r>
      <w:r w:rsidRPr="00484D3B">
        <w:rPr>
          <w:rFonts w:asciiTheme="majorHAnsi" w:hAnsiTheme="majorHAnsi" w:cstheme="majorHAnsi"/>
          <w:b/>
          <w:bCs/>
          <w:szCs w:val="24"/>
        </w:rPr>
        <w:t>.</w:t>
      </w:r>
      <w:r w:rsidRPr="00484D3B">
        <w:rPr>
          <w:rFonts w:asciiTheme="majorHAnsi" w:hAnsiTheme="majorHAnsi" w:cstheme="majorHAnsi"/>
          <w:szCs w:val="24"/>
        </w:rPr>
        <w:t xml:space="preserve"> Quando a entidade realiza uma transação com uma operação em conjunto da qual é operadora conjunta, como uma venda ou contribuição de ativos, ela está conduzindo a transação com as demais partes da operação em conjunto e, assim, a operadora conjunta deve reconhecer ganhos e perdas resultantes dessa transação apenas na medida dos interesses das outras partes na operação em conjunto.</w:t>
      </w:r>
    </w:p>
    <w:p w14:paraId="530A8E42" w14:textId="77777777" w:rsidR="00484D3B" w:rsidRPr="00484D3B" w:rsidRDefault="00484D3B" w:rsidP="00484D3B">
      <w:pPr>
        <w:spacing w:after="0"/>
        <w:ind w:left="709" w:hanging="709"/>
        <w:jc w:val="both"/>
        <w:rPr>
          <w:rFonts w:asciiTheme="majorHAnsi" w:hAnsiTheme="majorHAnsi" w:cstheme="majorHAnsi"/>
          <w:szCs w:val="24"/>
        </w:rPr>
      </w:pPr>
    </w:p>
    <w:p w14:paraId="57006EB7" w14:textId="77777777" w:rsidR="00484D3B" w:rsidRPr="00484D3B" w:rsidRDefault="00484D3B" w:rsidP="00484D3B">
      <w:pPr>
        <w:spacing w:after="0"/>
        <w:ind w:left="709" w:hanging="709"/>
        <w:jc w:val="both"/>
        <w:rPr>
          <w:rFonts w:asciiTheme="majorHAnsi" w:hAnsiTheme="majorHAnsi" w:cstheme="majorHAnsi"/>
          <w:szCs w:val="24"/>
        </w:rPr>
      </w:pPr>
      <w:r w:rsidRPr="00484D3B">
        <w:rPr>
          <w:rFonts w:asciiTheme="majorHAnsi" w:hAnsiTheme="majorHAnsi" w:cstheme="majorHAnsi"/>
          <w:szCs w:val="24"/>
        </w:rPr>
        <w:t>A35</w:t>
      </w:r>
      <w:r w:rsidRPr="00484D3B">
        <w:rPr>
          <w:rFonts w:asciiTheme="majorHAnsi" w:hAnsiTheme="majorHAnsi" w:cstheme="majorHAnsi"/>
          <w:b/>
          <w:bCs/>
          <w:szCs w:val="24"/>
        </w:rPr>
        <w:t>.</w:t>
      </w:r>
      <w:r w:rsidRPr="00484D3B">
        <w:rPr>
          <w:rFonts w:asciiTheme="majorHAnsi" w:hAnsiTheme="majorHAnsi" w:cstheme="majorHAnsi"/>
          <w:szCs w:val="24"/>
        </w:rPr>
        <w:t xml:space="preserve"> Quando tais transações evidenciam uma redução no valor realizável líquido dos ativos a serem vendidos ou contribuídos para a operação em conjunto, ou uma perda por desvalorização desses ativos, tais perdas devem ser reconhecidas integralmente pela operadora conjunta.</w:t>
      </w:r>
    </w:p>
    <w:p w14:paraId="46A43C2B" w14:textId="77777777" w:rsidR="00484D3B" w:rsidRPr="00484D3B" w:rsidRDefault="00484D3B" w:rsidP="00484D3B">
      <w:pPr>
        <w:spacing w:before="240" w:after="240"/>
        <w:jc w:val="both"/>
        <w:rPr>
          <w:rFonts w:asciiTheme="majorHAnsi" w:hAnsiTheme="majorHAnsi" w:cstheme="majorHAnsi"/>
          <w:b/>
          <w:bCs/>
          <w:szCs w:val="24"/>
        </w:rPr>
      </w:pPr>
      <w:r w:rsidRPr="00484D3B">
        <w:rPr>
          <w:rFonts w:asciiTheme="majorHAnsi" w:hAnsiTheme="majorHAnsi" w:cstheme="majorHAnsi"/>
          <w:b/>
          <w:bCs/>
          <w:color w:val="000000"/>
          <w:szCs w:val="24"/>
        </w:rPr>
        <w:t>Contabilização de Compras de Ativos de uma Operação em Conjunto</w:t>
      </w:r>
    </w:p>
    <w:p w14:paraId="25A527B9" w14:textId="77777777" w:rsidR="00484D3B" w:rsidRPr="00484D3B" w:rsidRDefault="00484D3B" w:rsidP="00484D3B">
      <w:pPr>
        <w:spacing w:before="240" w:after="240"/>
        <w:ind w:left="567" w:hanging="567"/>
        <w:jc w:val="both"/>
        <w:rPr>
          <w:rFonts w:asciiTheme="majorHAnsi" w:hAnsiTheme="majorHAnsi" w:cstheme="majorHAnsi"/>
          <w:szCs w:val="24"/>
        </w:rPr>
      </w:pPr>
      <w:r w:rsidRPr="00484D3B">
        <w:rPr>
          <w:rFonts w:asciiTheme="majorHAnsi" w:hAnsiTheme="majorHAnsi" w:cstheme="majorHAnsi"/>
          <w:color w:val="000000"/>
          <w:szCs w:val="24"/>
        </w:rPr>
        <w:t>A36</w:t>
      </w:r>
      <w:r w:rsidRPr="00484D3B">
        <w:rPr>
          <w:rFonts w:asciiTheme="majorHAnsi" w:hAnsiTheme="majorHAnsi" w:cstheme="majorHAnsi"/>
          <w:b/>
          <w:bCs/>
          <w:color w:val="000000"/>
          <w:szCs w:val="24"/>
        </w:rPr>
        <w:t>.</w:t>
      </w:r>
      <w:r w:rsidRPr="00484D3B">
        <w:rPr>
          <w:rFonts w:asciiTheme="majorHAnsi" w:hAnsiTheme="majorHAnsi" w:cstheme="majorHAnsi"/>
          <w:color w:val="000000"/>
          <w:szCs w:val="24"/>
        </w:rPr>
        <w:t xml:space="preserve"> Quando uma entidade realiza uma transação com uma operação em conjunto da qual é operadora conjunta, como uma compra de ativos, ela não deve reconhecer sua participação nos ganhos e perdas até que revenda esses ativos a uma terceira parte.</w:t>
      </w:r>
    </w:p>
    <w:p w14:paraId="4BF19F7A" w14:textId="77777777" w:rsidR="00484D3B" w:rsidRPr="00484D3B" w:rsidRDefault="00484D3B" w:rsidP="00484D3B">
      <w:pPr>
        <w:spacing w:after="0"/>
        <w:ind w:left="851" w:hanging="851"/>
        <w:jc w:val="both"/>
        <w:rPr>
          <w:rFonts w:asciiTheme="majorHAnsi" w:hAnsiTheme="majorHAnsi" w:cstheme="majorHAnsi"/>
          <w:szCs w:val="24"/>
        </w:rPr>
      </w:pPr>
      <w:r w:rsidRPr="00484D3B">
        <w:rPr>
          <w:rFonts w:asciiTheme="majorHAnsi" w:hAnsiTheme="majorHAnsi" w:cstheme="majorHAnsi"/>
          <w:szCs w:val="24"/>
        </w:rPr>
        <w:t>A37</w:t>
      </w:r>
      <w:r w:rsidRPr="00484D3B">
        <w:rPr>
          <w:rFonts w:asciiTheme="majorHAnsi" w:hAnsiTheme="majorHAnsi" w:cstheme="majorHAnsi"/>
          <w:b/>
          <w:bCs/>
          <w:szCs w:val="24"/>
        </w:rPr>
        <w:t>.</w:t>
      </w:r>
      <w:r w:rsidRPr="00484D3B">
        <w:rPr>
          <w:rFonts w:asciiTheme="majorHAnsi" w:hAnsiTheme="majorHAnsi" w:cstheme="majorHAnsi"/>
          <w:szCs w:val="24"/>
        </w:rPr>
        <w:t xml:space="preserve"> Quando tais transações evidenciam uma redução no valor realizável líquido dos ativos a serem adquiridos ou uma perda por desvalorização desses ativos, a operadora conjunta deve reconhecer sua participação nessas perdas.</w:t>
      </w:r>
    </w:p>
    <w:bookmarkEnd w:id="1"/>
    <w:p w14:paraId="76051D42" w14:textId="77777777" w:rsidR="001C35DB" w:rsidRPr="00484D3B" w:rsidRDefault="001C35DB" w:rsidP="00126599">
      <w:pPr>
        <w:spacing w:after="0"/>
        <w:ind w:right="-142"/>
        <w:rPr>
          <w:rFonts w:asciiTheme="majorHAnsi" w:hAnsiTheme="majorHAnsi" w:cstheme="majorHAnsi"/>
          <w:b/>
        </w:rPr>
      </w:pPr>
    </w:p>
    <w:p w14:paraId="145E0B72" w14:textId="77777777" w:rsidR="009B1C60" w:rsidRPr="00484D3B" w:rsidRDefault="009B1C60" w:rsidP="00126599">
      <w:pPr>
        <w:spacing w:after="0"/>
        <w:ind w:right="-142"/>
        <w:rPr>
          <w:rFonts w:asciiTheme="majorHAnsi" w:hAnsiTheme="majorHAnsi" w:cstheme="majorHAnsi"/>
          <w:szCs w:val="24"/>
        </w:rPr>
      </w:pPr>
    </w:p>
    <w:sectPr w:rsidR="009B1C60" w:rsidRPr="00484D3B" w:rsidSect="002D43BD">
      <w:headerReference w:type="default" r:id="rId8"/>
      <w:footerReference w:type="even" r:id="rId9"/>
      <w:footerReference w:type="default" r:id="rId10"/>
      <w:headerReference w:type="first" r:id="rId11"/>
      <w:footerReference w:type="first" r:id="rId12"/>
      <w:pgSz w:w="11907" w:h="16840" w:code="9"/>
      <w:pgMar w:top="2835" w:right="567" w:bottom="141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2E8F" w14:textId="77777777" w:rsidR="00F72CFE" w:rsidRDefault="00F72CFE">
      <w:r>
        <w:separator/>
      </w:r>
    </w:p>
  </w:endnote>
  <w:endnote w:type="continuationSeparator" w:id="0">
    <w:p w14:paraId="207566EA" w14:textId="77777777" w:rsidR="00F72CFE" w:rsidRDefault="00F7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7891F165" w:rsidR="005D395C" w:rsidRDefault="00330A89" w:rsidP="0086559C">
    <w:pPr>
      <w:pStyle w:val="Rodap"/>
      <w:spacing w:after="0"/>
      <w:jc w:val="center"/>
      <w:rPr>
        <w:rFonts w:asciiTheme="majorHAnsi" w:hAnsiTheme="majorHAnsi" w:cstheme="majorHAnsi"/>
        <w:color w:val="1D2644"/>
        <w:sz w:val="16"/>
      </w:rPr>
    </w:pPr>
    <w:r>
      <w:rPr>
        <w:noProof/>
      </w:rPr>
      <w:drawing>
        <wp:anchor distT="0" distB="0" distL="114300" distR="114300" simplePos="0" relativeHeight="251657728" behindDoc="1" locked="0" layoutInCell="1" allowOverlap="1" wp14:anchorId="11E6ADF3" wp14:editId="221165E8">
          <wp:simplePos x="0" y="0"/>
          <wp:positionH relativeFrom="column">
            <wp:posOffset>-1408977</wp:posOffset>
          </wp:positionH>
          <wp:positionV relativeFrom="paragraph">
            <wp:posOffset>-636905</wp:posOffset>
          </wp:positionV>
          <wp:extent cx="8249133" cy="1732915"/>
          <wp:effectExtent l="0" t="0" r="0" b="635"/>
          <wp:wrapNone/>
          <wp:docPr id="1003721814" name="Imagem 1003721814"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70953" cy="1737499"/>
                  </a:xfrm>
                  <a:prstGeom prst="rect">
                    <a:avLst/>
                  </a:prstGeom>
                </pic:spPr>
              </pic:pic>
            </a:graphicData>
          </a:graphic>
          <wp14:sizeRelH relativeFrom="margin">
            <wp14:pctWidth>0</wp14:pctWidth>
          </wp14:sizeRelH>
          <wp14:sizeRelV relativeFrom="margin">
            <wp14:pctHeight>0</wp14:pctHeight>
          </wp14:sizeRelV>
        </wp:anchor>
      </w:drawing>
    </w:r>
    <w:r w:rsidR="001E5248">
      <w:rPr>
        <w:noProof/>
      </w:rPr>
      <mc:AlternateContent>
        <mc:Choice Requires="wps">
          <w:drawing>
            <wp:anchor distT="0" distB="0" distL="114300" distR="114300" simplePos="0" relativeHeight="251656704"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0EC4B679" w:rsidR="00857A2D"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03D7F453"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778678A1" w:rsidR="00857A2D" w:rsidRDefault="001C625A" w:rsidP="00857A2D">
    <w:pPr>
      <w:pStyle w:val="Rodap"/>
      <w:jc w:val="center"/>
    </w:pPr>
    <w:r>
      <w:rPr>
        <w:noProof/>
      </w:rPr>
      <w:drawing>
        <wp:anchor distT="0" distB="0" distL="114300" distR="114300" simplePos="0" relativeHeight="25165977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20476472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6B2" w14:textId="77777777" w:rsidR="00F72CFE" w:rsidRDefault="00F72CFE">
      <w:r>
        <w:separator/>
      </w:r>
    </w:p>
  </w:footnote>
  <w:footnote w:type="continuationSeparator" w:id="0">
    <w:p w14:paraId="22E831E9" w14:textId="77777777" w:rsidR="00F72CFE" w:rsidRDefault="00F7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191431"/>
      <w:docPartObj>
        <w:docPartGallery w:val="Watermarks"/>
        <w:docPartUnique/>
      </w:docPartObj>
    </w:sdtPr>
    <w:sdtEndPr/>
    <w:sdtContent>
      <w:p w14:paraId="2637C3A1" w14:textId="5EC86516" w:rsidR="002D43BD" w:rsidRDefault="002D43BD">
        <w:pPr>
          <w:pStyle w:val="Cabealho"/>
        </w:pPr>
        <w:r>
          <w:rPr>
            <w:noProof/>
            <w:color w:val="112143"/>
            <w:sz w:val="16"/>
            <w:szCs w:val="16"/>
          </w:rPr>
          <w:drawing>
            <wp:anchor distT="0" distB="0" distL="114300" distR="114300" simplePos="0" relativeHeight="251654656" behindDoc="1" locked="0" layoutInCell="1" allowOverlap="1" wp14:anchorId="6181075D" wp14:editId="57646216">
              <wp:simplePos x="0" y="0"/>
              <wp:positionH relativeFrom="column">
                <wp:posOffset>-793971</wp:posOffset>
              </wp:positionH>
              <wp:positionV relativeFrom="paragraph">
                <wp:posOffset>-138</wp:posOffset>
              </wp:positionV>
              <wp:extent cx="7889420" cy="1657350"/>
              <wp:effectExtent l="0" t="0" r="0" b="0"/>
              <wp:wrapNone/>
              <wp:docPr id="1538753825" name="Imagem 1538753825"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889420" cy="1657350"/>
                      </a:xfrm>
                      <a:prstGeom prst="rect">
                        <a:avLst/>
                      </a:prstGeom>
                    </pic:spPr>
                  </pic:pic>
                </a:graphicData>
              </a:graphic>
              <wp14:sizeRelH relativeFrom="margin">
                <wp14:pctWidth>0</wp14:pctWidth>
              </wp14:sizeRelH>
              <wp14:sizeRelV relativeFrom="margin">
                <wp14:pctHeight>0</wp14:pctHeight>
              </wp14:sizeRelV>
            </wp:anchor>
          </w:drawing>
        </w:r>
        <w:r w:rsidR="006C391D">
          <w:rPr>
            <w:noProof/>
          </w:rPr>
          <w:pict w14:anchorId="302F6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45" o:spid="_x0000_s1025" type="#_x0000_t136" style="position:absolute;margin-left:0;margin-top:0;width:468.65pt;height:200.85pt;rotation:315;z-index:-25165568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p w14:paraId="4E7FFD52" w14:textId="1F35674B" w:rsidR="00D177CB" w:rsidRPr="00DA209E" w:rsidRDefault="006C2B51" w:rsidP="008A06AC">
    <w:pPr>
      <w:pStyle w:val="Cabealho"/>
      <w:widowControl w:val="0"/>
      <w:tabs>
        <w:tab w:val="clear" w:pos="4419"/>
        <w:tab w:val="clear" w:pos="8838"/>
        <w:tab w:val="center" w:pos="4677"/>
      </w:tabs>
      <w:spacing w:after="0"/>
      <w:jc w:val="center"/>
      <w:rPr>
        <w:noProof/>
        <w:color w:val="112143"/>
        <w:sz w:val="16"/>
        <w:szCs w:val="16"/>
      </w:rPr>
    </w:pPr>
    <w:r w:rsidRPr="00DA209E">
      <w:rPr>
        <w:noProof/>
        <w:color w:val="112143"/>
        <w:sz w:val="16"/>
        <w:szCs w:val="16"/>
      </w:rPr>
      <w:drawing>
        <wp:anchor distT="0" distB="0" distL="114300" distR="114300" simplePos="0" relativeHeight="251655680"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1425690525" name="Gráfico 142569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3C506DE8" w:rsidR="00857A2D" w:rsidRDefault="001C625A">
    <w:pPr>
      <w:pStyle w:val="Cabealho"/>
    </w:pPr>
    <w:r>
      <w:rPr>
        <w:noProof/>
      </w:rPr>
      <w:drawing>
        <wp:anchor distT="0" distB="0" distL="114300" distR="114300" simplePos="0" relativeHeight="251658752" behindDoc="1" locked="0" layoutInCell="1" allowOverlap="1" wp14:anchorId="229E52AB" wp14:editId="1F82A4DA">
          <wp:simplePos x="0" y="0"/>
          <wp:positionH relativeFrom="page">
            <wp:align>right</wp:align>
          </wp:positionH>
          <wp:positionV relativeFrom="paragraph">
            <wp:posOffset>0</wp:posOffset>
          </wp:positionV>
          <wp:extent cx="7559675" cy="1438910"/>
          <wp:effectExtent l="0" t="0" r="3175" b="0"/>
          <wp:wrapNone/>
          <wp:docPr id="810906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CC8"/>
    <w:multiLevelType w:val="hybridMultilevel"/>
    <w:tmpl w:val="727C5D9C"/>
    <w:lvl w:ilvl="0" w:tplc="A7642FAC">
      <w:start w:val="1"/>
      <w:numFmt w:val="lowerLetter"/>
      <w:lvlText w:val="(%1)"/>
      <w:lvlJc w:val="left"/>
      <w:pPr>
        <w:ind w:left="1425" w:hanging="360"/>
      </w:pPr>
      <w:rPr>
        <w:rFonts w:hint="default"/>
        <w:b/>
        <w:i w:val="0"/>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 w15:restartNumberingAfterBreak="0">
    <w:nsid w:val="0F875468"/>
    <w:multiLevelType w:val="hybridMultilevel"/>
    <w:tmpl w:val="3C1AFE6C"/>
    <w:lvl w:ilvl="0" w:tplc="40FA45B4">
      <w:start w:val="1"/>
      <w:numFmt w:val="lowerLetter"/>
      <w:lvlText w:val="(%1)"/>
      <w:lvlJc w:val="left"/>
      <w:pPr>
        <w:ind w:left="1425" w:hanging="360"/>
      </w:pPr>
      <w:rPr>
        <w:rFonts w:hint="default"/>
        <w:b/>
        <w:i w:val="0"/>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2"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60186C"/>
    <w:multiLevelType w:val="hybridMultilevel"/>
    <w:tmpl w:val="3B884344"/>
    <w:lvl w:ilvl="0" w:tplc="F95E2776">
      <w:start w:val="1"/>
      <w:numFmt w:val="lowerLetter"/>
      <w:lvlText w:val="(%1)"/>
      <w:lvlJc w:val="left"/>
      <w:pPr>
        <w:ind w:left="1425" w:hanging="360"/>
      </w:pPr>
      <w:rPr>
        <w:rFonts w:hint="default"/>
        <w:b/>
        <w:i w:val="0"/>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4" w15:restartNumberingAfterBreak="0">
    <w:nsid w:val="42DE7185"/>
    <w:multiLevelType w:val="hybridMultilevel"/>
    <w:tmpl w:val="6AD2534A"/>
    <w:lvl w:ilvl="0" w:tplc="A1E2FC46">
      <w:start w:val="1"/>
      <w:numFmt w:val="decimal"/>
      <w:pStyle w:val="Estilo2"/>
      <w:lvlText w:val="%1."/>
      <w:lvlJc w:val="left"/>
      <w:pPr>
        <w:ind w:left="360" w:hanging="360"/>
      </w:pPr>
      <w:rPr>
        <w:rFonts w:hint="default"/>
        <w:b/>
        <w:bCs/>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50CF51B4"/>
    <w:multiLevelType w:val="hybridMultilevel"/>
    <w:tmpl w:val="2B662CC8"/>
    <w:lvl w:ilvl="0" w:tplc="4BE4FA64">
      <w:start w:val="1"/>
      <w:numFmt w:val="decimal"/>
      <w:lvlText w:val="%1."/>
      <w:lvlJc w:val="left"/>
      <w:pPr>
        <w:ind w:left="705" w:hanging="70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2B531F3"/>
    <w:multiLevelType w:val="hybridMultilevel"/>
    <w:tmpl w:val="2E921084"/>
    <w:lvl w:ilvl="0" w:tplc="103C4836">
      <w:start w:val="1"/>
      <w:numFmt w:val="lowerLetter"/>
      <w:lvlText w:val="(%1)"/>
      <w:lvlJc w:val="left"/>
      <w:pPr>
        <w:ind w:left="1425" w:hanging="360"/>
      </w:pPr>
      <w:rPr>
        <w:rFonts w:hint="default"/>
        <w:b/>
        <w:i w:val="0"/>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7" w15:restartNumberingAfterBreak="0">
    <w:nsid w:val="648631AE"/>
    <w:multiLevelType w:val="hybridMultilevel"/>
    <w:tmpl w:val="ABE4CAEE"/>
    <w:lvl w:ilvl="0" w:tplc="96E8EE2A">
      <w:start w:val="1"/>
      <w:numFmt w:val="lowerLetter"/>
      <w:pStyle w:val="Estilo6"/>
      <w:lvlText w:val="(%1)"/>
      <w:lvlJc w:val="left"/>
      <w:pPr>
        <w:ind w:left="927" w:hanging="360"/>
      </w:pPr>
      <w:rPr>
        <w:rFonts w:ascii="Calibri" w:hAnsi="Calibri" w:hint="default"/>
        <w:b w:val="0"/>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66702E0B"/>
    <w:multiLevelType w:val="hybridMultilevel"/>
    <w:tmpl w:val="3D00ADD0"/>
    <w:lvl w:ilvl="0" w:tplc="FCFCD6F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359479338">
    <w:abstractNumId w:val="4"/>
  </w:num>
  <w:num w:numId="2" w16cid:durableId="765151288">
    <w:abstractNumId w:val="2"/>
  </w:num>
  <w:num w:numId="3" w16cid:durableId="474103303">
    <w:abstractNumId w:val="7"/>
  </w:num>
  <w:num w:numId="4" w16cid:durableId="382099318">
    <w:abstractNumId w:val="5"/>
  </w:num>
  <w:num w:numId="5" w16cid:durableId="2090807862">
    <w:abstractNumId w:val="6"/>
  </w:num>
  <w:num w:numId="6" w16cid:durableId="302121225">
    <w:abstractNumId w:val="0"/>
  </w:num>
  <w:num w:numId="7" w16cid:durableId="1499686923">
    <w:abstractNumId w:val="1"/>
  </w:num>
  <w:num w:numId="8" w16cid:durableId="1053699747">
    <w:abstractNumId w:val="3"/>
  </w:num>
  <w:num w:numId="9" w16cid:durableId="13580029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15D42"/>
    <w:rsid w:val="00017FF5"/>
    <w:rsid w:val="00021899"/>
    <w:rsid w:val="000247CD"/>
    <w:rsid w:val="00035BF8"/>
    <w:rsid w:val="000403A9"/>
    <w:rsid w:val="00041946"/>
    <w:rsid w:val="00066B1E"/>
    <w:rsid w:val="00073C49"/>
    <w:rsid w:val="00090FA9"/>
    <w:rsid w:val="000B5137"/>
    <w:rsid w:val="000B757E"/>
    <w:rsid w:val="000C6E1C"/>
    <w:rsid w:val="000C7369"/>
    <w:rsid w:val="000D16B8"/>
    <w:rsid w:val="000D3F7C"/>
    <w:rsid w:val="000D50F9"/>
    <w:rsid w:val="000E03D1"/>
    <w:rsid w:val="000E5676"/>
    <w:rsid w:val="00113971"/>
    <w:rsid w:val="0011666A"/>
    <w:rsid w:val="001208E0"/>
    <w:rsid w:val="001262C0"/>
    <w:rsid w:val="00126599"/>
    <w:rsid w:val="001453D3"/>
    <w:rsid w:val="00154763"/>
    <w:rsid w:val="00166BB5"/>
    <w:rsid w:val="00172900"/>
    <w:rsid w:val="0019070E"/>
    <w:rsid w:val="001A0221"/>
    <w:rsid w:val="001B592B"/>
    <w:rsid w:val="001C0AA6"/>
    <w:rsid w:val="001C13FA"/>
    <w:rsid w:val="001C35DB"/>
    <w:rsid w:val="001C625A"/>
    <w:rsid w:val="001C6C98"/>
    <w:rsid w:val="001E5248"/>
    <w:rsid w:val="002007B6"/>
    <w:rsid w:val="00203C9E"/>
    <w:rsid w:val="00205A86"/>
    <w:rsid w:val="0021173D"/>
    <w:rsid w:val="00212C05"/>
    <w:rsid w:val="0021327A"/>
    <w:rsid w:val="00216F06"/>
    <w:rsid w:val="00217603"/>
    <w:rsid w:val="002528D8"/>
    <w:rsid w:val="00254AE9"/>
    <w:rsid w:val="00260316"/>
    <w:rsid w:val="00263A41"/>
    <w:rsid w:val="00275C7E"/>
    <w:rsid w:val="002774CA"/>
    <w:rsid w:val="002827B6"/>
    <w:rsid w:val="002A1E8E"/>
    <w:rsid w:val="002B06A8"/>
    <w:rsid w:val="002B078E"/>
    <w:rsid w:val="002B737B"/>
    <w:rsid w:val="002C1B82"/>
    <w:rsid w:val="002C4394"/>
    <w:rsid w:val="002C5705"/>
    <w:rsid w:val="002C58B2"/>
    <w:rsid w:val="002C7233"/>
    <w:rsid w:val="002D43BD"/>
    <w:rsid w:val="002E5893"/>
    <w:rsid w:val="002F11D1"/>
    <w:rsid w:val="002F7D79"/>
    <w:rsid w:val="00300901"/>
    <w:rsid w:val="00305F21"/>
    <w:rsid w:val="00307218"/>
    <w:rsid w:val="00311A11"/>
    <w:rsid w:val="003245AA"/>
    <w:rsid w:val="00324878"/>
    <w:rsid w:val="00327512"/>
    <w:rsid w:val="00330A89"/>
    <w:rsid w:val="00333DB6"/>
    <w:rsid w:val="00344C4E"/>
    <w:rsid w:val="0036169B"/>
    <w:rsid w:val="00364DBC"/>
    <w:rsid w:val="00365CA3"/>
    <w:rsid w:val="0036766C"/>
    <w:rsid w:val="00386377"/>
    <w:rsid w:val="00395742"/>
    <w:rsid w:val="003971F2"/>
    <w:rsid w:val="003A06CE"/>
    <w:rsid w:val="003A4C75"/>
    <w:rsid w:val="003A64A0"/>
    <w:rsid w:val="003A6E65"/>
    <w:rsid w:val="003A7029"/>
    <w:rsid w:val="003B497F"/>
    <w:rsid w:val="003B61ED"/>
    <w:rsid w:val="003C487B"/>
    <w:rsid w:val="003D3015"/>
    <w:rsid w:val="003D40CD"/>
    <w:rsid w:val="003D49B2"/>
    <w:rsid w:val="003E12AC"/>
    <w:rsid w:val="003E6310"/>
    <w:rsid w:val="00400C63"/>
    <w:rsid w:val="0041401F"/>
    <w:rsid w:val="00414CD4"/>
    <w:rsid w:val="00420404"/>
    <w:rsid w:val="004214B8"/>
    <w:rsid w:val="004226B1"/>
    <w:rsid w:val="00427F70"/>
    <w:rsid w:val="0043284E"/>
    <w:rsid w:val="004404BA"/>
    <w:rsid w:val="004408E4"/>
    <w:rsid w:val="00445FEA"/>
    <w:rsid w:val="004465F2"/>
    <w:rsid w:val="00456DD0"/>
    <w:rsid w:val="00464E6A"/>
    <w:rsid w:val="00472F42"/>
    <w:rsid w:val="00484D3B"/>
    <w:rsid w:val="0049439C"/>
    <w:rsid w:val="004A0998"/>
    <w:rsid w:val="004C249B"/>
    <w:rsid w:val="004C3DFB"/>
    <w:rsid w:val="004C4638"/>
    <w:rsid w:val="004D10F0"/>
    <w:rsid w:val="004D3978"/>
    <w:rsid w:val="004D55E2"/>
    <w:rsid w:val="004D652A"/>
    <w:rsid w:val="004E507E"/>
    <w:rsid w:val="004E7E3C"/>
    <w:rsid w:val="004F2CBC"/>
    <w:rsid w:val="004F3913"/>
    <w:rsid w:val="00507F8C"/>
    <w:rsid w:val="00514404"/>
    <w:rsid w:val="00514BDC"/>
    <w:rsid w:val="00516DD0"/>
    <w:rsid w:val="00552200"/>
    <w:rsid w:val="005569B1"/>
    <w:rsid w:val="00566380"/>
    <w:rsid w:val="0057572A"/>
    <w:rsid w:val="00594D15"/>
    <w:rsid w:val="005A0077"/>
    <w:rsid w:val="005A0BD7"/>
    <w:rsid w:val="005A1B86"/>
    <w:rsid w:val="005A34BB"/>
    <w:rsid w:val="005B2C5D"/>
    <w:rsid w:val="005C0360"/>
    <w:rsid w:val="005C5D4E"/>
    <w:rsid w:val="005D395C"/>
    <w:rsid w:val="005D6A44"/>
    <w:rsid w:val="005F2AAB"/>
    <w:rsid w:val="00602DB5"/>
    <w:rsid w:val="00604E57"/>
    <w:rsid w:val="00606F34"/>
    <w:rsid w:val="006154BA"/>
    <w:rsid w:val="00615DD7"/>
    <w:rsid w:val="006269B5"/>
    <w:rsid w:val="00627036"/>
    <w:rsid w:val="00647F20"/>
    <w:rsid w:val="00654DC0"/>
    <w:rsid w:val="00657BA6"/>
    <w:rsid w:val="00666D03"/>
    <w:rsid w:val="00667526"/>
    <w:rsid w:val="006741BC"/>
    <w:rsid w:val="00674B5F"/>
    <w:rsid w:val="00681A8D"/>
    <w:rsid w:val="00690923"/>
    <w:rsid w:val="00691956"/>
    <w:rsid w:val="00692564"/>
    <w:rsid w:val="00692CF6"/>
    <w:rsid w:val="006930B6"/>
    <w:rsid w:val="006949EC"/>
    <w:rsid w:val="006A3807"/>
    <w:rsid w:val="006A7AC2"/>
    <w:rsid w:val="006B1C72"/>
    <w:rsid w:val="006B45AF"/>
    <w:rsid w:val="006C2B51"/>
    <w:rsid w:val="006C391D"/>
    <w:rsid w:val="006C706D"/>
    <w:rsid w:val="006D16EC"/>
    <w:rsid w:val="006E2A7B"/>
    <w:rsid w:val="006F45C5"/>
    <w:rsid w:val="006F6BF4"/>
    <w:rsid w:val="006F7BCA"/>
    <w:rsid w:val="007318AD"/>
    <w:rsid w:val="0073260D"/>
    <w:rsid w:val="00733306"/>
    <w:rsid w:val="00733382"/>
    <w:rsid w:val="00740194"/>
    <w:rsid w:val="0074778C"/>
    <w:rsid w:val="00765F01"/>
    <w:rsid w:val="00766E01"/>
    <w:rsid w:val="007731D4"/>
    <w:rsid w:val="00773A20"/>
    <w:rsid w:val="00776F7D"/>
    <w:rsid w:val="007A65F0"/>
    <w:rsid w:val="007B0416"/>
    <w:rsid w:val="007B2886"/>
    <w:rsid w:val="007B3009"/>
    <w:rsid w:val="007B5BAE"/>
    <w:rsid w:val="007B7970"/>
    <w:rsid w:val="007C075F"/>
    <w:rsid w:val="007C5BB2"/>
    <w:rsid w:val="007D0439"/>
    <w:rsid w:val="007D6EB1"/>
    <w:rsid w:val="007D7C4A"/>
    <w:rsid w:val="007E00D9"/>
    <w:rsid w:val="007E1ED3"/>
    <w:rsid w:val="007E377F"/>
    <w:rsid w:val="007F1105"/>
    <w:rsid w:val="00800384"/>
    <w:rsid w:val="00802F34"/>
    <w:rsid w:val="00807407"/>
    <w:rsid w:val="0081560F"/>
    <w:rsid w:val="0082547F"/>
    <w:rsid w:val="0084075A"/>
    <w:rsid w:val="00843DA4"/>
    <w:rsid w:val="00844890"/>
    <w:rsid w:val="00847E01"/>
    <w:rsid w:val="00853CBD"/>
    <w:rsid w:val="00857A2D"/>
    <w:rsid w:val="00857BF9"/>
    <w:rsid w:val="0086559C"/>
    <w:rsid w:val="00865AC0"/>
    <w:rsid w:val="00881145"/>
    <w:rsid w:val="008A06AC"/>
    <w:rsid w:val="008A1F25"/>
    <w:rsid w:val="008B5741"/>
    <w:rsid w:val="008C60B3"/>
    <w:rsid w:val="008D6375"/>
    <w:rsid w:val="008F6D9B"/>
    <w:rsid w:val="008F75DB"/>
    <w:rsid w:val="009115FC"/>
    <w:rsid w:val="00911FCC"/>
    <w:rsid w:val="009130C9"/>
    <w:rsid w:val="00926B67"/>
    <w:rsid w:val="00927E73"/>
    <w:rsid w:val="009302B8"/>
    <w:rsid w:val="009316D5"/>
    <w:rsid w:val="009357E4"/>
    <w:rsid w:val="0094722E"/>
    <w:rsid w:val="009503F9"/>
    <w:rsid w:val="00954D99"/>
    <w:rsid w:val="00962004"/>
    <w:rsid w:val="00963E2E"/>
    <w:rsid w:val="00964F70"/>
    <w:rsid w:val="00971280"/>
    <w:rsid w:val="00973A15"/>
    <w:rsid w:val="0098016F"/>
    <w:rsid w:val="009946C7"/>
    <w:rsid w:val="0099628A"/>
    <w:rsid w:val="009B1C60"/>
    <w:rsid w:val="009C621F"/>
    <w:rsid w:val="009D1A96"/>
    <w:rsid w:val="009D22A1"/>
    <w:rsid w:val="009E1339"/>
    <w:rsid w:val="009F73ED"/>
    <w:rsid w:val="00A032AA"/>
    <w:rsid w:val="00A112EE"/>
    <w:rsid w:val="00A17768"/>
    <w:rsid w:val="00A22DCD"/>
    <w:rsid w:val="00A4152D"/>
    <w:rsid w:val="00A42363"/>
    <w:rsid w:val="00A55DF2"/>
    <w:rsid w:val="00A647A7"/>
    <w:rsid w:val="00A660C4"/>
    <w:rsid w:val="00A70910"/>
    <w:rsid w:val="00A73530"/>
    <w:rsid w:val="00A74F78"/>
    <w:rsid w:val="00A75046"/>
    <w:rsid w:val="00A838F6"/>
    <w:rsid w:val="00A85F10"/>
    <w:rsid w:val="00A871A2"/>
    <w:rsid w:val="00A957F7"/>
    <w:rsid w:val="00A96EE0"/>
    <w:rsid w:val="00AA2CAE"/>
    <w:rsid w:val="00AA50E9"/>
    <w:rsid w:val="00AB0BE3"/>
    <w:rsid w:val="00AB4E97"/>
    <w:rsid w:val="00AC68B1"/>
    <w:rsid w:val="00AE3B9E"/>
    <w:rsid w:val="00AF04A1"/>
    <w:rsid w:val="00B112CC"/>
    <w:rsid w:val="00B2081C"/>
    <w:rsid w:val="00B20974"/>
    <w:rsid w:val="00B21E69"/>
    <w:rsid w:val="00B25A1E"/>
    <w:rsid w:val="00B31633"/>
    <w:rsid w:val="00B3584A"/>
    <w:rsid w:val="00B55E02"/>
    <w:rsid w:val="00B62F9F"/>
    <w:rsid w:val="00B67FFC"/>
    <w:rsid w:val="00B71165"/>
    <w:rsid w:val="00B7311F"/>
    <w:rsid w:val="00B73ADA"/>
    <w:rsid w:val="00B755A5"/>
    <w:rsid w:val="00B802F8"/>
    <w:rsid w:val="00B82DAB"/>
    <w:rsid w:val="00B92FE9"/>
    <w:rsid w:val="00BA2E78"/>
    <w:rsid w:val="00BB7230"/>
    <w:rsid w:val="00BC29B0"/>
    <w:rsid w:val="00BC7EE7"/>
    <w:rsid w:val="00BD23C6"/>
    <w:rsid w:val="00BF0E6C"/>
    <w:rsid w:val="00BF3A3E"/>
    <w:rsid w:val="00C01B13"/>
    <w:rsid w:val="00C11AE1"/>
    <w:rsid w:val="00C13C80"/>
    <w:rsid w:val="00C256BC"/>
    <w:rsid w:val="00C342F3"/>
    <w:rsid w:val="00C35437"/>
    <w:rsid w:val="00C46095"/>
    <w:rsid w:val="00C5328D"/>
    <w:rsid w:val="00C606B2"/>
    <w:rsid w:val="00C6282C"/>
    <w:rsid w:val="00C64CBE"/>
    <w:rsid w:val="00C671BA"/>
    <w:rsid w:val="00C74902"/>
    <w:rsid w:val="00CA3821"/>
    <w:rsid w:val="00CB6887"/>
    <w:rsid w:val="00CB7C27"/>
    <w:rsid w:val="00CC2A42"/>
    <w:rsid w:val="00CD282C"/>
    <w:rsid w:val="00CE074F"/>
    <w:rsid w:val="00CE24C4"/>
    <w:rsid w:val="00CE472A"/>
    <w:rsid w:val="00CF1146"/>
    <w:rsid w:val="00CF1458"/>
    <w:rsid w:val="00CF623B"/>
    <w:rsid w:val="00D0000E"/>
    <w:rsid w:val="00D044AA"/>
    <w:rsid w:val="00D058F7"/>
    <w:rsid w:val="00D06B7A"/>
    <w:rsid w:val="00D07F42"/>
    <w:rsid w:val="00D11BEC"/>
    <w:rsid w:val="00D13B53"/>
    <w:rsid w:val="00D177CB"/>
    <w:rsid w:val="00D349D9"/>
    <w:rsid w:val="00D4269B"/>
    <w:rsid w:val="00D449B6"/>
    <w:rsid w:val="00D564B5"/>
    <w:rsid w:val="00D81C82"/>
    <w:rsid w:val="00D86A37"/>
    <w:rsid w:val="00D87A40"/>
    <w:rsid w:val="00D921D4"/>
    <w:rsid w:val="00D925F0"/>
    <w:rsid w:val="00D92DC0"/>
    <w:rsid w:val="00D95713"/>
    <w:rsid w:val="00DA209E"/>
    <w:rsid w:val="00DA6AB2"/>
    <w:rsid w:val="00DB1DAC"/>
    <w:rsid w:val="00DB33A6"/>
    <w:rsid w:val="00DB6067"/>
    <w:rsid w:val="00DD1D18"/>
    <w:rsid w:val="00DD5190"/>
    <w:rsid w:val="00DE40EC"/>
    <w:rsid w:val="00DF09A8"/>
    <w:rsid w:val="00DF7D94"/>
    <w:rsid w:val="00E00A52"/>
    <w:rsid w:val="00E01380"/>
    <w:rsid w:val="00E0162E"/>
    <w:rsid w:val="00E03866"/>
    <w:rsid w:val="00E046B1"/>
    <w:rsid w:val="00E12A70"/>
    <w:rsid w:val="00E21A26"/>
    <w:rsid w:val="00E24827"/>
    <w:rsid w:val="00E31755"/>
    <w:rsid w:val="00E32A01"/>
    <w:rsid w:val="00E4625F"/>
    <w:rsid w:val="00E52268"/>
    <w:rsid w:val="00E57FD0"/>
    <w:rsid w:val="00E624EB"/>
    <w:rsid w:val="00E74A49"/>
    <w:rsid w:val="00E75F08"/>
    <w:rsid w:val="00E84E0A"/>
    <w:rsid w:val="00E867EF"/>
    <w:rsid w:val="00ED633B"/>
    <w:rsid w:val="00EE51FD"/>
    <w:rsid w:val="00EE5D63"/>
    <w:rsid w:val="00EE6BAB"/>
    <w:rsid w:val="00F13D0D"/>
    <w:rsid w:val="00F24CE9"/>
    <w:rsid w:val="00F342A0"/>
    <w:rsid w:val="00F462E4"/>
    <w:rsid w:val="00F46F42"/>
    <w:rsid w:val="00F624BA"/>
    <w:rsid w:val="00F72CFE"/>
    <w:rsid w:val="00F76EA2"/>
    <w:rsid w:val="00F77B80"/>
    <w:rsid w:val="00F82161"/>
    <w:rsid w:val="00F83D65"/>
    <w:rsid w:val="00FA6EEE"/>
    <w:rsid w:val="00FB17B3"/>
    <w:rsid w:val="00FB4B21"/>
    <w:rsid w:val="00FB5539"/>
    <w:rsid w:val="00FD14D6"/>
    <w:rsid w:val="00FE0180"/>
    <w:rsid w:val="00FE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Ttulo1">
    <w:name w:val="heading 1"/>
    <w:basedOn w:val="Normal"/>
    <w:next w:val="Normal"/>
    <w:qFormat/>
    <w:pPr>
      <w:keepNext/>
      <w:jc w:val="center"/>
      <w:outlineLvl w:val="0"/>
    </w:pPr>
    <w:rPr>
      <w:i/>
    </w:rPr>
  </w:style>
  <w:style w:type="paragraph" w:styleId="Ttulo2">
    <w:name w:val="heading 2"/>
    <w:basedOn w:val="Normal"/>
    <w:next w:val="Normal"/>
    <w:qFormat/>
    <w:pPr>
      <w:keepNext/>
      <w:outlineLvl w:val="1"/>
    </w:pPr>
    <w:rPr>
      <w:b/>
      <w:i/>
      <w:sz w:val="28"/>
    </w:rPr>
  </w:style>
  <w:style w:type="paragraph" w:styleId="Ttulo3">
    <w:name w:val="heading 3"/>
    <w:basedOn w:val="Normal"/>
    <w:next w:val="Normal"/>
    <w:qFormat/>
    <w:pPr>
      <w:keepNext/>
      <w:jc w:val="center"/>
      <w:outlineLvl w:val="2"/>
    </w:pPr>
    <w:rPr>
      <w:b/>
      <w:i/>
      <w:sz w:val="26"/>
    </w:rPr>
  </w:style>
  <w:style w:type="paragraph" w:styleId="Ttulo4">
    <w:name w:val="heading 4"/>
    <w:basedOn w:val="Normal"/>
    <w:next w:val="Normal"/>
    <w:qFormat/>
    <w:pPr>
      <w:keepNext/>
      <w:outlineLvl w:val="3"/>
    </w:pPr>
    <w:rPr>
      <w:b/>
      <w:i/>
      <w:sz w:val="28"/>
      <w:u w:val="single"/>
    </w:rPr>
  </w:style>
  <w:style w:type="paragraph" w:styleId="Ttulo5">
    <w:name w:val="heading 5"/>
    <w:basedOn w:val="Normal"/>
    <w:next w:val="Normal"/>
    <w:qFormat/>
    <w:pPr>
      <w:keepNext/>
      <w:outlineLvl w:val="4"/>
    </w:pPr>
    <w:rPr>
      <w:i/>
      <w:sz w:val="16"/>
      <w:u w:val="single"/>
    </w:rPr>
  </w:style>
  <w:style w:type="paragraph" w:styleId="Ttulo6">
    <w:name w:val="heading 6"/>
    <w:basedOn w:val="Normal"/>
    <w:next w:val="Normal"/>
    <w:qFormat/>
    <w:pPr>
      <w:keepNext/>
      <w:outlineLvl w:val="5"/>
    </w:pPr>
    <w:rPr>
      <w:i/>
      <w:sz w:val="28"/>
      <w:u w:val="single"/>
    </w:rPr>
  </w:style>
  <w:style w:type="paragraph" w:styleId="Ttulo7">
    <w:name w:val="heading 7"/>
    <w:basedOn w:val="Normal"/>
    <w:next w:val="Normal"/>
    <w:qFormat/>
    <w:pPr>
      <w:keepNext/>
      <w:jc w:val="center"/>
      <w:outlineLvl w:val="6"/>
    </w:pPr>
    <w:rPr>
      <w:rFonts w:ascii="Arial" w:hAnsi="Arial"/>
    </w:rPr>
  </w:style>
  <w:style w:type="paragraph" w:styleId="Ttulo8">
    <w:name w:val="heading 8"/>
    <w:basedOn w:val="Normal"/>
    <w:next w:val="Normal"/>
    <w:qFormat/>
    <w:pPr>
      <w:keepNext/>
      <w:jc w:val="both"/>
      <w:outlineLvl w:val="7"/>
    </w:pPr>
    <w:rPr>
      <w:rFonts w:ascii="Arial" w:hAnsi="Arial"/>
      <w:b/>
      <w:sz w:val="28"/>
    </w:rPr>
  </w:style>
  <w:style w:type="paragraph" w:styleId="Ttulo9">
    <w:name w:val="heading 9"/>
    <w:basedOn w:val="Normal"/>
    <w:next w:val="Normal"/>
    <w:qFormat/>
    <w:pPr>
      <w:keepNext/>
      <w:jc w:val="right"/>
      <w:outlineLvl w:val="8"/>
    </w:pPr>
    <w:rPr>
      <w:rFonts w:ascii="Arial" w:hAnsi="Arial"/>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elacomgrade">
    <w:name w:val="Table Grid"/>
    <w:basedOn w:val="Tabelanormal"/>
    <w:uiPriority w:val="5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semiHidden/>
    <w:rsid w:val="000E03D1"/>
    <w:rPr>
      <w:lang w:val="pt-BR" w:eastAsia="pt-BR"/>
    </w:rPr>
  </w:style>
  <w:style w:type="character" w:styleId="Refdenotaderodap">
    <w:name w:val="footnote reference"/>
    <w:basedOn w:val="Fontepargpadro"/>
    <w:semiHidden/>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507F8C"/>
    <w:pPr>
      <w:spacing w:before="120" w:after="0"/>
    </w:pPr>
    <w:rPr>
      <w:rFonts w:ascii="Arial" w:hAnsi="Arial"/>
      <w:b/>
      <w:sz w:val="18"/>
    </w:rPr>
  </w:style>
  <w:style w:type="paragraph" w:styleId="PargrafodaLista">
    <w:name w:val="List Paragraph"/>
    <w:basedOn w:val="Normal"/>
    <w:link w:val="PargrafodaListaChar"/>
    <w:uiPriority w:val="34"/>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E57FD0"/>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E57FD0"/>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CB6887"/>
    <w:pPr>
      <w:ind w:left="1418" w:hanging="425"/>
    </w:pPr>
    <w:rPr>
      <w:rFonts w:eastAsia="Calibri" w:cs="Calibri"/>
      <w:szCs w:val="24"/>
    </w:rPr>
  </w:style>
  <w:style w:type="character" w:customStyle="1" w:styleId="Estilo3Char">
    <w:name w:val="Estilo3 Char"/>
    <w:basedOn w:val="Fontepargpadro"/>
    <w:link w:val="Estilo3"/>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2"/>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CF623B"/>
    <w:pPr>
      <w:numPr>
        <w:numId w:val="3"/>
      </w:numPr>
      <w:ind w:left="993" w:hanging="426"/>
    </w:pPr>
  </w:style>
  <w:style w:type="character" w:customStyle="1" w:styleId="Estilo6Char">
    <w:name w:val="Estilo6 Char"/>
    <w:basedOn w:val="Estilo4Char"/>
    <w:link w:val="Estilo6"/>
    <w:rsid w:val="00CF623B"/>
    <w:rPr>
      <w:rFonts w:asciiTheme="majorHAnsi" w:eastAsiaTheme="minorHAnsi" w:hAnsiTheme="majorHAnsi" w:cstheme="majorHAnsi"/>
      <w:kern w:val="2"/>
      <w:sz w:val="24"/>
      <w:szCs w:val="24"/>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9</Pages>
  <Words>3072</Words>
  <Characters>16375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Henrique Santos de Freitas</cp:lastModifiedBy>
  <cp:revision>23</cp:revision>
  <cp:lastPrinted>2025-08-12T18:50:00Z</cp:lastPrinted>
  <dcterms:created xsi:type="dcterms:W3CDTF">2025-08-08T14:02:00Z</dcterms:created>
  <dcterms:modified xsi:type="dcterms:W3CDTF">2025-09-25T18:57:00Z</dcterms:modified>
</cp:coreProperties>
</file>