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0E9BA" w14:textId="20920FD5" w:rsidR="000D53EE" w:rsidRPr="00214DB2" w:rsidRDefault="00214DB2" w:rsidP="00630CB0">
      <w:pPr>
        <w:spacing w:after="0" w:line="240" w:lineRule="auto"/>
        <w:jc w:val="center"/>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 xml:space="preserve">NORMA BRASILEIRA DE CONTABILIDADE, NBC TSP 06 (R1), </w:t>
      </w:r>
      <w:r w:rsidR="00205105" w:rsidRPr="00205105">
        <w:rPr>
          <w:rFonts w:asciiTheme="minorHAnsi" w:eastAsia="Times New Roman" w:hAnsiTheme="minorHAnsi" w:cstheme="minorHAnsi"/>
          <w:b/>
          <w:bCs/>
          <w:sz w:val="24"/>
          <w:szCs w:val="24"/>
        </w:rPr>
        <w:t>DE XX DE XXXXX DE 2025</w:t>
      </w:r>
    </w:p>
    <w:p w14:paraId="05A36169"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824BDF2" w14:textId="77777777" w:rsidR="000D53EE" w:rsidRPr="00214DB2" w:rsidRDefault="000D53EE">
      <w:pPr>
        <w:spacing w:after="0" w:line="240" w:lineRule="auto"/>
        <w:ind w:left="5387"/>
        <w:jc w:val="both"/>
        <w:rPr>
          <w:rFonts w:asciiTheme="minorHAnsi" w:eastAsia="Times New Roman" w:hAnsiTheme="minorHAnsi" w:cstheme="minorHAnsi"/>
          <w:b/>
          <w:i/>
          <w:sz w:val="24"/>
          <w:szCs w:val="24"/>
        </w:rPr>
      </w:pPr>
    </w:p>
    <w:p w14:paraId="5497A3C3" w14:textId="77777777" w:rsidR="000D53EE" w:rsidRPr="00214DB2" w:rsidRDefault="00214DB2">
      <w:pPr>
        <w:spacing w:after="0" w:line="240" w:lineRule="auto"/>
        <w:ind w:left="5387"/>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Aprova a NBC TSP 06 (R1) – Propriedade para Investimento.</w:t>
      </w:r>
    </w:p>
    <w:p w14:paraId="3347EC7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94796AD" w14:textId="77777777" w:rsidR="000D53EE" w:rsidRPr="00214DB2" w:rsidRDefault="00214DB2">
      <w:pPr>
        <w:spacing w:after="0" w:line="240" w:lineRule="auto"/>
        <w:ind w:firstLine="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O </w:t>
      </w:r>
      <w:r w:rsidRPr="00214DB2">
        <w:rPr>
          <w:rFonts w:asciiTheme="minorHAnsi" w:eastAsia="Times New Roman" w:hAnsiTheme="minorHAnsi" w:cstheme="minorHAnsi"/>
          <w:b/>
          <w:sz w:val="24"/>
          <w:szCs w:val="24"/>
        </w:rPr>
        <w:t>CONSELHO FEDERAL DE CONTABILIDADE</w:t>
      </w:r>
      <w:r w:rsidRPr="00214DB2">
        <w:rPr>
          <w:rFonts w:asciiTheme="minorHAnsi" w:eastAsia="Times New Roman" w:hAnsiTheme="minorHAnsi" w:cstheme="minorHAnsi"/>
          <w:sz w:val="24"/>
          <w:szCs w:val="24"/>
        </w:rPr>
        <w:t xml:space="preserve">, considerando o processo de convergência das Normas Brasileiras de Contabilidade aos padrões internacionais e que, mediante acordo firmado com a Ifac, que autorizou, no Brasil, o CFC como um dos tradutores de suas normas e publicações, outorgando os direitos de realizar tradução, publicação e distribuição das normas internacionais e demais pronunciamentos em formato eletrônico, no exercício de suas atribuições legais e regimentais e com fundamento no disposto na alínea “f” do Art. 6º do Decreto-Lei n.º 9.295/1946, alterado pela Lei n.º 12.249/2010, faz saber que foi aprovada em seu Plenário a seguinte Norma Brasileira de Contabilidade (NBC), elaborada de acordo com a IPSAS 16 – </w:t>
      </w:r>
      <w:r w:rsidRPr="00214DB2">
        <w:rPr>
          <w:rFonts w:asciiTheme="minorHAnsi" w:eastAsia="Times New Roman" w:hAnsiTheme="minorHAnsi" w:cstheme="minorHAnsi"/>
          <w:i/>
          <w:sz w:val="24"/>
          <w:szCs w:val="24"/>
        </w:rPr>
        <w:t>Investment Property</w:t>
      </w:r>
      <w:r w:rsidRPr="00214DB2">
        <w:rPr>
          <w:rFonts w:asciiTheme="minorHAnsi" w:eastAsia="Times New Roman" w:hAnsiTheme="minorHAnsi" w:cstheme="minorHAnsi"/>
          <w:sz w:val="24"/>
          <w:szCs w:val="24"/>
        </w:rPr>
        <w:t xml:space="preserve">, editada pelo </w:t>
      </w:r>
      <w:r w:rsidRPr="00214DB2">
        <w:rPr>
          <w:rFonts w:asciiTheme="minorHAnsi" w:eastAsia="Times New Roman" w:hAnsiTheme="minorHAnsi" w:cstheme="minorHAnsi"/>
          <w:i/>
          <w:sz w:val="24"/>
          <w:szCs w:val="24"/>
        </w:rPr>
        <w:t xml:space="preserve">International Public Sector Accounting Standards Board </w:t>
      </w:r>
      <w:r w:rsidRPr="00214DB2">
        <w:rPr>
          <w:rFonts w:asciiTheme="minorHAnsi" w:eastAsia="Times New Roman" w:hAnsiTheme="minorHAnsi" w:cstheme="minorHAnsi"/>
          <w:sz w:val="24"/>
          <w:szCs w:val="24"/>
        </w:rPr>
        <w:t>da</w:t>
      </w:r>
      <w:r w:rsidRPr="00214DB2">
        <w:rPr>
          <w:rFonts w:asciiTheme="minorHAnsi" w:eastAsia="Times New Roman" w:hAnsiTheme="minorHAnsi" w:cstheme="minorHAnsi"/>
          <w:i/>
          <w:sz w:val="24"/>
          <w:szCs w:val="24"/>
        </w:rPr>
        <w:t xml:space="preserve"> International Federation of Accountants</w:t>
      </w:r>
      <w:r w:rsidRPr="00214DB2">
        <w:rPr>
          <w:rFonts w:asciiTheme="minorHAnsi" w:eastAsia="Times New Roman" w:hAnsiTheme="minorHAnsi" w:cstheme="minorHAnsi"/>
          <w:sz w:val="24"/>
          <w:szCs w:val="24"/>
        </w:rPr>
        <w:t xml:space="preserve"> (IPSASB/Ifac) e revisada de acordo com o </w:t>
      </w:r>
      <w:r w:rsidRPr="00214DB2">
        <w:rPr>
          <w:rFonts w:asciiTheme="minorHAnsi" w:eastAsia="Times New Roman" w:hAnsiTheme="minorHAnsi" w:cstheme="minorHAnsi"/>
          <w:i/>
          <w:sz w:val="24"/>
          <w:szCs w:val="24"/>
        </w:rPr>
        <w:t>IPSASB-HANDBOOK 2024</w:t>
      </w:r>
      <w:r w:rsidRPr="00214DB2">
        <w:rPr>
          <w:rFonts w:asciiTheme="minorHAnsi" w:eastAsia="Times New Roman" w:hAnsiTheme="minorHAnsi" w:cstheme="minorHAnsi"/>
          <w:sz w:val="24"/>
          <w:szCs w:val="24"/>
        </w:rPr>
        <w:t>:</w:t>
      </w:r>
    </w:p>
    <w:p w14:paraId="7A6C57F1" w14:textId="77777777" w:rsidR="000D53EE" w:rsidRPr="00214DB2" w:rsidRDefault="000D53EE">
      <w:pPr>
        <w:spacing w:after="0" w:line="240" w:lineRule="auto"/>
        <w:jc w:val="both"/>
        <w:rPr>
          <w:rFonts w:asciiTheme="minorHAnsi" w:eastAsia="Times New Roman" w:hAnsiTheme="minorHAnsi" w:cstheme="minorHAnsi"/>
          <w:sz w:val="24"/>
          <w:szCs w:val="24"/>
        </w:rPr>
      </w:pPr>
    </w:p>
    <w:p w14:paraId="2976A460" w14:textId="436A4780" w:rsidR="000D53EE" w:rsidRPr="00214DB2" w:rsidRDefault="00214DB2">
      <w:pPr>
        <w:pStyle w:val="Ttulo2"/>
        <w:rPr>
          <w:rFonts w:asciiTheme="minorHAnsi" w:hAnsiTheme="minorHAnsi" w:cstheme="minorHAnsi"/>
        </w:rPr>
      </w:pPr>
      <w:r w:rsidRPr="00214DB2">
        <w:rPr>
          <w:rFonts w:asciiTheme="minorHAnsi" w:hAnsiTheme="minorHAnsi" w:cstheme="minorHAnsi"/>
        </w:rPr>
        <w:t>NBC TSP 06</w:t>
      </w:r>
      <w:r w:rsidR="000F28FB">
        <w:rPr>
          <w:rFonts w:asciiTheme="minorHAnsi" w:hAnsiTheme="minorHAnsi" w:cstheme="minorHAnsi"/>
        </w:rPr>
        <w:t xml:space="preserve"> (R1)</w:t>
      </w:r>
      <w:r w:rsidRPr="00214DB2">
        <w:rPr>
          <w:rFonts w:asciiTheme="minorHAnsi" w:hAnsiTheme="minorHAnsi" w:cstheme="minorHAnsi"/>
        </w:rPr>
        <w:t xml:space="preserve"> – PROPRIEDADE PARA INVESTIMENTO</w:t>
      </w:r>
    </w:p>
    <w:p w14:paraId="478CB909" w14:textId="77777777" w:rsidR="000D53EE" w:rsidRPr="00214DB2" w:rsidRDefault="000D53EE">
      <w:pPr>
        <w:spacing w:after="0" w:line="276" w:lineRule="auto"/>
        <w:rPr>
          <w:rFonts w:asciiTheme="minorHAnsi" w:eastAsia="Times New Roman" w:hAnsiTheme="minorHAnsi" w:cstheme="minorHAnsi"/>
          <w:sz w:val="24"/>
          <w:szCs w:val="24"/>
        </w:rPr>
      </w:pPr>
    </w:p>
    <w:tbl>
      <w:tblPr>
        <w:tblStyle w:val="a"/>
        <w:tblW w:w="97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64"/>
        <w:gridCol w:w="1470"/>
      </w:tblGrid>
      <w:tr w:rsidR="000D53EE" w:rsidRPr="00214DB2" w14:paraId="479E472D" w14:textId="77777777">
        <w:trPr>
          <w:jc w:val="center"/>
        </w:trPr>
        <w:tc>
          <w:tcPr>
            <w:tcW w:w="8264" w:type="dxa"/>
          </w:tcPr>
          <w:p w14:paraId="7CA37704" w14:textId="77777777" w:rsidR="000D53EE" w:rsidRPr="00214DB2" w:rsidRDefault="00214DB2">
            <w:pPr>
              <w:spacing w:before="60" w:after="60" w:line="240" w:lineRule="auto"/>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Sumário</w:t>
            </w:r>
          </w:p>
        </w:tc>
        <w:tc>
          <w:tcPr>
            <w:tcW w:w="1470" w:type="dxa"/>
          </w:tcPr>
          <w:p w14:paraId="2619D21C" w14:textId="77777777" w:rsidR="000D53EE" w:rsidRPr="00214DB2" w:rsidRDefault="00214DB2">
            <w:pPr>
              <w:spacing w:before="60" w:after="60" w:line="240" w:lineRule="auto"/>
              <w:jc w:val="center"/>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Item</w:t>
            </w:r>
          </w:p>
        </w:tc>
      </w:tr>
      <w:tr w:rsidR="000D53EE" w:rsidRPr="00214DB2" w14:paraId="6AEA3982" w14:textId="77777777">
        <w:trPr>
          <w:jc w:val="center"/>
        </w:trPr>
        <w:tc>
          <w:tcPr>
            <w:tcW w:w="8264" w:type="dxa"/>
          </w:tcPr>
          <w:p w14:paraId="1E1D5C5F"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Objetivo</w:t>
            </w:r>
          </w:p>
        </w:tc>
        <w:tc>
          <w:tcPr>
            <w:tcW w:w="1470" w:type="dxa"/>
            <w:vAlign w:val="center"/>
          </w:tcPr>
          <w:p w14:paraId="676D65E0"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w:t>
            </w:r>
          </w:p>
        </w:tc>
      </w:tr>
      <w:tr w:rsidR="000D53EE" w:rsidRPr="00214DB2" w14:paraId="31B11FD4" w14:textId="77777777">
        <w:trPr>
          <w:jc w:val="center"/>
        </w:trPr>
        <w:tc>
          <w:tcPr>
            <w:tcW w:w="8264" w:type="dxa"/>
          </w:tcPr>
          <w:p w14:paraId="36AD2916"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Alcance</w:t>
            </w:r>
          </w:p>
        </w:tc>
        <w:tc>
          <w:tcPr>
            <w:tcW w:w="1470" w:type="dxa"/>
            <w:vAlign w:val="center"/>
          </w:tcPr>
          <w:p w14:paraId="2C0E0A62"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 – 6</w:t>
            </w:r>
          </w:p>
        </w:tc>
      </w:tr>
      <w:tr w:rsidR="000D53EE" w:rsidRPr="00214DB2" w14:paraId="5381CD87" w14:textId="77777777">
        <w:trPr>
          <w:jc w:val="center"/>
        </w:trPr>
        <w:tc>
          <w:tcPr>
            <w:tcW w:w="8264" w:type="dxa"/>
          </w:tcPr>
          <w:p w14:paraId="731ED3C4"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Definições</w:t>
            </w:r>
          </w:p>
        </w:tc>
        <w:tc>
          <w:tcPr>
            <w:tcW w:w="1470" w:type="dxa"/>
            <w:vAlign w:val="center"/>
          </w:tcPr>
          <w:p w14:paraId="00AEF88C"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 – 19</w:t>
            </w:r>
          </w:p>
        </w:tc>
      </w:tr>
      <w:tr w:rsidR="000D53EE" w:rsidRPr="00214DB2" w14:paraId="19E12AF6" w14:textId="77777777">
        <w:trPr>
          <w:jc w:val="center"/>
        </w:trPr>
        <w:tc>
          <w:tcPr>
            <w:tcW w:w="8264" w:type="dxa"/>
          </w:tcPr>
          <w:p w14:paraId="35B69680"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Reconhecimento</w:t>
            </w:r>
          </w:p>
        </w:tc>
        <w:tc>
          <w:tcPr>
            <w:tcW w:w="1470" w:type="dxa"/>
            <w:vAlign w:val="center"/>
          </w:tcPr>
          <w:p w14:paraId="38B8855E"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20 – 25A</w:t>
            </w:r>
          </w:p>
        </w:tc>
      </w:tr>
      <w:tr w:rsidR="000D53EE" w:rsidRPr="00214DB2" w14:paraId="753C0D00" w14:textId="77777777">
        <w:trPr>
          <w:jc w:val="center"/>
        </w:trPr>
        <w:tc>
          <w:tcPr>
            <w:tcW w:w="8264" w:type="dxa"/>
          </w:tcPr>
          <w:p w14:paraId="6E39E19A"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Mensuração no reconhecimento</w:t>
            </w:r>
          </w:p>
        </w:tc>
        <w:tc>
          <w:tcPr>
            <w:tcW w:w="1470" w:type="dxa"/>
            <w:vAlign w:val="center"/>
          </w:tcPr>
          <w:p w14:paraId="3D90C0AA"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26 – 38A</w:t>
            </w:r>
          </w:p>
        </w:tc>
      </w:tr>
      <w:tr w:rsidR="000D53EE" w:rsidRPr="00214DB2" w14:paraId="408E537D" w14:textId="77777777">
        <w:trPr>
          <w:jc w:val="center"/>
        </w:trPr>
        <w:tc>
          <w:tcPr>
            <w:tcW w:w="8264" w:type="dxa"/>
          </w:tcPr>
          <w:p w14:paraId="1BCBB1A3"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Mensuração após o reconhecimento</w:t>
            </w:r>
          </w:p>
        </w:tc>
        <w:tc>
          <w:tcPr>
            <w:tcW w:w="1470" w:type="dxa"/>
            <w:vAlign w:val="center"/>
          </w:tcPr>
          <w:p w14:paraId="706A7EC6"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39 – 65</w:t>
            </w:r>
          </w:p>
        </w:tc>
      </w:tr>
      <w:tr w:rsidR="000D53EE" w:rsidRPr="00214DB2" w14:paraId="23C6B71E" w14:textId="77777777">
        <w:trPr>
          <w:jc w:val="center"/>
        </w:trPr>
        <w:tc>
          <w:tcPr>
            <w:tcW w:w="8264" w:type="dxa"/>
          </w:tcPr>
          <w:p w14:paraId="2F25A912" w14:textId="77777777" w:rsidR="000D53EE" w:rsidRPr="00214DB2" w:rsidRDefault="00214DB2">
            <w:pPr>
              <w:spacing w:before="60" w:after="60" w:line="240" w:lineRule="auto"/>
              <w:ind w:left="366"/>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Política contábil</w:t>
            </w:r>
          </w:p>
        </w:tc>
        <w:tc>
          <w:tcPr>
            <w:tcW w:w="1470" w:type="dxa"/>
            <w:vAlign w:val="center"/>
          </w:tcPr>
          <w:p w14:paraId="52D3D607"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39 – 41C</w:t>
            </w:r>
          </w:p>
        </w:tc>
      </w:tr>
      <w:tr w:rsidR="000D53EE" w:rsidRPr="00214DB2" w14:paraId="06C75436" w14:textId="77777777">
        <w:trPr>
          <w:jc w:val="center"/>
        </w:trPr>
        <w:tc>
          <w:tcPr>
            <w:tcW w:w="8264" w:type="dxa"/>
          </w:tcPr>
          <w:p w14:paraId="196BB4F2" w14:textId="77777777" w:rsidR="000D53EE" w:rsidRPr="00214DB2" w:rsidRDefault="00214DB2">
            <w:pPr>
              <w:spacing w:before="60" w:after="60" w:line="240" w:lineRule="auto"/>
              <w:ind w:left="366"/>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Modelo do valor corrente</w:t>
            </w:r>
          </w:p>
        </w:tc>
        <w:tc>
          <w:tcPr>
            <w:tcW w:w="1470" w:type="dxa"/>
            <w:vAlign w:val="center"/>
          </w:tcPr>
          <w:p w14:paraId="5409607C"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42 – 64</w:t>
            </w:r>
          </w:p>
        </w:tc>
      </w:tr>
      <w:tr w:rsidR="000D53EE" w:rsidRPr="00214DB2" w14:paraId="40F65C6E" w14:textId="77777777">
        <w:trPr>
          <w:jc w:val="center"/>
        </w:trPr>
        <w:tc>
          <w:tcPr>
            <w:tcW w:w="8264" w:type="dxa"/>
          </w:tcPr>
          <w:p w14:paraId="27F642F5" w14:textId="77777777" w:rsidR="000D53EE" w:rsidRPr="00214DB2" w:rsidRDefault="00214DB2">
            <w:pPr>
              <w:spacing w:before="60" w:after="60" w:line="240" w:lineRule="auto"/>
              <w:ind w:left="791"/>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Incapacidade de determinar confiavelmente o valor justo</w:t>
            </w:r>
          </w:p>
        </w:tc>
        <w:tc>
          <w:tcPr>
            <w:tcW w:w="1470" w:type="dxa"/>
            <w:vAlign w:val="center"/>
          </w:tcPr>
          <w:p w14:paraId="2D737258"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62 – 64</w:t>
            </w:r>
          </w:p>
        </w:tc>
      </w:tr>
      <w:tr w:rsidR="000D53EE" w:rsidRPr="00214DB2" w14:paraId="48127761" w14:textId="77777777">
        <w:trPr>
          <w:jc w:val="center"/>
        </w:trPr>
        <w:tc>
          <w:tcPr>
            <w:tcW w:w="8264" w:type="dxa"/>
          </w:tcPr>
          <w:p w14:paraId="4644C638" w14:textId="77777777" w:rsidR="000D53EE" w:rsidRPr="00214DB2" w:rsidRDefault="00214DB2">
            <w:pPr>
              <w:spacing w:before="60" w:after="60" w:line="240" w:lineRule="auto"/>
              <w:ind w:left="366"/>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Modelo do custo histórico</w:t>
            </w:r>
          </w:p>
        </w:tc>
        <w:tc>
          <w:tcPr>
            <w:tcW w:w="1470" w:type="dxa"/>
            <w:vAlign w:val="center"/>
          </w:tcPr>
          <w:p w14:paraId="57753F83"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65</w:t>
            </w:r>
          </w:p>
        </w:tc>
      </w:tr>
      <w:tr w:rsidR="000D53EE" w:rsidRPr="00214DB2" w14:paraId="5F3D5745" w14:textId="77777777">
        <w:trPr>
          <w:jc w:val="center"/>
        </w:trPr>
        <w:tc>
          <w:tcPr>
            <w:tcW w:w="8264" w:type="dxa"/>
          </w:tcPr>
          <w:p w14:paraId="077AA892"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Reclassificação</w:t>
            </w:r>
          </w:p>
        </w:tc>
        <w:tc>
          <w:tcPr>
            <w:tcW w:w="1470" w:type="dxa"/>
            <w:vAlign w:val="center"/>
          </w:tcPr>
          <w:p w14:paraId="07A1A4D6"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66 – 75</w:t>
            </w:r>
          </w:p>
        </w:tc>
      </w:tr>
      <w:tr w:rsidR="000D53EE" w:rsidRPr="00214DB2" w14:paraId="737B946B" w14:textId="77777777">
        <w:trPr>
          <w:jc w:val="center"/>
        </w:trPr>
        <w:tc>
          <w:tcPr>
            <w:tcW w:w="8264" w:type="dxa"/>
          </w:tcPr>
          <w:p w14:paraId="4F49CE61"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Orientação sobre Mensuração Inicial pelo Valor Justo de Propriedade para Investimento Originada de Construção Própria</w:t>
            </w:r>
          </w:p>
        </w:tc>
        <w:tc>
          <w:tcPr>
            <w:tcW w:w="1470" w:type="dxa"/>
            <w:vAlign w:val="center"/>
          </w:tcPr>
          <w:p w14:paraId="5D7F30AF"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76</w:t>
            </w:r>
          </w:p>
        </w:tc>
      </w:tr>
      <w:tr w:rsidR="000D53EE" w:rsidRPr="00214DB2" w14:paraId="4B4D9A92" w14:textId="77777777">
        <w:trPr>
          <w:jc w:val="center"/>
        </w:trPr>
        <w:tc>
          <w:tcPr>
            <w:tcW w:w="8264" w:type="dxa"/>
          </w:tcPr>
          <w:p w14:paraId="66F9CDD2"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Alienação</w:t>
            </w:r>
          </w:p>
        </w:tc>
        <w:tc>
          <w:tcPr>
            <w:tcW w:w="1470" w:type="dxa"/>
            <w:vAlign w:val="center"/>
          </w:tcPr>
          <w:p w14:paraId="1859E25C"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77 – 84</w:t>
            </w:r>
          </w:p>
        </w:tc>
      </w:tr>
      <w:tr w:rsidR="000D53EE" w:rsidRPr="00214DB2" w14:paraId="35C2382E" w14:textId="77777777">
        <w:trPr>
          <w:jc w:val="center"/>
        </w:trPr>
        <w:tc>
          <w:tcPr>
            <w:tcW w:w="8264" w:type="dxa"/>
          </w:tcPr>
          <w:p w14:paraId="7B2FA0E3"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Divulgação</w:t>
            </w:r>
          </w:p>
        </w:tc>
        <w:tc>
          <w:tcPr>
            <w:tcW w:w="1470" w:type="dxa"/>
            <w:vAlign w:val="center"/>
          </w:tcPr>
          <w:p w14:paraId="6D3C1A1A"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85 – 103</w:t>
            </w:r>
          </w:p>
        </w:tc>
      </w:tr>
      <w:tr w:rsidR="000D53EE" w:rsidRPr="00214DB2" w14:paraId="425776B9" w14:textId="77777777">
        <w:trPr>
          <w:jc w:val="center"/>
        </w:trPr>
        <w:tc>
          <w:tcPr>
            <w:tcW w:w="8264" w:type="dxa"/>
          </w:tcPr>
          <w:p w14:paraId="76F2035E" w14:textId="77777777" w:rsidR="000D53EE" w:rsidRPr="00214DB2" w:rsidRDefault="00214DB2">
            <w:pPr>
              <w:spacing w:before="60" w:after="60" w:line="240" w:lineRule="auto"/>
              <w:ind w:left="366"/>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Modelo do valor corrente e modelo do custo histórico</w:t>
            </w:r>
          </w:p>
        </w:tc>
        <w:tc>
          <w:tcPr>
            <w:tcW w:w="1470" w:type="dxa"/>
            <w:vAlign w:val="center"/>
          </w:tcPr>
          <w:p w14:paraId="3D781201"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85 – 89F</w:t>
            </w:r>
          </w:p>
        </w:tc>
      </w:tr>
      <w:tr w:rsidR="000D53EE" w:rsidRPr="00214DB2" w14:paraId="053619E7" w14:textId="77777777">
        <w:trPr>
          <w:jc w:val="center"/>
        </w:trPr>
        <w:tc>
          <w:tcPr>
            <w:tcW w:w="8264" w:type="dxa"/>
          </w:tcPr>
          <w:p w14:paraId="30726030" w14:textId="77777777" w:rsidR="000D53EE" w:rsidRPr="00214DB2" w:rsidRDefault="00214DB2">
            <w:pPr>
              <w:spacing w:before="60" w:after="60" w:line="240" w:lineRule="auto"/>
              <w:ind w:left="791"/>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Modelo do valor corrente</w:t>
            </w:r>
          </w:p>
        </w:tc>
        <w:tc>
          <w:tcPr>
            <w:tcW w:w="1470" w:type="dxa"/>
            <w:vAlign w:val="center"/>
          </w:tcPr>
          <w:p w14:paraId="2EE0E822"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87 – 89</w:t>
            </w:r>
          </w:p>
        </w:tc>
      </w:tr>
      <w:tr w:rsidR="000D53EE" w:rsidRPr="00214DB2" w14:paraId="029A9F2B" w14:textId="77777777">
        <w:trPr>
          <w:jc w:val="center"/>
        </w:trPr>
        <w:tc>
          <w:tcPr>
            <w:tcW w:w="8264" w:type="dxa"/>
          </w:tcPr>
          <w:p w14:paraId="078C5337" w14:textId="77777777" w:rsidR="000D53EE" w:rsidRPr="00214DB2" w:rsidRDefault="00214DB2">
            <w:pPr>
              <w:spacing w:before="60" w:after="60" w:line="240" w:lineRule="auto"/>
              <w:ind w:left="791"/>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Mensuração pelo valor corrente</w:t>
            </w:r>
          </w:p>
        </w:tc>
        <w:tc>
          <w:tcPr>
            <w:tcW w:w="1470" w:type="dxa"/>
            <w:vAlign w:val="center"/>
          </w:tcPr>
          <w:p w14:paraId="2D612379"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89A – 89F</w:t>
            </w:r>
          </w:p>
        </w:tc>
      </w:tr>
      <w:tr w:rsidR="000D53EE" w:rsidRPr="00214DB2" w14:paraId="4CEC1B75" w14:textId="77777777">
        <w:trPr>
          <w:jc w:val="center"/>
        </w:trPr>
        <w:tc>
          <w:tcPr>
            <w:tcW w:w="8264" w:type="dxa"/>
          </w:tcPr>
          <w:p w14:paraId="00D8EFAB" w14:textId="77777777" w:rsidR="000D53EE" w:rsidRPr="00214DB2" w:rsidRDefault="00214DB2">
            <w:pPr>
              <w:spacing w:before="60" w:after="60" w:line="240" w:lineRule="auto"/>
              <w:ind w:left="791"/>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Modelo do custo histórico</w:t>
            </w:r>
          </w:p>
        </w:tc>
        <w:tc>
          <w:tcPr>
            <w:tcW w:w="1470" w:type="dxa"/>
            <w:vAlign w:val="center"/>
          </w:tcPr>
          <w:p w14:paraId="1D6F2BB2"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90</w:t>
            </w:r>
          </w:p>
        </w:tc>
      </w:tr>
      <w:tr w:rsidR="000D53EE" w:rsidRPr="00214DB2" w14:paraId="735EBCCC" w14:textId="77777777">
        <w:trPr>
          <w:jc w:val="center"/>
        </w:trPr>
        <w:tc>
          <w:tcPr>
            <w:tcW w:w="8264" w:type="dxa"/>
          </w:tcPr>
          <w:p w14:paraId="18E62F5C" w14:textId="77777777" w:rsidR="000D53EE" w:rsidRPr="00214DB2" w:rsidRDefault="00214DB2">
            <w:pPr>
              <w:spacing w:before="60" w:after="60" w:line="240" w:lineRule="auto"/>
              <w:ind w:left="371"/>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Disposições transitórias</w:t>
            </w:r>
          </w:p>
        </w:tc>
        <w:tc>
          <w:tcPr>
            <w:tcW w:w="1470" w:type="dxa"/>
            <w:vAlign w:val="center"/>
          </w:tcPr>
          <w:p w14:paraId="51B3A21B"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91-100</w:t>
            </w:r>
          </w:p>
        </w:tc>
      </w:tr>
      <w:tr w:rsidR="000D53EE" w:rsidRPr="00214DB2" w14:paraId="5D3EC223" w14:textId="77777777">
        <w:trPr>
          <w:jc w:val="center"/>
        </w:trPr>
        <w:tc>
          <w:tcPr>
            <w:tcW w:w="8264" w:type="dxa"/>
          </w:tcPr>
          <w:p w14:paraId="147DD9E5" w14:textId="77777777" w:rsidR="000D53EE" w:rsidRPr="00214DB2" w:rsidRDefault="00214DB2">
            <w:pPr>
              <w:spacing w:before="60" w:after="60" w:line="240" w:lineRule="auto"/>
              <w:ind w:left="791"/>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lastRenderedPageBreak/>
              <w:t>Modelo do valor corrente</w:t>
            </w:r>
          </w:p>
        </w:tc>
        <w:tc>
          <w:tcPr>
            <w:tcW w:w="1470" w:type="dxa"/>
            <w:vAlign w:val="center"/>
          </w:tcPr>
          <w:p w14:paraId="3B1CDC5D"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94-97</w:t>
            </w:r>
          </w:p>
        </w:tc>
      </w:tr>
      <w:tr w:rsidR="000D53EE" w:rsidRPr="00214DB2" w14:paraId="7FF41995" w14:textId="77777777">
        <w:trPr>
          <w:jc w:val="center"/>
        </w:trPr>
        <w:tc>
          <w:tcPr>
            <w:tcW w:w="8264" w:type="dxa"/>
          </w:tcPr>
          <w:p w14:paraId="4BAA9733" w14:textId="77777777" w:rsidR="000D53EE" w:rsidRPr="00214DB2" w:rsidRDefault="00214DB2">
            <w:pPr>
              <w:spacing w:before="60" w:after="60" w:line="240" w:lineRule="auto"/>
              <w:ind w:left="791"/>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Modelo do custo histórico</w:t>
            </w:r>
          </w:p>
        </w:tc>
        <w:tc>
          <w:tcPr>
            <w:tcW w:w="1470" w:type="dxa"/>
            <w:vAlign w:val="center"/>
          </w:tcPr>
          <w:p w14:paraId="6A775B3D"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97-100</w:t>
            </w:r>
          </w:p>
        </w:tc>
      </w:tr>
      <w:tr w:rsidR="000D53EE" w:rsidRPr="00214DB2" w14:paraId="6133DE68" w14:textId="77777777">
        <w:trPr>
          <w:jc w:val="center"/>
        </w:trPr>
        <w:tc>
          <w:tcPr>
            <w:tcW w:w="8264" w:type="dxa"/>
          </w:tcPr>
          <w:p w14:paraId="528674F2" w14:textId="77777777" w:rsidR="000D53EE" w:rsidRPr="00214DB2" w:rsidRDefault="00214DB2">
            <w:pPr>
              <w:spacing w:before="60" w:after="60" w:line="240" w:lineRule="auto"/>
              <w:ind w:left="371"/>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Arrendamentos</w:t>
            </w:r>
          </w:p>
        </w:tc>
        <w:tc>
          <w:tcPr>
            <w:tcW w:w="1470" w:type="dxa"/>
            <w:vAlign w:val="center"/>
          </w:tcPr>
          <w:p w14:paraId="0B413FA9" w14:textId="77777777" w:rsidR="000D53EE" w:rsidRPr="00214DB2" w:rsidRDefault="00214DB2">
            <w:pPr>
              <w:spacing w:before="60" w:after="60" w:line="240" w:lineRule="auto"/>
              <w:jc w:val="center"/>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100A</w:t>
            </w:r>
          </w:p>
        </w:tc>
      </w:tr>
      <w:tr w:rsidR="000D53EE" w:rsidRPr="00214DB2" w14:paraId="091815F0" w14:textId="77777777">
        <w:trPr>
          <w:jc w:val="center"/>
        </w:trPr>
        <w:tc>
          <w:tcPr>
            <w:tcW w:w="8264" w:type="dxa"/>
          </w:tcPr>
          <w:p w14:paraId="1DE81579" w14:textId="77777777" w:rsidR="000D53EE" w:rsidRPr="00214DB2" w:rsidRDefault="00214DB2">
            <w:pPr>
              <w:spacing w:before="60" w:after="60" w:line="240" w:lineRule="auto"/>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Vigência</w:t>
            </w:r>
          </w:p>
        </w:tc>
        <w:tc>
          <w:tcPr>
            <w:tcW w:w="1470" w:type="dxa"/>
            <w:vAlign w:val="center"/>
          </w:tcPr>
          <w:p w14:paraId="6B8C86B1" w14:textId="77777777" w:rsidR="000D53EE" w:rsidRPr="00214DB2" w:rsidRDefault="000D53EE">
            <w:pPr>
              <w:spacing w:before="60" w:after="60" w:line="240" w:lineRule="auto"/>
              <w:jc w:val="center"/>
              <w:rPr>
                <w:rFonts w:asciiTheme="minorHAnsi" w:eastAsia="Times New Roman" w:hAnsiTheme="minorHAnsi" w:cstheme="minorHAnsi"/>
                <w:sz w:val="24"/>
                <w:szCs w:val="24"/>
              </w:rPr>
            </w:pPr>
          </w:p>
        </w:tc>
      </w:tr>
    </w:tbl>
    <w:p w14:paraId="7C0E3F5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9A21FA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BA4A16E"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Objetivo</w:t>
      </w:r>
    </w:p>
    <w:p w14:paraId="25D1E469"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03455E8"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w:t>
      </w:r>
      <w:r w:rsidRPr="00214DB2">
        <w:rPr>
          <w:rFonts w:asciiTheme="minorHAnsi" w:eastAsia="Times New Roman" w:hAnsiTheme="minorHAnsi" w:cstheme="minorHAnsi"/>
          <w:sz w:val="24"/>
          <w:szCs w:val="24"/>
        </w:rPr>
        <w:tab/>
        <w:t>O objetivo desta norma é estabelecer o tratamento contábil de propriedades para investimento e respectivos requisitos de divulgação.</w:t>
      </w:r>
    </w:p>
    <w:p w14:paraId="72D05CE0"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E87F50A"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Alcance</w:t>
      </w:r>
    </w:p>
    <w:p w14:paraId="00D045A5"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10C8995"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trike/>
          <w:sz w:val="24"/>
          <w:szCs w:val="24"/>
        </w:rPr>
        <w:t>A entidade que elabora e apresenta demonstrações contábeis, de acordo com o regime de competência, deve aplicar esta norma na contabilização de propriedades para investimento.</w:t>
      </w:r>
      <w:r w:rsidRPr="00214DB2">
        <w:rPr>
          <w:rFonts w:asciiTheme="minorHAnsi" w:eastAsia="Times New Roman" w:hAnsiTheme="minorHAnsi" w:cstheme="minorHAnsi"/>
          <w:sz w:val="24"/>
          <w:szCs w:val="24"/>
        </w:rPr>
        <w:t xml:space="preserve"> </w:t>
      </w:r>
      <w:r w:rsidRPr="00214DB2">
        <w:rPr>
          <w:rFonts w:asciiTheme="minorHAnsi" w:eastAsia="Times New Roman" w:hAnsiTheme="minorHAnsi" w:cstheme="minorHAnsi"/>
          <w:color w:val="0070C0"/>
          <w:sz w:val="24"/>
          <w:szCs w:val="24"/>
        </w:rPr>
        <w:t>(Não convergido pela NBC TSP 06 (R1))</w:t>
      </w:r>
    </w:p>
    <w:p w14:paraId="6906ED4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9C97B0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trike/>
          <w:sz w:val="24"/>
          <w:szCs w:val="24"/>
        </w:rPr>
        <w:t>Esta norma se aplica às entidades do setor público, conforme o alcance definido na NBC TSP ESTRUTURA CONCEITUAL.</w:t>
      </w:r>
      <w:r w:rsidRPr="00214DB2">
        <w:rPr>
          <w:rFonts w:asciiTheme="minorHAnsi" w:eastAsia="Times New Roman" w:hAnsiTheme="minorHAnsi" w:cstheme="minorHAnsi"/>
          <w:sz w:val="24"/>
          <w:szCs w:val="24"/>
        </w:rPr>
        <w:t xml:space="preserve"> </w:t>
      </w:r>
      <w:r w:rsidRPr="00214DB2">
        <w:rPr>
          <w:rFonts w:asciiTheme="minorHAnsi" w:eastAsia="Times New Roman" w:hAnsiTheme="minorHAnsi" w:cstheme="minorHAnsi"/>
          <w:color w:val="0070C0"/>
          <w:sz w:val="24"/>
          <w:szCs w:val="24"/>
        </w:rPr>
        <w:t>(Eliminado pela NBC TSP 06 (R1))</w:t>
      </w:r>
    </w:p>
    <w:p w14:paraId="5182C61D"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0F7344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4.</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strike/>
          <w:sz w:val="24"/>
          <w:szCs w:val="24"/>
        </w:rPr>
        <w:t>(Não convergido)</w:t>
      </w:r>
      <w:r w:rsidRPr="00214DB2">
        <w:rPr>
          <w:rFonts w:asciiTheme="minorHAnsi" w:eastAsia="Times New Roman" w:hAnsiTheme="minorHAnsi" w:cstheme="minorHAnsi"/>
          <w:sz w:val="24"/>
          <w:szCs w:val="24"/>
        </w:rPr>
        <w:t xml:space="preserve"> </w:t>
      </w:r>
      <w:r w:rsidRPr="00214DB2">
        <w:rPr>
          <w:rFonts w:asciiTheme="minorHAnsi" w:eastAsia="Times New Roman" w:hAnsiTheme="minorHAnsi" w:cstheme="minorHAnsi"/>
          <w:color w:val="0070C0"/>
          <w:sz w:val="24"/>
          <w:szCs w:val="24"/>
        </w:rPr>
        <w:t>(Eliminado pela NBC TSP 06 (R1))</w:t>
      </w:r>
    </w:p>
    <w:p w14:paraId="469E7225"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78DDF2A" w14:textId="77777777" w:rsidR="000D53EE" w:rsidRPr="00214DB2" w:rsidRDefault="00214DB2">
      <w:pPr>
        <w:spacing w:after="12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z w:val="24"/>
          <w:szCs w:val="24"/>
        </w:rPr>
        <w:t>5.</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strike/>
          <w:sz w:val="24"/>
          <w:szCs w:val="24"/>
        </w:rPr>
        <w:t>Esta norma se aplica à contabilização de propriedades para investimento, incluindo (a) a mensuração, nas demonstrações contábeis de arrendatário, de direitos sobre propriedades para investimento mantidas em arrendamento mercantil contabilizado, como arrendamento financeiro, e (b) a mensuração, nas demonstrações contábeis do arrendador, de propriedades para investimento disponibilizadas ao arrendatário em arrendamento mercantil operacional. Esta norma não trata dos seguintes assuntos referentes a operações de arrendamento mercantil (</w:t>
      </w:r>
      <w:r w:rsidRPr="00214DB2">
        <w:rPr>
          <w:rFonts w:asciiTheme="minorHAnsi" w:eastAsia="Times New Roman" w:hAnsiTheme="minorHAnsi" w:cstheme="minorHAnsi"/>
          <w:i/>
          <w:strike/>
          <w:sz w:val="24"/>
          <w:szCs w:val="24"/>
        </w:rPr>
        <w:t>leasing</w:t>
      </w:r>
      <w:r w:rsidRPr="00214DB2">
        <w:rPr>
          <w:rFonts w:asciiTheme="minorHAnsi" w:eastAsia="Times New Roman" w:hAnsiTheme="minorHAnsi" w:cstheme="minorHAnsi"/>
          <w:strike/>
          <w:sz w:val="24"/>
          <w:szCs w:val="24"/>
        </w:rPr>
        <w:t>):</w:t>
      </w:r>
    </w:p>
    <w:p w14:paraId="28B7336A"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(a)</w:t>
      </w:r>
      <w:r w:rsidRPr="00214DB2">
        <w:rPr>
          <w:rFonts w:asciiTheme="minorHAnsi" w:eastAsia="Times New Roman" w:hAnsiTheme="minorHAnsi" w:cstheme="minorHAnsi"/>
          <w:strike/>
          <w:sz w:val="24"/>
          <w:szCs w:val="24"/>
        </w:rPr>
        <w:tab/>
        <w:t>classificação de arrendamentos mercantis como arrendamento financeiro ou arrendamento operacional;</w:t>
      </w:r>
    </w:p>
    <w:p w14:paraId="173C253A"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(b)</w:t>
      </w:r>
      <w:r w:rsidRPr="00214DB2">
        <w:rPr>
          <w:rFonts w:asciiTheme="minorHAnsi" w:eastAsia="Times New Roman" w:hAnsiTheme="minorHAnsi" w:cstheme="minorHAnsi"/>
          <w:strike/>
          <w:sz w:val="24"/>
          <w:szCs w:val="24"/>
        </w:rPr>
        <w:tab/>
        <w:t>reconhecimento de receitas de arrendamentos mercantis resultantes de propriedades para investimento (ver também NBC TSP 02 – Receita de Transação com Contraprestação);</w:t>
      </w:r>
    </w:p>
    <w:p w14:paraId="796CF2FD"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(c)</w:t>
      </w:r>
      <w:r w:rsidRPr="00214DB2">
        <w:rPr>
          <w:rFonts w:asciiTheme="minorHAnsi" w:eastAsia="Times New Roman" w:hAnsiTheme="minorHAnsi" w:cstheme="minorHAnsi"/>
          <w:strike/>
          <w:sz w:val="24"/>
          <w:szCs w:val="24"/>
        </w:rPr>
        <w:tab/>
        <w:t>mensuração, nas demonstrações contábeis do arrendatário, de direitos sobre propriedade mantida em arrendamento mercantil contabilizado como arrendamento operacional;</w:t>
      </w:r>
    </w:p>
    <w:p w14:paraId="63B2DAB4"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(d)</w:t>
      </w:r>
      <w:r w:rsidRPr="00214DB2">
        <w:rPr>
          <w:rFonts w:asciiTheme="minorHAnsi" w:eastAsia="Times New Roman" w:hAnsiTheme="minorHAnsi" w:cstheme="minorHAnsi"/>
          <w:strike/>
          <w:sz w:val="24"/>
          <w:szCs w:val="24"/>
        </w:rPr>
        <w:tab/>
        <w:t>mensuração, nas demonstrações contábeis do arrendador, do seu investimento líquido em arrendamento mercantil financeiro;</w:t>
      </w:r>
    </w:p>
    <w:p w14:paraId="5F7D22E6"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(e)</w:t>
      </w:r>
      <w:r w:rsidRPr="00214DB2">
        <w:rPr>
          <w:rFonts w:asciiTheme="minorHAnsi" w:eastAsia="Times New Roman" w:hAnsiTheme="minorHAnsi" w:cstheme="minorHAnsi"/>
          <w:strike/>
          <w:sz w:val="24"/>
          <w:szCs w:val="24"/>
        </w:rPr>
        <w:tab/>
        <w:t>contabilização de transações de venda e retroarrendamento (</w:t>
      </w:r>
      <w:r w:rsidRPr="00214DB2">
        <w:rPr>
          <w:rFonts w:asciiTheme="minorHAnsi" w:eastAsia="Times New Roman" w:hAnsiTheme="minorHAnsi" w:cstheme="minorHAnsi"/>
          <w:i/>
          <w:strike/>
          <w:sz w:val="24"/>
          <w:szCs w:val="24"/>
        </w:rPr>
        <w:t>leaseback</w:t>
      </w:r>
      <w:r w:rsidRPr="00214DB2">
        <w:rPr>
          <w:rFonts w:asciiTheme="minorHAnsi" w:eastAsia="Times New Roman" w:hAnsiTheme="minorHAnsi" w:cstheme="minorHAnsi"/>
          <w:strike/>
          <w:sz w:val="24"/>
          <w:szCs w:val="24"/>
        </w:rPr>
        <w:t>); e</w:t>
      </w:r>
    </w:p>
    <w:p w14:paraId="5EB0C6E4"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(f)</w:t>
      </w:r>
      <w:r w:rsidRPr="00214DB2">
        <w:rPr>
          <w:rFonts w:asciiTheme="minorHAnsi" w:eastAsia="Times New Roman" w:hAnsiTheme="minorHAnsi" w:cstheme="minorHAnsi"/>
          <w:strike/>
          <w:sz w:val="24"/>
          <w:szCs w:val="24"/>
        </w:rPr>
        <w:tab/>
        <w:t>divulgação relativa a arrendamentos mercantis financeiros e a arrendamentos mercantis operacionais.</w:t>
      </w:r>
      <w:r w:rsidRPr="00214DB2">
        <w:rPr>
          <w:rFonts w:asciiTheme="minorHAnsi" w:eastAsia="Times New Roman" w:hAnsiTheme="minorHAnsi" w:cstheme="minorHAnsi"/>
          <w:sz w:val="24"/>
          <w:szCs w:val="24"/>
        </w:rPr>
        <w:t xml:space="preserve"> </w:t>
      </w:r>
      <w:r w:rsidRPr="00214DB2">
        <w:rPr>
          <w:rFonts w:asciiTheme="minorHAnsi" w:eastAsia="Times New Roman" w:hAnsiTheme="minorHAnsi" w:cstheme="minorHAnsi"/>
          <w:color w:val="0070C0"/>
          <w:sz w:val="24"/>
          <w:szCs w:val="24"/>
        </w:rPr>
        <w:t>(Item eliminado pela NBC TSP 06 (R1))</w:t>
      </w:r>
    </w:p>
    <w:p w14:paraId="3ECB03E7"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D617E0D"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w:t>
      </w:r>
      <w:r w:rsidRPr="00214DB2">
        <w:rPr>
          <w:rFonts w:asciiTheme="minorHAnsi" w:eastAsia="Times New Roman" w:hAnsiTheme="minorHAnsi" w:cstheme="minorHAnsi"/>
          <w:sz w:val="24"/>
          <w:szCs w:val="24"/>
        </w:rPr>
        <w:tab/>
        <w:t>Esta norma não se aplica a:</w:t>
      </w:r>
    </w:p>
    <w:p w14:paraId="702D76FC"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w:t>
      </w:r>
      <w:r w:rsidRPr="00214DB2">
        <w:rPr>
          <w:rFonts w:asciiTheme="minorHAnsi" w:eastAsia="Times New Roman" w:hAnsiTheme="minorHAnsi" w:cstheme="minorHAnsi"/>
          <w:sz w:val="24"/>
          <w:szCs w:val="24"/>
        </w:rPr>
        <w:tab/>
        <w:t>ativos biológicos relacionados com a atividade agrícola; e</w:t>
      </w:r>
    </w:p>
    <w:p w14:paraId="1B3A9F94"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lastRenderedPageBreak/>
        <w:t>(b)</w:t>
      </w:r>
      <w:r w:rsidRPr="00214DB2">
        <w:rPr>
          <w:rFonts w:asciiTheme="minorHAnsi" w:eastAsia="Times New Roman" w:hAnsiTheme="minorHAnsi" w:cstheme="minorHAnsi"/>
          <w:sz w:val="24"/>
          <w:szCs w:val="24"/>
        </w:rPr>
        <w:tab/>
        <w:t>direitos de exploração mineral e reservas minerais, tais como petróleo, gás natural e recursos não renováveis semelhantes.</w:t>
      </w:r>
    </w:p>
    <w:p w14:paraId="3308B853"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0940D89"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Definições</w:t>
      </w:r>
    </w:p>
    <w:p w14:paraId="7AD8223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0A6D73A"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Os termos a seguir são utilizados nesta norma com os seguintes significados:</w:t>
      </w:r>
    </w:p>
    <w:p w14:paraId="2B9BAE27" w14:textId="77777777" w:rsidR="000D53EE" w:rsidRPr="00214DB2" w:rsidRDefault="00214DB2">
      <w:pPr>
        <w:spacing w:after="120" w:line="240" w:lineRule="auto"/>
        <w:ind w:left="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u w:val="single"/>
        </w:rPr>
        <w:t>Valor contábil</w:t>
      </w:r>
      <w:r w:rsidRPr="00214DB2">
        <w:rPr>
          <w:rFonts w:asciiTheme="minorHAnsi" w:eastAsia="Times New Roman" w:hAnsiTheme="minorHAnsi" w:cstheme="minorHAnsi"/>
          <w:b/>
          <w:sz w:val="24"/>
          <w:szCs w:val="24"/>
        </w:rPr>
        <w:t xml:space="preserve"> é o montante pelo qual o ativo é reconhecido no balanço patrimonial.</w:t>
      </w:r>
    </w:p>
    <w:p w14:paraId="0E74DF18" w14:textId="77777777" w:rsidR="000D53EE" w:rsidRPr="00214DB2" w:rsidRDefault="00214DB2">
      <w:pPr>
        <w:spacing w:after="120" w:line="240" w:lineRule="auto"/>
        <w:ind w:left="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b/>
          <w:strike/>
          <w:sz w:val="24"/>
          <w:szCs w:val="24"/>
          <w:u w:val="single"/>
        </w:rPr>
        <w:t>Custo</w:t>
      </w:r>
      <w:r w:rsidRPr="00214DB2">
        <w:rPr>
          <w:rFonts w:asciiTheme="minorHAnsi" w:eastAsia="Times New Roman" w:hAnsiTheme="minorHAnsi" w:cstheme="minorHAnsi"/>
          <w:b/>
          <w:strike/>
          <w:sz w:val="24"/>
          <w:szCs w:val="24"/>
        </w:rPr>
        <w:t xml:space="preserve"> é o montante de caixa ou equivalentes de caixa pago ou o valor justo (ver NBC TSP ESTRUTURA CONCEITUAL, item 7.6(b)) de outra contraprestação dada para adquirir um ativo no momento da sua aquisição ou construção.</w:t>
      </w:r>
    </w:p>
    <w:p w14:paraId="349F55CA" w14:textId="77777777" w:rsidR="000D53EE" w:rsidRPr="00214DB2" w:rsidRDefault="00214DB2">
      <w:pPr>
        <w:spacing w:after="120" w:line="240" w:lineRule="auto"/>
        <w:ind w:left="567"/>
        <w:jc w:val="both"/>
        <w:rPr>
          <w:rFonts w:asciiTheme="minorHAnsi" w:eastAsia="Times New Roman" w:hAnsiTheme="minorHAnsi" w:cstheme="minorHAnsi"/>
          <w:color w:val="0070C0"/>
          <w:sz w:val="24"/>
          <w:szCs w:val="24"/>
        </w:rPr>
      </w:pPr>
      <w:r w:rsidRPr="00214DB2">
        <w:rPr>
          <w:rFonts w:asciiTheme="minorHAnsi" w:eastAsia="Times New Roman" w:hAnsiTheme="minorHAnsi" w:cstheme="minorHAnsi"/>
          <w:b/>
          <w:sz w:val="24"/>
          <w:szCs w:val="24"/>
          <w:u w:val="single"/>
        </w:rPr>
        <w:t>Custo</w:t>
      </w:r>
      <w:r w:rsidRPr="00214DB2">
        <w:rPr>
          <w:rFonts w:asciiTheme="minorHAnsi" w:eastAsia="Times New Roman" w:hAnsiTheme="minorHAnsi" w:cstheme="minorHAnsi"/>
          <w:b/>
          <w:sz w:val="24"/>
          <w:szCs w:val="24"/>
        </w:rPr>
        <w:t xml:space="preserve"> é o montante de caixa ou equivalentes de caixa pago ou o valor justo de outra contraprestação dada para adquirir um ativo no momento da sua aquisição ou construção. </w:t>
      </w:r>
      <w:r w:rsidRPr="00214DB2">
        <w:rPr>
          <w:rFonts w:asciiTheme="minorHAnsi" w:eastAsia="Times New Roman" w:hAnsiTheme="minorHAnsi" w:cstheme="minorHAnsi"/>
          <w:color w:val="0070C0"/>
          <w:sz w:val="24"/>
          <w:szCs w:val="24"/>
        </w:rPr>
        <w:t>(Alterado pela NBC TSP 06 (R1))</w:t>
      </w:r>
    </w:p>
    <w:p w14:paraId="5FAAF774" w14:textId="77777777" w:rsidR="000D53EE" w:rsidRPr="00214DB2" w:rsidRDefault="00214DB2">
      <w:pPr>
        <w:spacing w:after="120" w:line="240" w:lineRule="auto"/>
        <w:ind w:left="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b/>
          <w:strike/>
          <w:sz w:val="24"/>
          <w:szCs w:val="24"/>
          <w:u w:val="single"/>
        </w:rPr>
        <w:t>Propriedade para investimento</w:t>
      </w:r>
      <w:r w:rsidRPr="00214DB2">
        <w:rPr>
          <w:rFonts w:asciiTheme="minorHAnsi" w:eastAsia="Times New Roman" w:hAnsiTheme="minorHAnsi" w:cstheme="minorHAnsi"/>
          <w:b/>
          <w:strike/>
          <w:sz w:val="24"/>
          <w:szCs w:val="24"/>
        </w:rPr>
        <w:t xml:space="preserve"> é a propriedade (terreno ou edificação – ou parte da edificação – ou ambos) mantida (pelo proprietário ou pelo locatário como um ativo de direito de uso) para auferir receitas de aluguel ou para valorização do capital, ou para ambas, e, não, para:</w:t>
      </w:r>
    </w:p>
    <w:p w14:paraId="3CE40B83" w14:textId="77777777" w:rsidR="000D53EE" w:rsidRPr="00214DB2" w:rsidRDefault="00214DB2">
      <w:pPr>
        <w:spacing w:after="120" w:line="240" w:lineRule="auto"/>
        <w:ind w:left="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u w:val="single"/>
        </w:rPr>
        <w:t>Propriedade para investimento</w:t>
      </w:r>
      <w:r w:rsidRPr="00214DB2">
        <w:rPr>
          <w:rFonts w:asciiTheme="minorHAnsi" w:eastAsia="Times New Roman" w:hAnsiTheme="minorHAnsi" w:cstheme="minorHAnsi"/>
          <w:b/>
          <w:sz w:val="24"/>
          <w:szCs w:val="24"/>
        </w:rPr>
        <w:t xml:space="preserve"> é a propriedade (terreno ou edificação – ou parte da edificação – ou ambos) mantida (pelo proprietário ou pelo locatário como um ativo de direito de uso) para auferir receitas de aluguel ou para valorização do capital, ou para ambas, e, não, para: </w:t>
      </w:r>
      <w:r w:rsidRPr="00214DB2">
        <w:rPr>
          <w:rFonts w:asciiTheme="minorHAnsi" w:eastAsia="Times New Roman" w:hAnsiTheme="minorHAnsi" w:cstheme="minorHAnsi"/>
          <w:color w:val="0070C0"/>
          <w:sz w:val="24"/>
          <w:szCs w:val="24"/>
        </w:rPr>
        <w:t>(Alterado pela NBC TSP 06 (R1))</w:t>
      </w:r>
    </w:p>
    <w:p w14:paraId="139A696C"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w:t>
      </w:r>
      <w:r w:rsidRPr="00214DB2">
        <w:rPr>
          <w:rFonts w:asciiTheme="minorHAnsi" w:eastAsia="Times New Roman" w:hAnsiTheme="minorHAnsi" w:cstheme="minorHAnsi"/>
          <w:b/>
          <w:sz w:val="24"/>
          <w:szCs w:val="24"/>
        </w:rPr>
        <w:tab/>
        <w:t>uso na produção ou fornecimento de bens ou serviços, ou para finalidades administrativas; ou</w:t>
      </w:r>
    </w:p>
    <w:p w14:paraId="25CB1CFE"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(b)</w:t>
      </w:r>
      <w:r w:rsidRPr="00214DB2">
        <w:rPr>
          <w:rFonts w:asciiTheme="minorHAnsi" w:eastAsia="Times New Roman" w:hAnsiTheme="minorHAnsi" w:cstheme="minorHAnsi"/>
          <w:b/>
          <w:sz w:val="24"/>
          <w:szCs w:val="24"/>
        </w:rPr>
        <w:tab/>
        <w:t>venda no curso normal das operações.</w:t>
      </w:r>
    </w:p>
    <w:p w14:paraId="7C23FE0F" w14:textId="77777777" w:rsidR="000D53EE" w:rsidRPr="00214DB2" w:rsidRDefault="00214DB2">
      <w:pPr>
        <w:spacing w:after="120" w:line="240" w:lineRule="auto"/>
        <w:ind w:left="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b/>
          <w:strike/>
          <w:sz w:val="24"/>
          <w:szCs w:val="24"/>
          <w:u w:val="single"/>
        </w:rPr>
        <w:t>Propriedade ocupada pelo proprietário</w:t>
      </w:r>
      <w:r w:rsidRPr="00214DB2">
        <w:rPr>
          <w:rFonts w:asciiTheme="minorHAnsi" w:eastAsia="Times New Roman" w:hAnsiTheme="minorHAnsi" w:cstheme="minorHAnsi"/>
          <w:b/>
          <w:strike/>
          <w:sz w:val="24"/>
          <w:szCs w:val="24"/>
        </w:rPr>
        <w:t xml:space="preserve"> é a propriedade mantida (pelo proprietário ou pelo arrendatário em arrendamento mercantil financeiro) para uso na produção ou fornecimento de bens ou serviços, ou para finalidades administrativas.</w:t>
      </w:r>
    </w:p>
    <w:p w14:paraId="0BD671B9" w14:textId="77777777" w:rsidR="000D53EE" w:rsidRPr="00214DB2" w:rsidRDefault="00214DB2">
      <w:pPr>
        <w:spacing w:after="120" w:line="240" w:lineRule="auto"/>
        <w:ind w:left="567"/>
        <w:jc w:val="both"/>
        <w:rPr>
          <w:rFonts w:asciiTheme="minorHAnsi" w:eastAsia="Times New Roman" w:hAnsiTheme="minorHAnsi" w:cstheme="minorHAnsi"/>
          <w:b/>
          <w:sz w:val="24"/>
          <w:szCs w:val="24"/>
          <w:u w:val="single"/>
        </w:rPr>
      </w:pPr>
      <w:r w:rsidRPr="00214DB2">
        <w:rPr>
          <w:rFonts w:asciiTheme="minorHAnsi" w:eastAsia="Times New Roman" w:hAnsiTheme="minorHAnsi" w:cstheme="minorHAnsi"/>
          <w:b/>
          <w:sz w:val="24"/>
          <w:szCs w:val="24"/>
          <w:u w:val="single"/>
        </w:rPr>
        <w:t>Propriedade ocupada pelo proprietário</w:t>
      </w:r>
      <w:r w:rsidRPr="00214DB2">
        <w:rPr>
          <w:rFonts w:asciiTheme="minorHAnsi" w:eastAsia="Times New Roman" w:hAnsiTheme="minorHAnsi" w:cstheme="minorHAnsi"/>
          <w:b/>
          <w:sz w:val="24"/>
          <w:szCs w:val="24"/>
        </w:rPr>
        <w:t xml:space="preserve"> é a propriedade mantida (pelo proprietário ou pelo locatário como um ativo de direito de uso) para uso na produção ou fornecimento de bens ou serviços, ou para finalidades administrativas.</w:t>
      </w:r>
      <w:r w:rsidRPr="00214DB2">
        <w:rPr>
          <w:rFonts w:asciiTheme="minorHAnsi" w:eastAsia="Times New Roman" w:hAnsiTheme="minorHAnsi" w:cstheme="minorHAnsi"/>
          <w:color w:val="0070C0"/>
          <w:sz w:val="24"/>
          <w:szCs w:val="24"/>
        </w:rPr>
        <w:t xml:space="preserve"> (Alterado pela NBC TSP 06 (R1))</w:t>
      </w:r>
    </w:p>
    <w:p w14:paraId="3CD58BD1" w14:textId="77777777" w:rsidR="000D53EE" w:rsidRPr="00214DB2" w:rsidRDefault="00214DB2">
      <w:pPr>
        <w:spacing w:after="0" w:line="240" w:lineRule="auto"/>
        <w:ind w:left="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 xml:space="preserve">Os termos definidos em outras NBCs TSP são usados nesta Norma com o mesmo significado. </w:t>
      </w:r>
      <w:r w:rsidRPr="00214DB2">
        <w:rPr>
          <w:rFonts w:asciiTheme="minorHAnsi" w:eastAsia="Times New Roman" w:hAnsiTheme="minorHAnsi" w:cstheme="minorHAnsi"/>
          <w:color w:val="0070C0"/>
          <w:sz w:val="24"/>
          <w:szCs w:val="24"/>
        </w:rPr>
        <w:t>(Incluído pela NBC TSP 06 (R1))</w:t>
      </w:r>
    </w:p>
    <w:p w14:paraId="6761A0F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76863D2" w14:textId="77777777" w:rsidR="000D53EE" w:rsidRPr="00214DB2" w:rsidRDefault="00214DB2">
      <w:pPr>
        <w:spacing w:after="0" w:line="240" w:lineRule="auto"/>
        <w:jc w:val="both"/>
        <w:rPr>
          <w:rFonts w:asciiTheme="minorHAnsi" w:eastAsia="Times New Roman" w:hAnsiTheme="minorHAnsi" w:cstheme="minorHAnsi"/>
          <w:sz w:val="24"/>
          <w:szCs w:val="24"/>
        </w:rPr>
      </w:pPr>
      <w:r w:rsidRPr="00214DB2">
        <w:rPr>
          <w:rFonts w:asciiTheme="minorHAnsi" w:eastAsia="Times New Roman" w:hAnsiTheme="minorHAnsi" w:cstheme="minorHAnsi"/>
          <w:b/>
          <w:strike/>
          <w:sz w:val="24"/>
          <w:szCs w:val="24"/>
        </w:rPr>
        <w:t>Direito sobre propriedade para investimento mantida por arrendatário sob arrendamento mercantil operacional</w:t>
      </w:r>
      <w:r w:rsidRPr="00214DB2">
        <w:rPr>
          <w:rFonts w:asciiTheme="minorHAnsi" w:eastAsia="Times New Roman" w:hAnsiTheme="minorHAnsi" w:cstheme="minorHAnsi"/>
          <w:b/>
          <w:sz w:val="24"/>
          <w:szCs w:val="24"/>
        </w:rPr>
        <w:t xml:space="preserve"> </w:t>
      </w:r>
      <w:r w:rsidRPr="00214DB2">
        <w:rPr>
          <w:rFonts w:asciiTheme="minorHAnsi" w:eastAsia="Times New Roman" w:hAnsiTheme="minorHAnsi" w:cstheme="minorHAnsi"/>
          <w:color w:val="0070C0"/>
          <w:sz w:val="24"/>
          <w:szCs w:val="24"/>
        </w:rPr>
        <w:t>(Eliminado pela NBC TSP 06 (R1))</w:t>
      </w:r>
    </w:p>
    <w:p w14:paraId="6ACA251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7FDA6DD"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trike/>
          <w:sz w:val="24"/>
          <w:szCs w:val="24"/>
        </w:rPr>
        <w:t xml:space="preserve">O direito sobre propriedade mantida por arrendatário sob arrendamento mercantil operacional pode ser classificado e contabilizado como propriedade para investimento se, e apenas se, (a) a propriedade iria de outra forma satisfazer à definição de propriedade para investimento, e (b) o arrendatário utilizar o modelo do valor justo definido nos itens 42 a 64 para o ativo reconhecido. Essa alternativa de classificação deve ser analisada propriedade a propriedade. Entretanto, uma vez escolhida, essa alternativa de classificação para um direito sobre propriedade desse gênero mantida sob arrendamento mercantil operacional, todas as propriedades classificadas como propriedade para investimento devem ser contabilizadas, utilizando o modelo do valor justo. Quando essa alternativa de classificação </w:t>
      </w:r>
      <w:r w:rsidRPr="00214DB2">
        <w:rPr>
          <w:rFonts w:asciiTheme="minorHAnsi" w:eastAsia="Times New Roman" w:hAnsiTheme="minorHAnsi" w:cstheme="minorHAnsi"/>
          <w:b/>
          <w:strike/>
          <w:sz w:val="24"/>
          <w:szCs w:val="24"/>
        </w:rPr>
        <w:lastRenderedPageBreak/>
        <w:t>for escolhida, qualquer direito assim classificado deve ser incluído nas divulgações exigidas nos itens 85 a 89.</w:t>
      </w:r>
      <w:r w:rsidRPr="00214DB2">
        <w:rPr>
          <w:rFonts w:asciiTheme="minorHAnsi" w:eastAsia="Times New Roman" w:hAnsiTheme="minorHAnsi" w:cstheme="minorHAnsi"/>
          <w:sz w:val="24"/>
          <w:szCs w:val="24"/>
        </w:rPr>
        <w:t xml:space="preserve"> </w:t>
      </w:r>
      <w:r w:rsidRPr="00214DB2">
        <w:rPr>
          <w:rFonts w:asciiTheme="minorHAnsi" w:eastAsia="Times New Roman" w:hAnsiTheme="minorHAnsi" w:cstheme="minorHAnsi"/>
          <w:color w:val="0070C0"/>
          <w:sz w:val="24"/>
          <w:szCs w:val="24"/>
        </w:rPr>
        <w:t>(Eliminado pela NBC TSP 06 (R1))</w:t>
      </w:r>
    </w:p>
    <w:p w14:paraId="08F75F7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5159F96" w14:textId="77777777" w:rsidR="000D53EE" w:rsidRPr="00214DB2" w:rsidRDefault="00214DB2">
      <w:pPr>
        <w:spacing w:after="0" w:line="240" w:lineRule="auto"/>
        <w:ind w:left="567" w:hanging="567"/>
        <w:jc w:val="both"/>
        <w:rPr>
          <w:rFonts w:asciiTheme="minorHAnsi" w:eastAsia="Times New Roman" w:hAnsiTheme="minorHAnsi" w:cstheme="minorHAnsi"/>
          <w:b/>
          <w:sz w:val="24"/>
          <w:szCs w:val="24"/>
        </w:rPr>
      </w:pPr>
      <w:r w:rsidRPr="00214DB2">
        <w:rPr>
          <w:rFonts w:asciiTheme="minorHAnsi" w:eastAsia="Times New Roman" w:hAnsiTheme="minorHAnsi" w:cstheme="minorHAnsi"/>
          <w:b/>
          <w:strike/>
          <w:sz w:val="24"/>
          <w:szCs w:val="24"/>
        </w:rPr>
        <w:t>Propriedade para investimento</w:t>
      </w:r>
      <w:r w:rsidRPr="00214DB2">
        <w:rPr>
          <w:rFonts w:asciiTheme="minorHAnsi" w:eastAsia="Times New Roman" w:hAnsiTheme="minorHAnsi" w:cstheme="minorHAnsi"/>
          <w:b/>
          <w:sz w:val="24"/>
          <w:szCs w:val="24"/>
        </w:rPr>
        <w:t xml:space="preserve"> </w:t>
      </w:r>
      <w:r w:rsidRPr="00214DB2">
        <w:rPr>
          <w:rFonts w:asciiTheme="minorHAnsi" w:eastAsia="Times New Roman" w:hAnsiTheme="minorHAnsi" w:cstheme="minorHAnsi"/>
          <w:color w:val="0070C0"/>
          <w:sz w:val="24"/>
          <w:szCs w:val="24"/>
        </w:rPr>
        <w:t>(Eliminado pela NBC TSP 06 (R1))</w:t>
      </w:r>
    </w:p>
    <w:p w14:paraId="79980B0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8EC7EC2"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9.</w:t>
      </w:r>
      <w:r w:rsidRPr="00214DB2">
        <w:rPr>
          <w:rFonts w:asciiTheme="minorHAnsi" w:eastAsia="Times New Roman" w:hAnsiTheme="minorHAnsi" w:cstheme="minorHAnsi"/>
          <w:sz w:val="24"/>
          <w:szCs w:val="24"/>
        </w:rPr>
        <w:tab/>
        <w:t>Existem diversas circunstâncias nas quais entidades do setor público podem manter propriedades para auferir receitas de aluguel e para valorização do capital. Por exemplo, uma entidade do setor público pode ser criada para administrar a carteira de imóveis do governo com fins comerciais. Nesse caso, as propriedades mantidas pela entidade, com exceção das propriedades mantidas para revenda no curso normal das operações, satisfazem à definição de propriedade para investimento. Outras entidades do setor público podem também manter propriedades para auferir receitas de aluguel ou para valorização do capital, e utilizar o caixa gerado para financiar suas outras atividades (prestação de serviços). Por exemplo, uma universidade pública ou um governo local podem possuir um edifício com o propósito de arrendá-lo, com fins comerciais, a terceiros a fim de gerar recursos, em vez de produzir ou fornecer bens e serviços. Essa propriedade também se enquadra na definição de propriedade para investimento.</w:t>
      </w:r>
    </w:p>
    <w:p w14:paraId="03C7C9B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29176C0"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z w:val="24"/>
          <w:szCs w:val="24"/>
        </w:rPr>
        <w:t>10.</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strike/>
          <w:sz w:val="24"/>
          <w:szCs w:val="24"/>
        </w:rPr>
        <w:t>Por serem mantidas para auferir receitas de aluguel ou para valorização do capital, ou para ambas, as propriedades para investimento geram fluxos de caixa significantemente independentes dos outros ativos mantidos pela entidade. Isso distingue as propriedades para investimento de outros imóveis controlados pelas entidades do setor público, incluindo propriedades ocupadas pelo proprietário. A produção ou fornecimento de bens ou serviços (ou o uso de propriedades para finalidades administrativas) também podem gerar fluxos de caixa. Por exemplo, entidades do setor público podem utilizar um edifício para fornecer bens e serviços para terceiros em troca da recuperação total ou parcial dos custos correspondentes. Entretanto, o edifício é mantido para facilitar a produção de bens e serviços, e os fluxos de caixa são atribuíveis não apenas ao edifício, mas também a outros ativos utilizados no processo de produção ou de fornecimento. A NBC TSP 07 – Ativo Imobilizado aplica-se às propriedades ocupadas pelo proprietário.</w:t>
      </w:r>
    </w:p>
    <w:p w14:paraId="4185695C" w14:textId="77777777" w:rsidR="000D53EE" w:rsidRPr="00214DB2" w:rsidRDefault="000D53EE">
      <w:pPr>
        <w:spacing w:after="0" w:line="240" w:lineRule="auto"/>
        <w:ind w:left="567" w:hanging="567"/>
        <w:jc w:val="both"/>
        <w:rPr>
          <w:rFonts w:asciiTheme="minorHAnsi" w:eastAsia="Times New Roman" w:hAnsiTheme="minorHAnsi" w:cstheme="minorHAnsi"/>
          <w:strike/>
          <w:sz w:val="24"/>
          <w:szCs w:val="24"/>
        </w:rPr>
      </w:pPr>
    </w:p>
    <w:p w14:paraId="3627BE72"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10.   Por serem mantidas para auferir receitas de aluguel ou para valorização do capital, ou para ambas, as propriedades para investimento geram fluxos de caixa significativamente independentes dos outros ativos mantidos pela entidade. Isso distingue as propriedades para investimento de outros imóveis controlados pelas entidades do setor público, incluindo propriedades ocupadas pelo proprietário. A produção ou fornecimento de bens ou serviços (ou o uso de propriedades para finalidades administrativas) também podem gerar fluxos de caixa. Por exemplo, entidades do setor público podem utilizar um edifício para fornecer bens e serviços para terceiros em troca da recuperação total ou parcial dos custos correspondentes. Entretanto, o edifício é mantido para facilitar a produção de bens e serviços, e os fluxos de caixa são atribuíveis não apenas ao edifício, mas também a outros ativos utilizados no processo de produção ou de fornecimento. A NBC TSP 37 – Ativo Imobilizado aplica-se às propriedades ocupadas pelo proprietário e a NBC TSP 35 – Arrendamentos se aplica às propriedades ocupadas pelo locatário como um ativo de direito de uso. </w:t>
      </w:r>
      <w:r w:rsidRPr="00214DB2">
        <w:rPr>
          <w:rFonts w:asciiTheme="minorHAnsi" w:eastAsia="Times New Roman" w:hAnsiTheme="minorHAnsi" w:cstheme="minorHAnsi"/>
          <w:color w:val="0070C0"/>
          <w:sz w:val="24"/>
          <w:szCs w:val="24"/>
        </w:rPr>
        <w:t>(Alterado pela NBC TSP 06 (R1))</w:t>
      </w:r>
    </w:p>
    <w:p w14:paraId="2DC1F4F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4DF10CE"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11.</w:t>
      </w:r>
      <w:r w:rsidRPr="00214DB2">
        <w:rPr>
          <w:rFonts w:asciiTheme="minorHAnsi" w:eastAsia="Times New Roman" w:hAnsiTheme="minorHAnsi" w:cstheme="minorHAnsi"/>
          <w:sz w:val="24"/>
          <w:szCs w:val="24"/>
        </w:rPr>
        <w:tab/>
        <w:t xml:space="preserve">A entidade pode controlar um ativo que seja legalmente de propriedade de outra entidade. Por exemplo, um órgão subnacional pode controlar e contabilizar determinados edifícios que sejam legalmente de propriedade do governo nacional. Em tais circunstâncias, referências a </w:t>
      </w:r>
      <w:r w:rsidRPr="00214DB2">
        <w:rPr>
          <w:rFonts w:asciiTheme="minorHAnsi" w:eastAsia="Times New Roman" w:hAnsiTheme="minorHAnsi" w:cstheme="minorHAnsi"/>
          <w:sz w:val="24"/>
          <w:szCs w:val="24"/>
        </w:rPr>
        <w:lastRenderedPageBreak/>
        <w:t>propriedades ocupadas pelo proprietário dizem respeito a propriedades ocupadas pela entidade que as reconhece em suas demonstrações contábeis.</w:t>
      </w:r>
    </w:p>
    <w:p w14:paraId="7C94725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5F38D0E"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12.</w:t>
      </w:r>
      <w:r w:rsidRPr="00214DB2">
        <w:rPr>
          <w:rFonts w:asciiTheme="minorHAnsi" w:eastAsia="Times New Roman" w:hAnsiTheme="minorHAnsi" w:cstheme="minorHAnsi"/>
          <w:sz w:val="24"/>
          <w:szCs w:val="24"/>
        </w:rPr>
        <w:tab/>
        <w:t>São exemplos de propriedades para investimento:</w:t>
      </w:r>
    </w:p>
    <w:p w14:paraId="4B77524A"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w:t>
      </w:r>
      <w:r w:rsidRPr="00214DB2">
        <w:rPr>
          <w:rFonts w:asciiTheme="minorHAnsi" w:eastAsia="Times New Roman" w:hAnsiTheme="minorHAnsi" w:cstheme="minorHAnsi"/>
          <w:sz w:val="24"/>
          <w:szCs w:val="24"/>
        </w:rPr>
        <w:tab/>
        <w:t>terrenos mantidos para valorização do capital a longo prazo e, não, para venda no curso normal das operações. Por exemplo, terreno mantido por hospital para valorização do capital, o qual pode ser vendido em momento oportuno;</w:t>
      </w:r>
    </w:p>
    <w:p w14:paraId="3B9CB28E"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(b)</w:t>
      </w:r>
      <w:r w:rsidRPr="00214DB2">
        <w:rPr>
          <w:rFonts w:asciiTheme="minorHAnsi" w:eastAsia="Times New Roman" w:hAnsiTheme="minorHAnsi" w:cstheme="minorHAnsi"/>
          <w:sz w:val="24"/>
          <w:szCs w:val="24"/>
        </w:rPr>
        <w:tab/>
        <w:t>terrenos mantidos para uso futuro ainda não definido. Se a entidade não tiver determinado que utilizará o terreno como propriedade ocupada pelo proprietário, incluindo ocupação para fornecer serviços, tais como aqueles proporcionados por parques nacionais para gerações atuais e futuras, ou para venda no curso normal das operações, o terreno deve ser considerado como mantido para valorização do capital;</w:t>
      </w:r>
    </w:p>
    <w:p w14:paraId="057ACAFB"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(c)</w:t>
      </w:r>
      <w:r w:rsidRPr="00214DB2">
        <w:rPr>
          <w:rFonts w:asciiTheme="minorHAnsi" w:eastAsia="Times New Roman" w:hAnsiTheme="minorHAnsi" w:cstheme="minorHAnsi"/>
          <w:sz w:val="24"/>
          <w:szCs w:val="24"/>
        </w:rPr>
        <w:tab/>
        <w:t>edifício de propriedade da entidade (ou mantido pela entidade em arrendamento mercantil financeiro) e que seja arrendado sob um ou mais arrendamentos mercantis operacionais com fins comerciais. Por exemplo, uma universidade pública pode possuir um edifício que seja arrendado com fins comerciais a terceiros;</w:t>
      </w:r>
    </w:p>
    <w:p w14:paraId="52C9A70B"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(d)</w:t>
      </w:r>
      <w:r w:rsidRPr="00214DB2">
        <w:rPr>
          <w:rFonts w:asciiTheme="minorHAnsi" w:eastAsia="Times New Roman" w:hAnsiTheme="minorHAnsi" w:cstheme="minorHAnsi"/>
          <w:sz w:val="24"/>
          <w:szCs w:val="24"/>
        </w:rPr>
        <w:tab/>
        <w:t>edifício que esteja desocupado, mas mantido para ser arrendado sob um ou mais arrendamentos mercantis operacionais com fins comerciais a terceiros; e</w:t>
      </w:r>
    </w:p>
    <w:p w14:paraId="1D1A431D"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(e)</w:t>
      </w:r>
      <w:r w:rsidRPr="00214DB2">
        <w:rPr>
          <w:rFonts w:asciiTheme="minorHAnsi" w:eastAsia="Times New Roman" w:hAnsiTheme="minorHAnsi" w:cstheme="minorHAnsi"/>
          <w:sz w:val="24"/>
          <w:szCs w:val="24"/>
        </w:rPr>
        <w:tab/>
        <w:t>propriedade em construção ou desenvolvimento para uso futuro como propriedade para investimento.</w:t>
      </w:r>
    </w:p>
    <w:p w14:paraId="138D7B8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5C83179"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13.</w:t>
      </w:r>
      <w:r w:rsidRPr="00214DB2">
        <w:rPr>
          <w:rFonts w:asciiTheme="minorHAnsi" w:eastAsia="Times New Roman" w:hAnsiTheme="minorHAnsi" w:cstheme="minorHAnsi"/>
          <w:sz w:val="24"/>
          <w:szCs w:val="24"/>
        </w:rPr>
        <w:tab/>
        <w:t>São exemplos de itens que não são propriedades para investimento, estando, por isso, fora do alcance desta norma:</w:t>
      </w:r>
    </w:p>
    <w:p w14:paraId="5C1EC37A"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w:t>
      </w:r>
      <w:r w:rsidRPr="00214DB2">
        <w:rPr>
          <w:rFonts w:asciiTheme="minorHAnsi" w:eastAsia="Times New Roman" w:hAnsiTheme="minorHAnsi" w:cstheme="minorHAnsi"/>
          <w:sz w:val="24"/>
          <w:szCs w:val="24"/>
        </w:rPr>
        <w:tab/>
        <w:t>propriedade mantida para venda no curso normal das operações ou em processo de construção ou desenvolvimento para tal venda (ver NBC TSP 04 – Estoques). Por exemplo, um governo municipal pode rotineiramente incrementar suas receitas pela compra e venda de propriedades. Nesses casos, as propriedades mantidas exclusivamente para alienação em futuro próximo ou para desenvolvimento com finalidade de revenda devem ser classificadas como estoque. A secretaria de habitação pode vender rotineiramente parte de suas habitações em estoque no curso normal das suas operações. Nesses casos, qualquer habitação em estoque mantida para venda deve ser classificada como estoque;</w:t>
      </w:r>
    </w:p>
    <w:p w14:paraId="233DF4F7"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(b)</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strike/>
          <w:sz w:val="24"/>
          <w:szCs w:val="24"/>
        </w:rPr>
        <w:t>propriedade em construção ou desenvolvimento por conta de terceiros. Por exemplo, uma secretaria pode celebrar contratos de construção com entidades externas ao Governo;</w:t>
      </w:r>
      <w:r w:rsidRPr="00214DB2">
        <w:rPr>
          <w:rFonts w:asciiTheme="minorHAnsi" w:eastAsia="Times New Roman" w:hAnsiTheme="minorHAnsi" w:cstheme="minorHAnsi"/>
          <w:sz w:val="24"/>
          <w:szCs w:val="24"/>
        </w:rPr>
        <w:t xml:space="preserve"> </w:t>
      </w:r>
      <w:r w:rsidRPr="00214DB2">
        <w:rPr>
          <w:rFonts w:asciiTheme="minorHAnsi" w:eastAsia="Times New Roman" w:hAnsiTheme="minorHAnsi" w:cstheme="minorHAnsi"/>
          <w:color w:val="0070C0"/>
          <w:sz w:val="24"/>
          <w:szCs w:val="24"/>
        </w:rPr>
        <w:t>(Eliminada pela NBC TSP 06 (R1))</w:t>
      </w:r>
    </w:p>
    <w:p w14:paraId="1AEB72D0"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(c)</w:t>
      </w:r>
      <w:r w:rsidRPr="00214DB2">
        <w:rPr>
          <w:rFonts w:asciiTheme="minorHAnsi" w:eastAsia="Times New Roman" w:hAnsiTheme="minorHAnsi" w:cstheme="minorHAnsi"/>
          <w:sz w:val="24"/>
          <w:szCs w:val="24"/>
        </w:rPr>
        <w:tab/>
        <w:t>propriedade ocupada pelo proprietário (ver NBC TSP 07), incluindo, entre outras coisas, propriedade mantida para uso futuro como propriedade ocupada pelo proprietário; propriedade mantida para desenvolvimento futuro e uso subsequente como propriedade ocupada pelo proprietário; propriedade ocupada por empregados (que paguem, ou não, aluguéis a taxas de mercado); e propriedade ocupada pelo proprietário ao aguardo de alienação;</w:t>
      </w:r>
    </w:p>
    <w:p w14:paraId="55A04930"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(d)</w:t>
      </w:r>
      <w:r w:rsidRPr="00214DB2">
        <w:rPr>
          <w:rFonts w:asciiTheme="minorHAnsi" w:eastAsia="Times New Roman" w:hAnsiTheme="minorHAnsi" w:cstheme="minorHAnsi"/>
          <w:sz w:val="24"/>
          <w:szCs w:val="24"/>
        </w:rPr>
        <w:tab/>
        <w:t>(eliminada);</w:t>
      </w:r>
    </w:p>
    <w:p w14:paraId="0124960D"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(e)</w:t>
      </w:r>
      <w:r w:rsidRPr="00214DB2">
        <w:rPr>
          <w:rFonts w:asciiTheme="minorHAnsi" w:eastAsia="Times New Roman" w:hAnsiTheme="minorHAnsi" w:cstheme="minorHAnsi"/>
          <w:sz w:val="24"/>
          <w:szCs w:val="24"/>
        </w:rPr>
        <w:tab/>
        <w:t>propriedade que é arrendada a outra entidade sob arrendamento mercantil financeiro;</w:t>
      </w:r>
    </w:p>
    <w:p w14:paraId="739D1B81"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(f)</w:t>
      </w:r>
      <w:r w:rsidRPr="00214DB2">
        <w:rPr>
          <w:rFonts w:asciiTheme="minorHAnsi" w:eastAsia="Times New Roman" w:hAnsiTheme="minorHAnsi" w:cstheme="minorHAnsi"/>
          <w:strike/>
          <w:sz w:val="24"/>
          <w:szCs w:val="24"/>
        </w:rPr>
        <w:tab/>
        <w:t xml:space="preserve">propriedade mantida para fornecer serviço social e que também gera entradas de caixa. Por exemplo, uma secretaria de habitação pode manter amplos estoques de habitações utilizados para fornecer moradia para famílias de baixa renda por aluguéis com preço </w:t>
      </w:r>
      <w:r w:rsidRPr="00214DB2">
        <w:rPr>
          <w:rFonts w:asciiTheme="minorHAnsi" w:eastAsia="Times New Roman" w:hAnsiTheme="minorHAnsi" w:cstheme="minorHAnsi"/>
          <w:strike/>
          <w:sz w:val="24"/>
          <w:szCs w:val="24"/>
        </w:rPr>
        <w:lastRenderedPageBreak/>
        <w:t>abaixo do mercado. Nessa situação, a propriedade é mantida para fornecer serviços de habitação em vez de auferir receitas de aluguel ou valorização do capital, e a renda de aluguel gerada é atinente aos propósitos pelos quais a propriedade é mantida. Tais propriedades não são consideradas propriedades para investimento e devem ser contabilizadas de acordo com a NBC TSP 07; e</w:t>
      </w:r>
    </w:p>
    <w:p w14:paraId="6D351933"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(f)</w:t>
      </w:r>
      <w:r w:rsidRPr="00214DB2">
        <w:rPr>
          <w:rFonts w:asciiTheme="minorHAnsi" w:eastAsia="Times New Roman" w:hAnsiTheme="minorHAnsi" w:cstheme="minorHAnsi"/>
          <w:sz w:val="24"/>
          <w:szCs w:val="24"/>
        </w:rPr>
        <w:tab/>
        <w:t xml:space="preserve">propriedade mantida para fornecer serviço social e que também gera entradas de caixa. Por exemplo, uma secretaria de habitação pode manter amplos estoques de habitações utilizados para fornecer moradia para famílias de baixa renda por aluguéis com preço abaixo do mercado. Nessa situação, a propriedade é mantida para fornecer serviços de habitação em vez de auferir receitas de aluguel ou valorização do capital, e a renda de aluguel gerada é atinente aos propósitos pelos quais a propriedade é mantida. Tais propriedades não são consideradas propriedades para investimento e devem ser contabilizadas de acordo com a NBC TSP 37; </w:t>
      </w:r>
      <w:r w:rsidRPr="00214DB2">
        <w:rPr>
          <w:rFonts w:asciiTheme="minorHAnsi" w:eastAsia="Times New Roman" w:hAnsiTheme="minorHAnsi" w:cstheme="minorHAnsi"/>
          <w:color w:val="0070C0"/>
          <w:sz w:val="24"/>
          <w:szCs w:val="24"/>
        </w:rPr>
        <w:t>(Alterada pela NBC TSP 06 (R1))</w:t>
      </w:r>
      <w:r w:rsidRPr="00214DB2">
        <w:rPr>
          <w:rFonts w:asciiTheme="minorHAnsi" w:eastAsia="Times New Roman" w:hAnsiTheme="minorHAnsi" w:cstheme="minorHAnsi"/>
          <w:sz w:val="24"/>
          <w:szCs w:val="24"/>
        </w:rPr>
        <w:t xml:space="preserve"> e</w:t>
      </w:r>
    </w:p>
    <w:p w14:paraId="2914B024" w14:textId="77777777" w:rsidR="000D53EE" w:rsidRPr="00214DB2" w:rsidRDefault="00214DB2">
      <w:pPr>
        <w:spacing w:after="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(g)</w:t>
      </w:r>
      <w:r w:rsidRPr="00214DB2">
        <w:rPr>
          <w:rFonts w:asciiTheme="minorHAnsi" w:eastAsia="Times New Roman" w:hAnsiTheme="minorHAnsi" w:cstheme="minorHAnsi"/>
          <w:strike/>
          <w:sz w:val="24"/>
          <w:szCs w:val="24"/>
        </w:rPr>
        <w:tab/>
        <w:t>propriedade mantida para propósitos estratégicos, que deve ser contabilizada de acordo com a NBC TSP 07.</w:t>
      </w:r>
    </w:p>
    <w:p w14:paraId="19B61D3D"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(g)</w:t>
      </w:r>
      <w:r w:rsidRPr="00214DB2">
        <w:rPr>
          <w:rFonts w:asciiTheme="minorHAnsi" w:eastAsia="Times New Roman" w:hAnsiTheme="minorHAnsi" w:cstheme="minorHAnsi"/>
          <w:sz w:val="24"/>
          <w:szCs w:val="24"/>
        </w:rPr>
        <w:tab/>
        <w:t xml:space="preserve">propriedade mantida para propósitos estratégicos, que deve ser contabilizada de acordo com a NBC TSP 07. </w:t>
      </w:r>
      <w:r w:rsidRPr="00214DB2">
        <w:rPr>
          <w:rFonts w:asciiTheme="minorHAnsi" w:eastAsia="Times New Roman" w:hAnsiTheme="minorHAnsi" w:cstheme="minorHAnsi"/>
          <w:color w:val="0070C0"/>
          <w:sz w:val="24"/>
          <w:szCs w:val="24"/>
        </w:rPr>
        <w:t>(Alterada pela NBC TSP 06 (R1))</w:t>
      </w:r>
    </w:p>
    <w:p w14:paraId="7A8C5D90" w14:textId="77777777" w:rsidR="000D53EE" w:rsidRPr="00214DB2" w:rsidRDefault="000D53EE">
      <w:pPr>
        <w:spacing w:after="0" w:line="240" w:lineRule="auto"/>
        <w:ind w:left="993" w:hanging="426"/>
        <w:jc w:val="both"/>
        <w:rPr>
          <w:rFonts w:asciiTheme="minorHAnsi" w:eastAsia="Times New Roman" w:hAnsiTheme="minorHAnsi" w:cstheme="minorHAnsi"/>
          <w:sz w:val="24"/>
          <w:szCs w:val="24"/>
        </w:rPr>
      </w:pPr>
    </w:p>
    <w:p w14:paraId="50BACE69"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14.</w:t>
      </w:r>
      <w:r w:rsidRPr="00214DB2">
        <w:rPr>
          <w:rFonts w:asciiTheme="minorHAnsi" w:eastAsia="Times New Roman" w:hAnsiTheme="minorHAnsi" w:cstheme="minorHAnsi"/>
          <w:sz w:val="24"/>
          <w:szCs w:val="24"/>
        </w:rPr>
        <w:tab/>
        <w:t>Geralmente, entidades do setor público mantêm propriedades para satisfazer a objetivos de prestação de serviços em vez de auferir receitas de aluguel ou valorização do capital. Em tais situações, a propriedade não satisfaz à definição de propriedade para investimento. Entretanto, nos casos em que entidades do setor público mantêm propriedades para auferir receitas de aluguel ou para valorização do capital, esta norma é aplicável. Em alguns casos, entidades do setor público mantêm algumas propriedades que compreendem (a) parte que é mantida para auferir receitas de aluguel ou para a valorização do capital em vez de fornecer serviços, e (b) outra parte que é mantida para uso na produção ou fornecimento de bens ou serviços ou para finalidades administrativas. Por exemplo, hospital ou universidade pública podem possuir um edifício do qual parte é utilizada para finalidades administrativas e outra parte é arrendada como apartamentos com fins comerciais. Se tais partes puderem ser vendidas separadamente (ou arrendadas separadamente por meio de arrendamento mercantil financeiro), a entidade deve contabilizar tais partes separadamente. Se as partes não puderem ser vendidas separadamente, a propriedade somente deve ser considerada propriedade para investimento se parte insignificante é mantida para uso na produção ou fornecimento de bens ou serviços ou para finalidades administrativas.</w:t>
      </w:r>
    </w:p>
    <w:p w14:paraId="298D7E6B"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4379468"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15.</w:t>
      </w:r>
      <w:r w:rsidRPr="00214DB2">
        <w:rPr>
          <w:rFonts w:asciiTheme="minorHAnsi" w:eastAsia="Times New Roman" w:hAnsiTheme="minorHAnsi" w:cstheme="minorHAnsi"/>
          <w:sz w:val="24"/>
          <w:szCs w:val="24"/>
        </w:rPr>
        <w:tab/>
        <w:t>Em alguns casos, a entidade presta serviços de apoio aos ocupantes da propriedade por ela mantida. A entidade deve tratar tal propriedade como propriedade para investimento, se os serviços forem insignificantes em relação ao acordo como um todo. Um exemplo é quando uma agência governamental (a) possui um edifício de escritórios mantido exclusivamente para aluguel com fins comerciais, e (b) também presta serviços de segurança e de manutenção aos arrendatários que ocupam o edifício.</w:t>
      </w:r>
    </w:p>
    <w:p w14:paraId="534522D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E564968"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16.</w:t>
      </w:r>
      <w:r w:rsidRPr="00214DB2">
        <w:rPr>
          <w:rFonts w:asciiTheme="minorHAnsi" w:eastAsia="Times New Roman" w:hAnsiTheme="minorHAnsi" w:cstheme="minorHAnsi"/>
          <w:sz w:val="24"/>
          <w:szCs w:val="24"/>
        </w:rPr>
        <w:tab/>
        <w:t>Em outros casos, os serviços prestados são significativos. Por exemplo, um governo pode possuir um hotel ou albergue administrado por meio de sua agência de administração de propriedades. Os serviços proporcionados aos hóspedes são significativos para o acordo como um todo. Por isso, o hotel ou o albergue administrado pelo proprietário deve ser considerado propriedade ocupada pelo proprietário e, não, propriedade para investimento.</w:t>
      </w:r>
    </w:p>
    <w:p w14:paraId="6F4AD03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422484A"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lastRenderedPageBreak/>
        <w:t>17.</w:t>
      </w:r>
      <w:r w:rsidRPr="00214DB2">
        <w:rPr>
          <w:rFonts w:asciiTheme="minorHAnsi" w:eastAsia="Times New Roman" w:hAnsiTheme="minorHAnsi" w:cstheme="minorHAnsi"/>
          <w:sz w:val="24"/>
          <w:szCs w:val="24"/>
        </w:rPr>
        <w:tab/>
        <w:t>Pode ser difícil determinar se os serviços de apoio são significativos a ponto de que a propriedade não se qualifique como propriedade para investimento. Por exemplo, governo ou agência governamental que é proprietário de hotel pode transferir algumas responsabilidades a terceiros sob contrato de gestão, cujos termos variam amplamente. Por um lado, a posição do governo ou agência governamental pode, em essência, ser a de investidor que não desempenhe a administração da propriedade. Por outro lado, o governo ou a agência governamental podem simplesmente ter terceirizado funções do dia a dia, embora ficando com significativa exposição aos riscos das variações dos fluxos de caixa gerados pelas operações do hotel.</w:t>
      </w:r>
    </w:p>
    <w:p w14:paraId="523BF9D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1ECF829"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18.</w:t>
      </w:r>
      <w:r w:rsidRPr="00214DB2">
        <w:rPr>
          <w:rFonts w:asciiTheme="minorHAnsi" w:eastAsia="Times New Roman" w:hAnsiTheme="minorHAnsi" w:cstheme="minorHAnsi"/>
          <w:sz w:val="24"/>
          <w:szCs w:val="24"/>
        </w:rPr>
        <w:tab/>
        <w:t>É necessário julgamento para determinar se a propriedade se qualifica como propriedade para investimento. A entidade deve desenvolver critérios para que possa exercer esse julgamento consistentemente de acordo com a definição de propriedade para investimento e com a correspondente orientação constante nos itens 9 a 17. O item 86(c) exige que a entidade divulgue esses critérios quando a classificação for difícil de ser realizada.</w:t>
      </w:r>
    </w:p>
    <w:p w14:paraId="5AF9202C"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2542BAD"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18A.</w:t>
      </w:r>
      <w:r w:rsidRPr="00214DB2">
        <w:rPr>
          <w:rFonts w:asciiTheme="minorHAnsi" w:eastAsia="Times New Roman" w:hAnsiTheme="minorHAnsi" w:cstheme="minorHAnsi"/>
          <w:sz w:val="24"/>
          <w:szCs w:val="24"/>
        </w:rPr>
        <w:tab/>
        <w:t>O julgamento também é necessário para determinar se a aquisição de propriedade para investimento constitui a aquisição de um ativo ou de um grupo de ativos, ou uma combinação do setor público no alcance da NBC TSP 21 – Combinações no Setor Público. Análises à luz da NBC TSP 21 devem ser realizadas para determinar se constitui uma combinação do setor público. A discussão nos itens 9 a 18 desta Norma objetiva determinar se a propriedade é ou não uma propriedade ocupada pelo proprietário ou uma propriedade para investimento, e não a determinar se a aquisição de propriedade é ou não uma combinação do setor público conforme definido na NBC TSP 21. Determinar se uma transação específica atende à definição de uma combinação do setor público conforme definido na NBC TSP 21 e inclui uma propriedade para investimento conforme definido nesta Norma exige a aplicação separada de ambas as Normas.</w:t>
      </w:r>
      <w:r w:rsidRPr="00214DB2">
        <w:rPr>
          <w:rFonts w:asciiTheme="minorHAnsi" w:eastAsia="Times New Roman" w:hAnsiTheme="minorHAnsi" w:cstheme="minorHAnsi"/>
          <w:color w:val="0070C0"/>
          <w:sz w:val="24"/>
          <w:szCs w:val="24"/>
        </w:rPr>
        <w:t xml:space="preserve"> (Incluído pela NBC TSP 06 (R1))</w:t>
      </w:r>
    </w:p>
    <w:p w14:paraId="121C50B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35106D2"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19.</w:t>
      </w:r>
      <w:r w:rsidRPr="00214DB2">
        <w:rPr>
          <w:rFonts w:asciiTheme="minorHAnsi" w:eastAsia="Times New Roman" w:hAnsiTheme="minorHAnsi" w:cstheme="minorHAnsi"/>
          <w:strike/>
          <w:sz w:val="24"/>
          <w:szCs w:val="24"/>
        </w:rPr>
        <w:tab/>
        <w:t>Em alguns casos, a entidade possui propriedade que está arrendada e ocupada por sua controladora ou por outra controlada. A propriedade não se qualifica como propriedade para investimento nas demonstrações contábeis consolidadas, porque a propriedade está ocupada pelo proprietário sob a perspectiva do grupo. Porém, da perspectiva da entidade que a possui, tal propriedade deve ser considerada propriedade para investimento se satisfizer à definição do item 7. Por isso, o arrendador deve tratar a propriedade como propriedade para investimento nas suas demonstrações contábeis individuais. Essa situação pode surgir quando o governo cria uma entidade administradora de propriedades para gerir seus edifícios de escritório. Os edifícios são, então, arrendados a outras entidades do governo com fins comerciais. Nas demonstrações contábeis da entidade administradora de propriedades, a propriedade deve ser contabilizada como propriedade para investimento. Entretanto, nas demonstrações contábeis consolidadas do governo, a propriedade deve ser contabilizada como ativo imobilizado, de acordo com a NBC TSP 07.</w:t>
      </w:r>
    </w:p>
    <w:p w14:paraId="367F82AD" w14:textId="77777777" w:rsidR="000D53EE" w:rsidRPr="00214DB2" w:rsidRDefault="000D53EE">
      <w:pPr>
        <w:spacing w:after="0" w:line="240" w:lineRule="auto"/>
        <w:ind w:left="567" w:hanging="567"/>
        <w:jc w:val="both"/>
        <w:rPr>
          <w:rFonts w:asciiTheme="minorHAnsi" w:eastAsia="Times New Roman" w:hAnsiTheme="minorHAnsi" w:cstheme="minorHAnsi"/>
          <w:strike/>
          <w:sz w:val="24"/>
          <w:szCs w:val="24"/>
        </w:rPr>
      </w:pPr>
    </w:p>
    <w:p w14:paraId="54C4FF43"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19.</w:t>
      </w:r>
      <w:r w:rsidRPr="00214DB2">
        <w:rPr>
          <w:rFonts w:asciiTheme="minorHAnsi" w:eastAsia="Times New Roman" w:hAnsiTheme="minorHAnsi" w:cstheme="minorHAnsi"/>
          <w:sz w:val="24"/>
          <w:szCs w:val="24"/>
        </w:rPr>
        <w:tab/>
        <w:t xml:space="preserve">Em alguns casos, a entidade possui propriedade que está arrendada e ocupada por sua controladora ou por outra controlada. A propriedade não se qualifica como propriedade para investimento nas demonstrações contábeis consolidadas, porque a propriedade está ocupada pelo proprietário sob a perspectiva do grupo. Porém, da perspectiva da entidade que a possui, tal propriedade deve ser considerada propriedade para investimento se satisfizer à definição do item 7. Por isso, o arrendador deve tratar a propriedade como propriedade para investimento nas suas demonstrações contábeis individuais. Essa situação pode surgir quando </w:t>
      </w:r>
      <w:r w:rsidRPr="00214DB2">
        <w:rPr>
          <w:rFonts w:asciiTheme="minorHAnsi" w:eastAsia="Times New Roman" w:hAnsiTheme="minorHAnsi" w:cstheme="minorHAnsi"/>
          <w:sz w:val="24"/>
          <w:szCs w:val="24"/>
        </w:rPr>
        <w:lastRenderedPageBreak/>
        <w:t>o governo cria uma entidade administradora de propriedades para gerir seus edifícios de escritório. Os edifícios são, então, arrendados a outras entidades do governo com fins comerciais. Nas demonstrações contábeis da entidade administradora de propriedades, a propriedade deve ser contabilizada como propriedade para investimento. Entretanto, nas demonstrações contábeis consolidadas do governo, a propriedade deve ser contabilizada como ativo imobilizado, de acordo com a NBC TSP 37.</w:t>
      </w:r>
      <w:r w:rsidRPr="00214DB2">
        <w:rPr>
          <w:rFonts w:asciiTheme="minorHAnsi" w:eastAsia="Times New Roman" w:hAnsiTheme="minorHAnsi" w:cstheme="minorHAnsi"/>
          <w:color w:val="0070C0"/>
          <w:sz w:val="24"/>
          <w:szCs w:val="24"/>
        </w:rPr>
        <w:t xml:space="preserve"> (Alterado pela NBC TSP 06 (R1))</w:t>
      </w:r>
    </w:p>
    <w:p w14:paraId="2481941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A1A2B24"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Reconhecimento</w:t>
      </w:r>
    </w:p>
    <w:p w14:paraId="78F5CB2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880B261"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20.</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A propriedade para investimento deve ser reconhecida como ativo quando, e apenas quando:</w:t>
      </w:r>
    </w:p>
    <w:p w14:paraId="4C47E0B8"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w:t>
      </w:r>
      <w:r w:rsidRPr="00214DB2">
        <w:rPr>
          <w:rFonts w:asciiTheme="minorHAnsi" w:eastAsia="Times New Roman" w:hAnsiTheme="minorHAnsi" w:cstheme="minorHAnsi"/>
          <w:b/>
          <w:sz w:val="24"/>
          <w:szCs w:val="24"/>
        </w:rPr>
        <w:tab/>
        <w:t>for provável que os benefícios econômicos futuros ou potencial de serviços associados à propriedade para investimento fluirão para a entidade; e</w:t>
      </w:r>
    </w:p>
    <w:p w14:paraId="7C84D67F"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(b)</w:t>
      </w:r>
      <w:r w:rsidRPr="00214DB2">
        <w:rPr>
          <w:rFonts w:asciiTheme="minorHAnsi" w:eastAsia="Times New Roman" w:hAnsiTheme="minorHAnsi" w:cstheme="minorHAnsi"/>
          <w:b/>
          <w:sz w:val="24"/>
          <w:szCs w:val="24"/>
        </w:rPr>
        <w:tab/>
        <w:t>o custo ou valor justo da propriedade para investimento puder ser mensurado confiavelmente.</w:t>
      </w:r>
    </w:p>
    <w:p w14:paraId="0F25B64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4CFA507"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21.</w:t>
      </w:r>
      <w:r w:rsidRPr="00214DB2">
        <w:rPr>
          <w:rFonts w:asciiTheme="minorHAnsi" w:eastAsia="Times New Roman" w:hAnsiTheme="minorHAnsi" w:cstheme="minorHAnsi"/>
          <w:sz w:val="24"/>
          <w:szCs w:val="24"/>
        </w:rPr>
        <w:tab/>
        <w:t>Ao determinar se o item satisfaz ao primeiro critério para reconhecimento, a entidade precisa avaliar o nível de certeza relacionado ao fluxo dos benefícios econômicos futuros ou potencial de serviços com base na disponibilidade de evidências no momento do reconhecimento inicial. A existência de certeza suficiente de que os benefícios econômicos futuros ou potencial de serviços fluirão para a entidade necessita de garantia de que a entidade vai obter os benefícios relacionados ao ativo e que vai assumir os riscos associados. Essa garantia geralmente é disponível quando os riscos e os benefícios tenham passado para a entidade. Antes que isso ocorra, a transação para aquisição do ativo pode ser geralmente cancelada sem penalidades significativas e, portanto, o ativo não deve ser reconhecido.</w:t>
      </w:r>
    </w:p>
    <w:p w14:paraId="1CFADD7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F0E71CC"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22.</w:t>
      </w:r>
      <w:r w:rsidRPr="00214DB2">
        <w:rPr>
          <w:rFonts w:asciiTheme="minorHAnsi" w:eastAsia="Times New Roman" w:hAnsiTheme="minorHAnsi" w:cstheme="minorHAnsi"/>
          <w:sz w:val="24"/>
          <w:szCs w:val="24"/>
        </w:rPr>
        <w:tab/>
        <w:t>O segundo critério para reconhecimento em geral é prontamente satisfeito, porque a transação de troca evidenciando a compra do ativo identifica seu custo. Como especificado no item 27, sob certas circunstâncias, uma propriedade para investimento pode ser adquirida sem custo ou por custo irrisório. Em tais casos, o custo da propriedade para investimento é o seu valor justo na data da aquisição.</w:t>
      </w:r>
    </w:p>
    <w:p w14:paraId="483083F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84360F1"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23.</w:t>
      </w:r>
      <w:r w:rsidRPr="00214DB2">
        <w:rPr>
          <w:rFonts w:asciiTheme="minorHAnsi" w:eastAsia="Times New Roman" w:hAnsiTheme="minorHAnsi" w:cstheme="minorHAnsi"/>
          <w:sz w:val="24"/>
          <w:szCs w:val="24"/>
        </w:rPr>
        <w:tab/>
        <w:t>A entidade deve avaliar, segundo esse critério de reconhecimento, todos os custos da propriedade para investimento no momento em que eles são incorridos. Esses custos incluem valores inicialmente incorridos para adquirir a propriedade para investimento e valores incorridos para adicionar a, substituir partes de, ou prestar manutenção à propriedade (exceto os gastos de manutenção usual, ver o item 24).</w:t>
      </w:r>
    </w:p>
    <w:p w14:paraId="1BEAB899"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6B87E28"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24.</w:t>
      </w:r>
      <w:r w:rsidRPr="00214DB2">
        <w:rPr>
          <w:rFonts w:asciiTheme="minorHAnsi" w:eastAsia="Times New Roman" w:hAnsiTheme="minorHAnsi" w:cstheme="minorHAnsi"/>
          <w:sz w:val="24"/>
          <w:szCs w:val="24"/>
        </w:rPr>
        <w:tab/>
        <w:t>Segundo o critério de reconhecimento do item 20, a entidade não deve reconhecer no valor contábil da propriedade para investimento os gastos com manutenção usual da propriedade. Pelo contrário, esses gastos devem ser reconhecidos no resultado do período quando incorridos. Os gastos de manutenção usual são basicamente os de mão de obra e de bens consumíveis, e podem incluir os gastos com pequenas peças. A finalidade desses gastos é muitas vezes descrita como sendo para reparo e manutenção da propriedade.</w:t>
      </w:r>
    </w:p>
    <w:p w14:paraId="3ECC7D5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5F0CD37"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25.</w:t>
      </w:r>
      <w:r w:rsidRPr="00214DB2">
        <w:rPr>
          <w:rFonts w:asciiTheme="minorHAnsi" w:eastAsia="Times New Roman" w:hAnsiTheme="minorHAnsi" w:cstheme="minorHAnsi"/>
          <w:sz w:val="24"/>
          <w:szCs w:val="24"/>
        </w:rPr>
        <w:tab/>
        <w:t xml:space="preserve">Partes da propriedade para investimento podem ter sido adquiridas por substituição. Por exemplo, as paredes interiores podem ser substituições das paredes originais. Segundo o critério do reconhecimento, a entidade deve reconhecer no valor contábil da propriedade </w:t>
      </w:r>
      <w:r w:rsidRPr="00214DB2">
        <w:rPr>
          <w:rFonts w:asciiTheme="minorHAnsi" w:eastAsia="Times New Roman" w:hAnsiTheme="minorHAnsi" w:cstheme="minorHAnsi"/>
          <w:sz w:val="24"/>
          <w:szCs w:val="24"/>
        </w:rPr>
        <w:lastRenderedPageBreak/>
        <w:t>para investimento o custo da parte da substituição da propriedade para investimento existente no momento em que o custo é incorrido se os critérios de reconhecimento forem cumpridos. O valor contábil das partes substituídas deve ser desreconhecido de acordo com as disposições desta norma.</w:t>
      </w:r>
    </w:p>
    <w:p w14:paraId="41FD9EA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9BD6209"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25A.</w:t>
      </w:r>
      <w:r w:rsidRPr="00214DB2">
        <w:rPr>
          <w:rFonts w:asciiTheme="minorHAnsi" w:eastAsia="Times New Roman" w:hAnsiTheme="minorHAnsi" w:cstheme="minorHAnsi"/>
          <w:sz w:val="24"/>
          <w:szCs w:val="24"/>
        </w:rPr>
        <w:tab/>
        <w:t>Uma propriedade para investimento mantida por um locatário como um ativo de direito de uso deve ser reconhecida de acordo com a NBC TSP 35 - Arrendamentos.</w:t>
      </w:r>
      <w:r w:rsidRPr="00214DB2">
        <w:rPr>
          <w:rFonts w:asciiTheme="minorHAnsi" w:eastAsia="Times New Roman" w:hAnsiTheme="minorHAnsi" w:cstheme="minorHAnsi"/>
          <w:color w:val="0070C0"/>
          <w:sz w:val="24"/>
          <w:szCs w:val="24"/>
        </w:rPr>
        <w:t xml:space="preserve"> (Incluído pela NBC TSP 06 (R1))</w:t>
      </w:r>
    </w:p>
    <w:p w14:paraId="3166D18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0811536"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Mensuração no reconhecimento</w:t>
      </w:r>
    </w:p>
    <w:p w14:paraId="0317AB69"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E17991C"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26.</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A propriedade para investimento deve ser inicialmente mensurada pelo seu custo (os custos de transação devem ser incluídos na mensuração inicial).</w:t>
      </w:r>
    </w:p>
    <w:p w14:paraId="2A59A955"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CC1EA69"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27.</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Quando a propriedade para investimento é adquirida por meio de transação sem contraprestação, seu custo deve ser mensurado pelo seu valor justo na data da aquisição.</w:t>
      </w:r>
    </w:p>
    <w:p w14:paraId="464A916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5B87B9A"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28.</w:t>
      </w:r>
      <w:r w:rsidRPr="00214DB2">
        <w:rPr>
          <w:rFonts w:asciiTheme="minorHAnsi" w:eastAsia="Times New Roman" w:hAnsiTheme="minorHAnsi" w:cstheme="minorHAnsi"/>
          <w:sz w:val="24"/>
          <w:szCs w:val="24"/>
        </w:rPr>
        <w:tab/>
        <w:t>O custo da propriedade para investimento adquirida compreende o seu preço de compra e qualquer gasto diretamente atribuível. Os gastos diretamente atribuíveis incluem, por exemplo, a remuneração profissional de serviços legais, tributos de transferência de propriedade e outros custos de transação.</w:t>
      </w:r>
    </w:p>
    <w:p w14:paraId="016A875C"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ED781AD"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29.</w:t>
      </w:r>
      <w:r w:rsidRPr="00214DB2">
        <w:rPr>
          <w:rFonts w:asciiTheme="minorHAnsi" w:eastAsia="Times New Roman" w:hAnsiTheme="minorHAnsi" w:cstheme="minorHAnsi"/>
          <w:sz w:val="24"/>
          <w:szCs w:val="24"/>
        </w:rPr>
        <w:tab/>
        <w:t>(Eliminado).</w:t>
      </w:r>
    </w:p>
    <w:p w14:paraId="5C96BEF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E28C527"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30.</w:t>
      </w:r>
      <w:r w:rsidRPr="00214DB2">
        <w:rPr>
          <w:rFonts w:asciiTheme="minorHAnsi" w:eastAsia="Times New Roman" w:hAnsiTheme="minorHAnsi" w:cstheme="minorHAnsi"/>
          <w:sz w:val="24"/>
          <w:szCs w:val="24"/>
        </w:rPr>
        <w:tab/>
        <w:t>O custo de propriedade para investimento não é aumentado por:</w:t>
      </w:r>
    </w:p>
    <w:p w14:paraId="1D201E38"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w:t>
      </w:r>
      <w:r w:rsidRPr="00214DB2">
        <w:rPr>
          <w:rFonts w:asciiTheme="minorHAnsi" w:eastAsia="Times New Roman" w:hAnsiTheme="minorHAnsi" w:cstheme="minorHAnsi"/>
          <w:sz w:val="24"/>
          <w:szCs w:val="24"/>
        </w:rPr>
        <w:tab/>
        <w:t>gastos de início das operações (a não ser que sejam necessários para trazer a propriedade à condição necessária a fim de que seja capaz de funcionar da forma pretendida pela administração);</w:t>
      </w:r>
    </w:p>
    <w:p w14:paraId="743414E5"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(b)</w:t>
      </w:r>
      <w:r w:rsidRPr="00214DB2">
        <w:rPr>
          <w:rFonts w:asciiTheme="minorHAnsi" w:eastAsia="Times New Roman" w:hAnsiTheme="minorHAnsi" w:cstheme="minorHAnsi"/>
          <w:sz w:val="24"/>
          <w:szCs w:val="24"/>
        </w:rPr>
        <w:tab/>
        <w:t>perdas operacionais incorridas antes de a propriedade para investimento ter atingido o nível de ocupação previsto; ou</w:t>
      </w:r>
    </w:p>
    <w:p w14:paraId="0D128B22"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(c)</w:t>
      </w:r>
      <w:r w:rsidRPr="00214DB2">
        <w:rPr>
          <w:rFonts w:asciiTheme="minorHAnsi" w:eastAsia="Times New Roman" w:hAnsiTheme="minorHAnsi" w:cstheme="minorHAnsi"/>
          <w:sz w:val="24"/>
          <w:szCs w:val="24"/>
        </w:rPr>
        <w:tab/>
        <w:t>quantidades anormais de material, mão de obra ou outros recursos consumidos na construção ou desenvolvimento da propriedade.</w:t>
      </w:r>
    </w:p>
    <w:p w14:paraId="1B70473C"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D697EE5"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31.</w:t>
      </w:r>
      <w:r w:rsidRPr="00214DB2">
        <w:rPr>
          <w:rFonts w:asciiTheme="minorHAnsi" w:eastAsia="Times New Roman" w:hAnsiTheme="minorHAnsi" w:cstheme="minorHAnsi"/>
          <w:sz w:val="24"/>
          <w:szCs w:val="24"/>
        </w:rPr>
        <w:tab/>
        <w:t>Se o pagamento da propriedade para investimento for a prazo, o seu custo é o equivalente ao valor à vista. A diferença entre essa quantia e o total dos pagamentos deve ser reconhecida como despesa financeira durante o período do financiamento.</w:t>
      </w:r>
    </w:p>
    <w:p w14:paraId="1335F69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8414803"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32.</w:t>
      </w:r>
      <w:r w:rsidRPr="00214DB2">
        <w:rPr>
          <w:rFonts w:asciiTheme="minorHAnsi" w:eastAsia="Times New Roman" w:hAnsiTheme="minorHAnsi" w:cstheme="minorHAnsi"/>
          <w:sz w:val="24"/>
          <w:szCs w:val="24"/>
        </w:rPr>
        <w:tab/>
        <w:t>A propriedade para investimento pode ser adquirida por meio de transação sem contraprestação. Por exemplo, o governo nacional pode transferir sem ônus um edifício de escritórios para entidade de governo subnacional, que, por sua vez, aluga-o a preços de mercado. A propriedade para investimento pode também ser adquirida mediante transação sem contraprestação por meio de confisco. Em tais circunstâncias, o custo da propriedade é seu valor justo na data da aquisição.</w:t>
      </w:r>
    </w:p>
    <w:p w14:paraId="1B745011"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8305FC3"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33.</w:t>
      </w:r>
      <w:r w:rsidRPr="00214DB2">
        <w:rPr>
          <w:rFonts w:asciiTheme="minorHAnsi" w:eastAsia="Times New Roman" w:hAnsiTheme="minorHAnsi" w:cstheme="minorHAnsi"/>
          <w:sz w:val="24"/>
          <w:szCs w:val="24"/>
        </w:rPr>
        <w:tab/>
        <w:t>Quando a entidade reconhece inicialmente suas propriedades para investimento pelo valor justo (de acordo com o item 27), o valor justo é o custo da propriedade. A entidade deve decidir, subsequentemente ao reconhecimento inicial, adotar o modelo do valor justo (itens 42 a 64) ou o modelo do custo (item 65).</w:t>
      </w:r>
    </w:p>
    <w:p w14:paraId="52D68F89"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C4D507E"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34.</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O custo inicial do direito sobre propriedade mantida em arrendamento mercantil e classificado como propriedade para investimento deve ser o estabelecido como o menor valor entre o valor justo da propriedade e o valor presente dos pagamentos mínimos do arrendamento. Montante equivalente deve ser reconhecido como passivo.</w:t>
      </w:r>
      <w:r w:rsidRPr="00214DB2">
        <w:rPr>
          <w:rFonts w:asciiTheme="minorHAnsi" w:eastAsia="Times New Roman" w:hAnsiTheme="minorHAnsi" w:cstheme="minorHAnsi"/>
          <w:color w:val="0070C0"/>
          <w:sz w:val="24"/>
          <w:szCs w:val="24"/>
        </w:rPr>
        <w:t xml:space="preserve"> (Eliminado pela NBC TSP 06 (R1))</w:t>
      </w:r>
    </w:p>
    <w:p w14:paraId="0D159D7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1466760"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35.</w:t>
      </w:r>
      <w:r w:rsidRPr="00214DB2">
        <w:rPr>
          <w:rFonts w:asciiTheme="minorHAnsi" w:eastAsia="Times New Roman" w:hAnsiTheme="minorHAnsi" w:cstheme="minorHAnsi"/>
          <w:strike/>
          <w:sz w:val="24"/>
          <w:szCs w:val="24"/>
        </w:rPr>
        <w:tab/>
        <w:t>Qualquer prêmio pago por arrendamento mercantil deve ser tratado como parte dos pagamentos mínimos do arrendamento para essa finalidade, sendo, portanto, incluído no custo do ativo, mas excluído do passivo. Se o direito sobre propriedade mantida sob arrendamento mercantil for classificado como propriedade para investimento, o item contabilizado pelo valor justo é esse direito e não a propriedade subjacente. A orientação para a determinação do valor justo de direito sobre propriedade é desenvolvida para o modelo do valor justo nos itens 42 a 61. Essa orientação também é relevante para a determinação do valor justo quando esse valor é utilizado como custo para fins do reconhecimento inicial.</w:t>
      </w:r>
      <w:r w:rsidRPr="00214DB2">
        <w:rPr>
          <w:rFonts w:asciiTheme="minorHAnsi" w:eastAsia="Times New Roman" w:hAnsiTheme="minorHAnsi" w:cstheme="minorHAnsi"/>
          <w:strike/>
          <w:color w:val="0070C0"/>
          <w:sz w:val="24"/>
          <w:szCs w:val="24"/>
        </w:rPr>
        <w:t xml:space="preserve"> </w:t>
      </w:r>
      <w:r w:rsidRPr="00214DB2">
        <w:rPr>
          <w:rFonts w:asciiTheme="minorHAnsi" w:eastAsia="Times New Roman" w:hAnsiTheme="minorHAnsi" w:cstheme="minorHAnsi"/>
          <w:color w:val="0070C0"/>
          <w:sz w:val="24"/>
          <w:szCs w:val="24"/>
        </w:rPr>
        <w:t>(Eliminado pela NBC TSP 06 (R1))</w:t>
      </w:r>
    </w:p>
    <w:p w14:paraId="54F8877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D72E0C3"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36.</w:t>
      </w:r>
      <w:r w:rsidRPr="00214DB2">
        <w:rPr>
          <w:rFonts w:asciiTheme="minorHAnsi" w:eastAsia="Times New Roman" w:hAnsiTheme="minorHAnsi" w:cstheme="minorHAnsi"/>
          <w:sz w:val="24"/>
          <w:szCs w:val="24"/>
        </w:rPr>
        <w:tab/>
        <w:t>Uma ou mais propriedades para investimento podem ser adquiridas por meio de permuta por um ou mais ativos não monetários ou pela combinação de ativos monetários e não monetários. A discussão a seguir refere-se à permuta de ativo não monetário por outro, bem como se aplica a todas as permutas descritas anteriormente. O custo de tal propriedade para investimento deve ser mensurado pelo valor justo, a menos que (a) a transação de permuta não tenha essência comercial, ou (b) nem o valor justo do ativo recebido nem o valor justo do ativo cedido sejam confiavelmente mensuráveis. O ativo adquirido deve ser mensurado dessa forma mesmo que a entidade não possa imediatamente desreconhecer o ativo cedido. Se o ativo adquirido não for mensurado pelo valor justo, seu custo deve ser mensurado pelo valor contábil do ativo cedido.</w:t>
      </w:r>
    </w:p>
    <w:p w14:paraId="1B257993"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7B5C2FD"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37.</w:t>
      </w:r>
      <w:r w:rsidRPr="00214DB2">
        <w:rPr>
          <w:rFonts w:asciiTheme="minorHAnsi" w:eastAsia="Times New Roman" w:hAnsiTheme="minorHAnsi" w:cstheme="minorHAnsi"/>
          <w:sz w:val="24"/>
          <w:szCs w:val="24"/>
        </w:rPr>
        <w:tab/>
        <w:t>A entidade deve determinar se a operação de permuta é, na essência, de natureza comercial, considerando a extensão em que se espera que os seus fluxos de caixa futuros ou potencial de serviços sejam alterados como resultado da transação. A operação de permuta tem natureza comercial se:</w:t>
      </w:r>
    </w:p>
    <w:p w14:paraId="63061B6E"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w:t>
      </w:r>
      <w:r w:rsidRPr="00214DB2">
        <w:rPr>
          <w:rFonts w:asciiTheme="minorHAnsi" w:eastAsia="Times New Roman" w:hAnsiTheme="minorHAnsi" w:cstheme="minorHAnsi"/>
          <w:sz w:val="24"/>
          <w:szCs w:val="24"/>
        </w:rPr>
        <w:tab/>
        <w:t>a configuração (risco, prazo e valor) dos fluxos de caixa ou potencial de serviços do ativo recebido for diferente da configuração dos fluxos de caixa do ativo cedido; ou</w:t>
      </w:r>
    </w:p>
    <w:p w14:paraId="7C573BA6"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(b)</w:t>
      </w:r>
      <w:r w:rsidRPr="00214DB2">
        <w:rPr>
          <w:rFonts w:asciiTheme="minorHAnsi" w:eastAsia="Times New Roman" w:hAnsiTheme="minorHAnsi" w:cstheme="minorHAnsi"/>
          <w:sz w:val="24"/>
          <w:szCs w:val="24"/>
        </w:rPr>
        <w:tab/>
        <w:t>o valor específico para a entidade relativo à parte das operações da entidade afetadas pela transação se altera como resultado da permuta; e</w:t>
      </w:r>
    </w:p>
    <w:p w14:paraId="399856B3"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(c)</w:t>
      </w:r>
      <w:r w:rsidRPr="00214DB2">
        <w:rPr>
          <w:rFonts w:asciiTheme="minorHAnsi" w:eastAsia="Times New Roman" w:hAnsiTheme="minorHAnsi" w:cstheme="minorHAnsi"/>
          <w:sz w:val="24"/>
          <w:szCs w:val="24"/>
        </w:rPr>
        <w:tab/>
        <w:t>a diferença em (a) ou (b) é significativa em relação ao valor justo dos ativos trocados.</w:t>
      </w:r>
    </w:p>
    <w:p w14:paraId="2442F38F" w14:textId="77777777" w:rsidR="000D53EE" w:rsidRPr="00214DB2" w:rsidRDefault="00214DB2">
      <w:pPr>
        <w:spacing w:after="0" w:line="240" w:lineRule="auto"/>
        <w:ind w:left="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Para a finalidade de determinar se a transação de permuta tem natureza comercial, o valor específico para a entidade relativo à parte das operações afetada pela transação deve refletir os fluxos de caixa após os tributos, se for o caso. O resultado dessas análises pode ser claro sem que a entidade tenha de efetuar cálculos detalhados.</w:t>
      </w:r>
    </w:p>
    <w:p w14:paraId="3786895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F4ED67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38.</w:t>
      </w:r>
      <w:r w:rsidRPr="00214DB2">
        <w:rPr>
          <w:rFonts w:asciiTheme="minorHAnsi" w:eastAsia="Times New Roman" w:hAnsiTheme="minorHAnsi" w:cstheme="minorHAnsi"/>
          <w:sz w:val="24"/>
          <w:szCs w:val="24"/>
        </w:rPr>
        <w:tab/>
        <w:t xml:space="preserve">O valor justo de ativo para o qual não existam transações de mercado comparáveis é confiavelmente mensurável se (a) a variabilidade na faixa de estimativas razoáveis do valor justo não for significativa para esse ativo, ou (b) as probabilidades de várias estimativas dentro dessa faixa puderem ser razoavelmente avaliadas e utilizadas na mensuração do valor justo. Caso a entidade seja capaz de mensurar confiavelmente o valor justo tanto do ativo recebido quanto do ativo cedido, então o valor justo do ativo cedido deve ser utilizado para mensurar </w:t>
      </w:r>
      <w:r w:rsidRPr="00214DB2">
        <w:rPr>
          <w:rFonts w:asciiTheme="minorHAnsi" w:eastAsia="Times New Roman" w:hAnsiTheme="minorHAnsi" w:cstheme="minorHAnsi"/>
          <w:sz w:val="24"/>
          <w:szCs w:val="24"/>
        </w:rPr>
        <w:lastRenderedPageBreak/>
        <w:t>o custo do ativo recebido, a não ser que o valor justo do ativo recebido seja mais claramente evidente.</w:t>
      </w:r>
    </w:p>
    <w:p w14:paraId="4E879975"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316F6BE"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38A.</w:t>
      </w:r>
      <w:r w:rsidRPr="00214DB2">
        <w:rPr>
          <w:rFonts w:asciiTheme="minorHAnsi" w:eastAsia="Times New Roman" w:hAnsiTheme="minorHAnsi" w:cstheme="minorHAnsi"/>
          <w:sz w:val="24"/>
          <w:szCs w:val="24"/>
        </w:rPr>
        <w:tab/>
        <w:t>Uma propriedade para investimento mantida por um locatário como um ativo de direito de uso deve ser mensurada inicialmente de acordo com a NBC TSP 35 - Arrendamentos.</w:t>
      </w:r>
      <w:r w:rsidRPr="00214DB2">
        <w:rPr>
          <w:rFonts w:asciiTheme="minorHAnsi" w:eastAsia="Times New Roman" w:hAnsiTheme="minorHAnsi" w:cstheme="minorHAnsi"/>
          <w:color w:val="0070C0"/>
          <w:sz w:val="24"/>
          <w:szCs w:val="24"/>
        </w:rPr>
        <w:t xml:space="preserve"> (Incluído pela NBC TSP 06 (R1))</w:t>
      </w:r>
    </w:p>
    <w:p w14:paraId="6304BDAC"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7ED69D8"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Mensuração após o reconhecimento</w:t>
      </w:r>
    </w:p>
    <w:p w14:paraId="7A024EB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591EA97"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Política contábil</w:t>
      </w:r>
    </w:p>
    <w:p w14:paraId="09E17A4D"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A1D8E7A"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39.</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Com as exceções indicadas no item 43, a entidade deve escolher como sua política contábil o modelo do valor justo (itens 42 a 64) ou o modelo do custo (item 65) e deve aplicar essa política a todas as suas propriedades para investimento.</w:t>
      </w:r>
    </w:p>
    <w:p w14:paraId="4AEFA221"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62BB496"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39.</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Com as exceções indicadas no item 41A, a entidade deve escolher como sua política contábil o modelo do valor justo (itens 42 a 64) ou o modelo do custo (item 65) e deve aplicar essa política a todas as suas propriedades para investimento.</w:t>
      </w:r>
      <w:r w:rsidRPr="00214DB2">
        <w:rPr>
          <w:rFonts w:asciiTheme="minorHAnsi" w:eastAsia="Times New Roman" w:hAnsiTheme="minorHAnsi" w:cstheme="minorHAnsi"/>
          <w:color w:val="0070C0"/>
          <w:sz w:val="24"/>
          <w:szCs w:val="24"/>
        </w:rPr>
        <w:t xml:space="preserve"> (Alterado pela NBC TSP 06 (R1))</w:t>
      </w:r>
    </w:p>
    <w:p w14:paraId="35BBCE3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0E2C0CB"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40.</w:t>
      </w:r>
      <w:r w:rsidRPr="00214DB2">
        <w:rPr>
          <w:rFonts w:asciiTheme="minorHAnsi" w:eastAsia="Times New Roman" w:hAnsiTheme="minorHAnsi" w:cstheme="minorHAnsi"/>
          <w:strike/>
          <w:sz w:val="24"/>
          <w:szCs w:val="24"/>
        </w:rPr>
        <w:tab/>
        <w:t>A alteração voluntária na política contábil deve ser feita apenas se a alteração resultar em apresentação mais apropriada das operações, de outros eventos ou de condições nas demonstrações contábeis da entidade. É altamente improvável que a alteração do modelo do valor justo para o modelo do custo resulte em apresentação mais apropriada.</w:t>
      </w:r>
    </w:p>
    <w:p w14:paraId="160AD0B0"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7F4B878"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40.</w:t>
      </w:r>
      <w:r w:rsidRPr="00214DB2">
        <w:rPr>
          <w:rFonts w:asciiTheme="minorHAnsi" w:eastAsia="Times New Roman" w:hAnsiTheme="minorHAnsi" w:cstheme="minorHAnsi"/>
          <w:sz w:val="24"/>
          <w:szCs w:val="24"/>
        </w:rPr>
        <w:tab/>
        <w:t>A NBC TSP 23 – Políticas Contábeis, Mudanças de Estimativa e Retificação de Erro estabelece que uma mudança voluntária na política contábil deve ser feita apenas se a mudança resultar em demonstrações contábeis que proporcionem informação que represente fidedignamente e seja mais relevante sobre os efeitos de transações, outros eventos ou condições na situação financeira, no resultado ou nos fluxos de caixa da entidade. É altamente improvável que uma mudança do modelo de valor corrente para o modelo de custo histórico resulte em uma apresentação mais relevante.</w:t>
      </w:r>
      <w:r w:rsidRPr="00214DB2">
        <w:rPr>
          <w:rFonts w:asciiTheme="minorHAnsi" w:eastAsia="Times New Roman" w:hAnsiTheme="minorHAnsi" w:cstheme="minorHAnsi"/>
          <w:color w:val="0070C0"/>
          <w:sz w:val="24"/>
          <w:szCs w:val="24"/>
        </w:rPr>
        <w:t xml:space="preserve"> (Alterado pela NBC TSP 06 (R1))</w:t>
      </w:r>
    </w:p>
    <w:p w14:paraId="4255B257"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CA7948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41.</w:t>
      </w:r>
      <w:r w:rsidRPr="00214DB2">
        <w:rPr>
          <w:rFonts w:asciiTheme="minorHAnsi" w:eastAsia="Times New Roman" w:hAnsiTheme="minorHAnsi" w:cstheme="minorHAnsi"/>
          <w:sz w:val="24"/>
          <w:szCs w:val="24"/>
        </w:rPr>
        <w:tab/>
        <w:t>Esta norma exige que todas as entidades determinem o valor justo de propriedades para investimento para a finalidade de mensuração (se a entidade utilizar o modelo do valor justo) ou de divulgação (se utilizar o modelo do custo). Incentiva-se a entidade, mas não se exige dela a mensurar o valor justo das propriedades para investimento, tendo por base avaliação realizada por avaliador independente que tenha qualificação profissional relevante e reconhecida, e que tenha experiência recente no local e na categoria da propriedade para investimento que esteja sendo avaliada.</w:t>
      </w:r>
    </w:p>
    <w:p w14:paraId="73FB33CC"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6FF1113"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41A. A entidade pode: </w:t>
      </w:r>
    </w:p>
    <w:p w14:paraId="023EB20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A40DC96" w14:textId="77777777" w:rsidR="000D53EE" w:rsidRPr="00214DB2" w:rsidRDefault="00214DB2">
      <w:pPr>
        <w:spacing w:after="0" w:line="240" w:lineRule="auto"/>
        <w:ind w:left="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 Escolher o modelo do valor corrente ou o modelo do custo histórico para todas as propriedades para investimento que lastreiam passivos que pagam um retorno diretamente vinculado ao valor justo de, ou aos retornos de, ativos especificados, incluindo essa propriedade para investimento; e </w:t>
      </w:r>
    </w:p>
    <w:p w14:paraId="655B2DC0" w14:textId="77777777" w:rsidR="000D53EE" w:rsidRPr="00214DB2" w:rsidRDefault="00214DB2">
      <w:pPr>
        <w:spacing w:after="0" w:line="240" w:lineRule="auto"/>
        <w:ind w:left="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(b) Escolher o modelo do valor corrente ou o modelo do custo histórico para todas as outras propriedades para investimento, independentemente da escolha feita em (a).</w:t>
      </w:r>
      <w:r w:rsidRPr="00214DB2">
        <w:rPr>
          <w:rFonts w:asciiTheme="minorHAnsi" w:eastAsia="Times New Roman" w:hAnsiTheme="minorHAnsi" w:cstheme="minorHAnsi"/>
          <w:color w:val="0070C0"/>
          <w:sz w:val="24"/>
          <w:szCs w:val="24"/>
        </w:rPr>
        <w:t xml:space="preserve"> (Incluído pela NBC TSP 06 (R1))</w:t>
      </w:r>
    </w:p>
    <w:p w14:paraId="75F705A0"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09FB407"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41B. Algumas seguradoras e outras entidades operam um fundo imobiliário interno que emite unidades de participação cujo valor é calculado com base no fundo (unidades nocionais), com algumas unidades detidas por investidores em contratos vinculados e outras detidas pela entidade. O item 41A não permite que a entidade mensure a propriedade detida pelo fundo parcialmente ao custo e parcialmente ao valor justo.</w:t>
      </w:r>
      <w:r w:rsidRPr="00214DB2">
        <w:rPr>
          <w:rFonts w:asciiTheme="minorHAnsi" w:eastAsia="Times New Roman" w:hAnsiTheme="minorHAnsi" w:cstheme="minorHAnsi"/>
          <w:color w:val="0070C0"/>
          <w:sz w:val="24"/>
          <w:szCs w:val="24"/>
        </w:rPr>
        <w:t xml:space="preserve"> (Incluído pela NBC TSP 06 (R1))</w:t>
      </w:r>
    </w:p>
    <w:p w14:paraId="29CA2F69"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C8991D5"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41C. Se a entidade escolher modelos diferentes para as duas categorias descritas no item 41A, as vendas de propriedade para investimento entre grupos de ativos mensurados utilizando modelos diferentes devem ser reconhecidas pelo valor justo e a mudança cumulativa no valor justo deve ser reconhecida no resultado. Consequentemente, se uma propriedade para investimento for vendida de um grupo no qual o modelo do valor corrente é utilizado para um grupo no qual o modelo do custo histórico é utilizado, o valor justo da propriedade na data da venda torna-se o seu custo atribuído.</w:t>
      </w:r>
      <w:r w:rsidRPr="00214DB2">
        <w:rPr>
          <w:rFonts w:asciiTheme="minorHAnsi" w:eastAsia="Times New Roman" w:hAnsiTheme="minorHAnsi" w:cstheme="minorHAnsi"/>
          <w:color w:val="0070C0"/>
          <w:sz w:val="24"/>
          <w:szCs w:val="24"/>
        </w:rPr>
        <w:t xml:space="preserve"> (Incluído pela NBC TSP 06 (R1))</w:t>
      </w:r>
    </w:p>
    <w:p w14:paraId="54AC652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4B27684" w14:textId="77777777" w:rsidR="000D53EE" w:rsidRPr="00214DB2" w:rsidRDefault="00214DB2">
      <w:pPr>
        <w:spacing w:after="0" w:line="240" w:lineRule="auto"/>
        <w:ind w:left="567" w:hanging="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b/>
          <w:strike/>
          <w:sz w:val="24"/>
          <w:szCs w:val="24"/>
        </w:rPr>
        <w:t>Modelo do valor justo</w:t>
      </w:r>
    </w:p>
    <w:p w14:paraId="7D7999DD" w14:textId="77777777" w:rsidR="000D53EE" w:rsidRPr="00214DB2" w:rsidRDefault="000D53EE">
      <w:pPr>
        <w:spacing w:after="0" w:line="240" w:lineRule="auto"/>
        <w:ind w:left="567" w:hanging="567"/>
        <w:jc w:val="both"/>
        <w:rPr>
          <w:rFonts w:asciiTheme="minorHAnsi" w:eastAsia="Times New Roman" w:hAnsiTheme="minorHAnsi" w:cstheme="minorHAnsi"/>
          <w:b/>
          <w:sz w:val="24"/>
          <w:szCs w:val="24"/>
        </w:rPr>
      </w:pPr>
    </w:p>
    <w:p w14:paraId="3D10B37D"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 xml:space="preserve">Modelo do valor corrente </w:t>
      </w:r>
      <w:r w:rsidRPr="00214DB2">
        <w:rPr>
          <w:rFonts w:asciiTheme="minorHAnsi" w:eastAsia="Times New Roman" w:hAnsiTheme="minorHAnsi" w:cstheme="minorHAnsi"/>
          <w:color w:val="0070C0"/>
          <w:sz w:val="24"/>
          <w:szCs w:val="24"/>
        </w:rPr>
        <w:t>(Alterado pela NBC TSP 06 (R1))</w:t>
      </w:r>
    </w:p>
    <w:p w14:paraId="44C2942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7BAA2E3"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42.</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Após o reconhecimento inicial, a entidade que escolhe o modelo do valor justo deve mensurar todas as suas propriedades para investimento pelo valor justo, exceto nos casos descritos no item 62.</w:t>
      </w:r>
    </w:p>
    <w:p w14:paraId="4E07CEE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C9A7307" w14:textId="77777777" w:rsidR="000D53EE" w:rsidRPr="00214DB2" w:rsidRDefault="00214DB2">
      <w:pPr>
        <w:spacing w:after="0" w:line="240" w:lineRule="auto"/>
        <w:ind w:left="567" w:hanging="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strike/>
          <w:sz w:val="24"/>
          <w:szCs w:val="24"/>
        </w:rPr>
        <w:t>43.</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Quando o direito sobre propriedade mantida por arrendatário em arrendamento mercantil operacional for classificado como propriedade para investimento, segundo o item 8, o item 39 deixa de ser opcional, e o modelo do valor justo deve ser aplicado.</w:t>
      </w:r>
      <w:r w:rsidRPr="00214DB2">
        <w:rPr>
          <w:rFonts w:asciiTheme="minorHAnsi" w:eastAsia="Times New Roman" w:hAnsiTheme="minorHAnsi" w:cstheme="minorHAnsi"/>
          <w:color w:val="0070C0"/>
          <w:sz w:val="24"/>
          <w:szCs w:val="24"/>
        </w:rPr>
        <w:t xml:space="preserve"> (Eliminado pela NBC TSP 06 (R1))</w:t>
      </w:r>
    </w:p>
    <w:p w14:paraId="6C3BA2F7"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6E7CC40"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44.</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O ganho ou a perda proveniente de alteração no valor justo de propriedade para investimento deve ser reconhecido no resultado do período em que ocorra.</w:t>
      </w:r>
    </w:p>
    <w:p w14:paraId="45938A1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8258233"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45.</w:t>
      </w:r>
      <w:r w:rsidRPr="00214DB2">
        <w:rPr>
          <w:rFonts w:asciiTheme="minorHAnsi" w:eastAsia="Times New Roman" w:hAnsiTheme="minorHAnsi" w:cstheme="minorHAnsi"/>
          <w:strike/>
          <w:sz w:val="24"/>
          <w:szCs w:val="24"/>
        </w:rPr>
        <w:tab/>
        <w:t>O valor justo de propriedade para investimento é o preço pelo qual a propriedade poderia ser negociada entre partes conhecedoras e interessadas, em transação sem favorecimentos (ver item 7). O valor justo exclui especificamente o preço estimado inflacionado ou deflacionado por condições ou circunstâncias especiais, tais como financiamento atípico, acordos de venda e retroarrendamento (</w:t>
      </w:r>
      <w:r w:rsidRPr="00214DB2">
        <w:rPr>
          <w:rFonts w:asciiTheme="minorHAnsi" w:eastAsia="Times New Roman" w:hAnsiTheme="minorHAnsi" w:cstheme="minorHAnsi"/>
          <w:i/>
          <w:strike/>
          <w:sz w:val="24"/>
          <w:szCs w:val="24"/>
        </w:rPr>
        <w:t>leaseback</w:t>
      </w:r>
      <w:r w:rsidRPr="00214DB2">
        <w:rPr>
          <w:rFonts w:asciiTheme="minorHAnsi" w:eastAsia="Times New Roman" w:hAnsiTheme="minorHAnsi" w:cstheme="minorHAnsi"/>
          <w:strike/>
          <w:sz w:val="24"/>
          <w:szCs w:val="24"/>
        </w:rPr>
        <w:t>), e contrapartidas ou concessões especiais dadas por alguém associado à venda.</w:t>
      </w:r>
      <w:r w:rsidRPr="00214DB2">
        <w:rPr>
          <w:rFonts w:asciiTheme="minorHAnsi" w:eastAsia="Times New Roman" w:hAnsiTheme="minorHAnsi" w:cstheme="minorHAnsi"/>
          <w:color w:val="0070C0"/>
          <w:sz w:val="24"/>
          <w:szCs w:val="24"/>
        </w:rPr>
        <w:t xml:space="preserve"> (Eliminado pela NBC TSP 06 (R1))</w:t>
      </w:r>
    </w:p>
    <w:p w14:paraId="6200C34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2516CF0"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46.</w:t>
      </w:r>
      <w:r w:rsidRPr="00214DB2">
        <w:rPr>
          <w:rFonts w:asciiTheme="minorHAnsi" w:eastAsia="Times New Roman" w:hAnsiTheme="minorHAnsi" w:cstheme="minorHAnsi"/>
          <w:strike/>
          <w:sz w:val="24"/>
          <w:szCs w:val="24"/>
        </w:rPr>
        <w:tab/>
        <w:t>A entidade deve determinar o valor justo sem qualquer dedução para custos de transação em que possa incorrer pela venda ou outra forma de alienação.</w:t>
      </w:r>
      <w:r w:rsidRPr="00214DB2">
        <w:rPr>
          <w:rFonts w:asciiTheme="minorHAnsi" w:eastAsia="Times New Roman" w:hAnsiTheme="minorHAnsi" w:cstheme="minorHAnsi"/>
          <w:color w:val="0070C0"/>
          <w:sz w:val="24"/>
          <w:szCs w:val="24"/>
        </w:rPr>
        <w:t xml:space="preserve"> (Eliminado pela NBC TSP 06 (R1))</w:t>
      </w:r>
    </w:p>
    <w:p w14:paraId="18CD18B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F3A030B"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47.</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O valor justo da propriedade para investimento deve refletir as condições de mercado na data das demonstrações contábeis.</w:t>
      </w:r>
      <w:r w:rsidRPr="00214DB2">
        <w:rPr>
          <w:rFonts w:asciiTheme="minorHAnsi" w:eastAsia="Times New Roman" w:hAnsiTheme="minorHAnsi" w:cstheme="minorHAnsi"/>
          <w:color w:val="0070C0"/>
          <w:sz w:val="24"/>
          <w:szCs w:val="24"/>
        </w:rPr>
        <w:t xml:space="preserve"> (Eliminado pela NBC TSP 06 (R1))</w:t>
      </w:r>
    </w:p>
    <w:p w14:paraId="3F937950"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7A1D45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48.</w:t>
      </w:r>
      <w:r w:rsidRPr="00214DB2">
        <w:rPr>
          <w:rFonts w:asciiTheme="minorHAnsi" w:eastAsia="Times New Roman" w:hAnsiTheme="minorHAnsi" w:cstheme="minorHAnsi"/>
          <w:strike/>
          <w:sz w:val="24"/>
          <w:szCs w:val="24"/>
        </w:rPr>
        <w:tab/>
        <w:t xml:space="preserve">O valor justo é específico no tempo e na data determinada. Pelo fato de as condições de mercado poderem mudar, a quantia atribuída sob o critério do valor justo pode ser incorreta ou não ser apropriada se estimada em outro momento. A definição de valor justo assume também troca simultânea e término do contrato de venda sem qualquer variação de preço que pudesse ser realizada entre partes conhecedoras e interessadas, em transação sem </w:t>
      </w:r>
      <w:r w:rsidRPr="00214DB2">
        <w:rPr>
          <w:rFonts w:asciiTheme="minorHAnsi" w:eastAsia="Times New Roman" w:hAnsiTheme="minorHAnsi" w:cstheme="minorHAnsi"/>
          <w:strike/>
          <w:sz w:val="24"/>
          <w:szCs w:val="24"/>
        </w:rPr>
        <w:lastRenderedPageBreak/>
        <w:t>favorecimentos, se a troca e o término não forem simultâneos.</w:t>
      </w:r>
      <w:r w:rsidRPr="00214DB2">
        <w:rPr>
          <w:rFonts w:asciiTheme="minorHAnsi" w:eastAsia="Times New Roman" w:hAnsiTheme="minorHAnsi" w:cstheme="minorHAnsi"/>
          <w:color w:val="0070C0"/>
          <w:sz w:val="24"/>
          <w:szCs w:val="24"/>
        </w:rPr>
        <w:t xml:space="preserve"> (Eliminado pela NBC TSP 06 (R1))</w:t>
      </w:r>
    </w:p>
    <w:p w14:paraId="365CFFF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8D4EDE4"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49.</w:t>
      </w:r>
      <w:r w:rsidRPr="00214DB2">
        <w:rPr>
          <w:rFonts w:asciiTheme="minorHAnsi" w:eastAsia="Times New Roman" w:hAnsiTheme="minorHAnsi" w:cstheme="minorHAnsi"/>
          <w:strike/>
          <w:sz w:val="24"/>
          <w:szCs w:val="24"/>
        </w:rPr>
        <w:tab/>
        <w:t>O valor justo da propriedade para investimento reflete, entre outras coisas, as receitas provenientes de arrendamentos correntes e premissas razoáveis e fundamentadas que representem aquilo que partes conhecedoras e interessadas, em transação sem favorecimentos, assumiriam acerca da receita de futuros arrendamentos à luz de condições correntes. Também reflete, em base semelhante, quaisquer saídas de caixa (incluindo pagamentos de receita e outras saídas) que possam ser esperadas em relação à propriedade. Algumas dessas saídas de caixa estão refletidas no passivo, enquanto outras se relacionam com saídas de caixa que não são reconhecidas nas demonstrações contábeis até data posterior.</w:t>
      </w:r>
    </w:p>
    <w:p w14:paraId="0BB71607"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9D4C7FD"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49.</w:t>
      </w:r>
      <w:r w:rsidRPr="00214DB2">
        <w:rPr>
          <w:rFonts w:asciiTheme="minorHAnsi" w:eastAsia="Times New Roman" w:hAnsiTheme="minorHAnsi" w:cstheme="minorHAnsi"/>
          <w:sz w:val="24"/>
          <w:szCs w:val="24"/>
        </w:rPr>
        <w:tab/>
        <w:t>Ao mensurar o valor justo da propriedade para investimento em conformidade com o Apêndice D da NBC TSP 38, a entidade deve assegurar que o valor justo reflita, entre outras coisas, a receita de aluguel de arrendamentos atuais e outras premissas que os participantes do mercado usariam ao precificar a propriedade para investimento sob as condições correntes de mercado.</w:t>
      </w:r>
      <w:r w:rsidRPr="00214DB2">
        <w:rPr>
          <w:rFonts w:asciiTheme="minorHAnsi" w:eastAsia="Times New Roman" w:hAnsiTheme="minorHAnsi" w:cstheme="minorHAnsi"/>
          <w:color w:val="0070C0"/>
          <w:sz w:val="24"/>
          <w:szCs w:val="24"/>
        </w:rPr>
        <w:t xml:space="preserve"> (Alterado pela NBC TSP 06 (R1))</w:t>
      </w:r>
    </w:p>
    <w:p w14:paraId="4308E64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7777342"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49A. Quando o locatário utiliza o modelo do valor corrente para mensurar uma propriedade para investimento que é mantida como um ativo de direito de uso, deve-se mensurar o ativo de direito de uso, e não o ativo subjacente, ao valor justo. </w:t>
      </w:r>
      <w:r w:rsidRPr="00214DB2">
        <w:rPr>
          <w:rFonts w:asciiTheme="minorHAnsi" w:eastAsia="Times New Roman" w:hAnsiTheme="minorHAnsi" w:cstheme="minorHAnsi"/>
          <w:color w:val="0070C0"/>
          <w:sz w:val="24"/>
          <w:szCs w:val="24"/>
        </w:rPr>
        <w:t>(Incluído pela NBC TSP 06 (R1))</w:t>
      </w:r>
    </w:p>
    <w:p w14:paraId="4C8D84A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C2757DB"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50.</w:t>
      </w:r>
      <w:r w:rsidRPr="00214DB2">
        <w:rPr>
          <w:rFonts w:asciiTheme="minorHAnsi" w:eastAsia="Times New Roman" w:hAnsiTheme="minorHAnsi" w:cstheme="minorHAnsi"/>
          <w:sz w:val="24"/>
          <w:szCs w:val="24"/>
        </w:rPr>
        <w:tab/>
        <w:t>O item 34 especifica a base para o reconhecimento inicial do custo do direito sobre propriedade arrendada. O item 42 exige que o direito sobre propriedade arrendada seja remensurado, se necessário, pelo valor justo. Em arrendamento mercantil negociado a taxas de mercado, o valor justo de direito sobre propriedade arrendada na aquisição, líquido de todos os pagamentos esperados desse arrendamento (incluindo os relativos a passivos reconhecidos), deve ser zero. Esse valor justo não se altera para fins contábeis, independentemente de o ativo arrendado e o respectivo passivo serem reconhecidos pelo valor justo ou pelo valor presente dos pagamentos mínimos de arrendamento. Assim, remensurar o ativo arrendado a partir do custo, de acordo com o item 34, para o valor justo, de acordo com o item 42, não deve resultar em qualquer ganho ou perda inicial, a não ser que o valor justo seja mensurado em momentos diferentes. Isso pode ocorrer quando for feita a escolha para aplicar o modelo do valor justo após o reconhecimento inicial.</w:t>
      </w:r>
    </w:p>
    <w:p w14:paraId="3C624E31"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25E7B5B"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51.</w:t>
      </w:r>
      <w:r w:rsidRPr="00214DB2">
        <w:rPr>
          <w:rFonts w:asciiTheme="minorHAnsi" w:eastAsia="Times New Roman" w:hAnsiTheme="minorHAnsi" w:cstheme="minorHAnsi"/>
          <w:strike/>
          <w:sz w:val="24"/>
          <w:szCs w:val="24"/>
        </w:rPr>
        <w:tab/>
        <w:t>A definição de valor justo refere-se a “partes conhecedoras e interessadas”. Nesse contexto, “conhecedoras” significa que tanto o comprador quanto o vendedor interessado estão razoavelmente informados acerca da natureza e características da propriedade para investimento, dos seus usos reais e potenciais e das condições do mercado na data das demonstrações contábeis. O comprador interessado está motivado, mas não compelido, a comprar. Esse comprador não está nem ávido nem determinado a comprar por qualquer preço. O assumido comprador não pagaria preço mais elevado do que o exigido por mercado composto por compradores e vendedores conhecedores do negócio e interessados nele.</w:t>
      </w:r>
      <w:r w:rsidRPr="00214DB2">
        <w:rPr>
          <w:rFonts w:asciiTheme="minorHAnsi" w:eastAsia="Times New Roman" w:hAnsiTheme="minorHAnsi" w:cstheme="minorHAnsi"/>
          <w:color w:val="0070C0"/>
          <w:sz w:val="24"/>
          <w:szCs w:val="24"/>
        </w:rPr>
        <w:t xml:space="preserve"> (Eliminado pela NBC TSP 06 (R1))</w:t>
      </w:r>
    </w:p>
    <w:p w14:paraId="1DAF057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E714A92"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52.</w:t>
      </w:r>
      <w:r w:rsidRPr="00214DB2">
        <w:rPr>
          <w:rFonts w:asciiTheme="minorHAnsi" w:eastAsia="Times New Roman" w:hAnsiTheme="minorHAnsi" w:cstheme="minorHAnsi"/>
          <w:strike/>
          <w:sz w:val="24"/>
          <w:szCs w:val="24"/>
        </w:rPr>
        <w:tab/>
        <w:t xml:space="preserve">O vendedor interessado não é nem vendedor ávido nem compelido a vender a qualquer preço, nem preparado para resistir a preço não considerado razoável de acordo com as condições correntes do mercado. O vendedor interessado está motivado a vender a propriedade para </w:t>
      </w:r>
      <w:r w:rsidRPr="00214DB2">
        <w:rPr>
          <w:rFonts w:asciiTheme="minorHAnsi" w:eastAsia="Times New Roman" w:hAnsiTheme="minorHAnsi" w:cstheme="minorHAnsi"/>
          <w:strike/>
          <w:sz w:val="24"/>
          <w:szCs w:val="24"/>
        </w:rPr>
        <w:lastRenderedPageBreak/>
        <w:t>investimento nas condições de mercado pelo melhor preço possível. As circunstâncias do efetivo proprietário da propriedade para investimento no caso concreto não devem ser consideradas, uma vez que o vendedor interessado é proprietário hipotético (por exemplo, vendedor interessado não levaria em consideração as circunstâncias fiscais particulares do efetivo proprietário da propriedade para investimento).</w:t>
      </w:r>
      <w:r w:rsidRPr="00214DB2">
        <w:rPr>
          <w:rFonts w:asciiTheme="minorHAnsi" w:eastAsia="Times New Roman" w:hAnsiTheme="minorHAnsi" w:cstheme="minorHAnsi"/>
          <w:color w:val="0070C0"/>
          <w:sz w:val="24"/>
          <w:szCs w:val="24"/>
        </w:rPr>
        <w:t xml:space="preserve"> (Eliminado pela NBC TSP 06 (R1))</w:t>
      </w:r>
    </w:p>
    <w:p w14:paraId="3B46A08D"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F8A0F13"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53.</w:t>
      </w:r>
      <w:r w:rsidRPr="00214DB2">
        <w:rPr>
          <w:rFonts w:asciiTheme="minorHAnsi" w:eastAsia="Times New Roman" w:hAnsiTheme="minorHAnsi" w:cstheme="minorHAnsi"/>
          <w:strike/>
          <w:sz w:val="24"/>
          <w:szCs w:val="24"/>
        </w:rPr>
        <w:tab/>
        <w:t>A definição de valor justo refere-se a uma transação sem favorecimentos realizada entre partes conhecedoras e interessadas. Transação sem favorecimentos sob condições normais de mercado é a transação entre partes que não tenham relacionamento particular ou especial entre elas que torne os preços das transações não característicos das condições de mercado. A transação é tida como transação entre entidades não relacionadas, cada uma delas atuando independentemente.</w:t>
      </w:r>
      <w:r w:rsidRPr="00214DB2">
        <w:rPr>
          <w:rFonts w:asciiTheme="minorHAnsi" w:eastAsia="Times New Roman" w:hAnsiTheme="minorHAnsi" w:cstheme="minorHAnsi"/>
          <w:color w:val="0070C0"/>
          <w:sz w:val="24"/>
          <w:szCs w:val="24"/>
        </w:rPr>
        <w:t xml:space="preserve"> (Eliminado pela NBC TSP 06 (R1))</w:t>
      </w:r>
    </w:p>
    <w:p w14:paraId="0E711B2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42C6DE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54.</w:t>
      </w:r>
      <w:r w:rsidRPr="00214DB2">
        <w:rPr>
          <w:rFonts w:asciiTheme="minorHAnsi" w:eastAsia="Times New Roman" w:hAnsiTheme="minorHAnsi" w:cstheme="minorHAnsi"/>
          <w:strike/>
          <w:sz w:val="24"/>
          <w:szCs w:val="24"/>
        </w:rPr>
        <w:tab/>
        <w:t>A melhor evidência de valor justo é dada por preços correntes em mercado ativo de propriedades semelhantes no mesmo local e condição e sujeitas a arrendamentos mercantis e a outros contratos semelhantes. A entidade deve tratar de identificar quaisquer diferenças na natureza, local ou condição da propriedade, ou nos termos contratuais dos arrendamentos e de outros contratos relacionados com a propriedade.</w:t>
      </w:r>
      <w:r w:rsidRPr="00214DB2">
        <w:rPr>
          <w:rFonts w:asciiTheme="minorHAnsi" w:eastAsia="Times New Roman" w:hAnsiTheme="minorHAnsi" w:cstheme="minorHAnsi"/>
          <w:color w:val="0070C0"/>
          <w:sz w:val="24"/>
          <w:szCs w:val="24"/>
        </w:rPr>
        <w:t xml:space="preserve"> (Eliminado pela NBC TSP 06 (R1))</w:t>
      </w:r>
    </w:p>
    <w:p w14:paraId="5782227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6713BB9" w14:textId="77777777" w:rsidR="000D53EE" w:rsidRPr="00214DB2" w:rsidRDefault="00214DB2">
      <w:pPr>
        <w:spacing w:after="12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55.</w:t>
      </w:r>
      <w:r w:rsidRPr="00214DB2">
        <w:rPr>
          <w:rFonts w:asciiTheme="minorHAnsi" w:eastAsia="Times New Roman" w:hAnsiTheme="minorHAnsi" w:cstheme="minorHAnsi"/>
          <w:strike/>
          <w:sz w:val="24"/>
          <w:szCs w:val="24"/>
        </w:rPr>
        <w:tab/>
        <w:t>Na ausência de preços correntes em mercado ativo do gênero descrito no item 54, a entidade deve considerar a informação proveniente de várias fontes, incluindo:</w:t>
      </w:r>
    </w:p>
    <w:p w14:paraId="310CF1CA"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(a)</w:t>
      </w:r>
      <w:r w:rsidRPr="00214DB2">
        <w:rPr>
          <w:rFonts w:asciiTheme="minorHAnsi" w:eastAsia="Times New Roman" w:hAnsiTheme="minorHAnsi" w:cstheme="minorHAnsi"/>
          <w:strike/>
          <w:sz w:val="24"/>
          <w:szCs w:val="24"/>
        </w:rPr>
        <w:tab/>
        <w:t>preços correntes em mercado ativo de propriedades de diferente natureza, condição ou localização (ou sujeitas a diferentes arrendamentos mercantis ou outros contratos), ajustados para refletir essas diferenças;</w:t>
      </w:r>
    </w:p>
    <w:p w14:paraId="58A49418"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(b)</w:t>
      </w:r>
      <w:r w:rsidRPr="00214DB2">
        <w:rPr>
          <w:rFonts w:asciiTheme="minorHAnsi" w:eastAsia="Times New Roman" w:hAnsiTheme="minorHAnsi" w:cstheme="minorHAnsi"/>
          <w:strike/>
          <w:sz w:val="24"/>
          <w:szCs w:val="24"/>
        </w:rPr>
        <w:tab/>
        <w:t>preços recentes de propriedades semelhantes em mercados menos ativos, com ajustes para refletir quaisquer alterações nas condições econômicas desde a data das transações que ocorreram sob esses preços; e</w:t>
      </w:r>
    </w:p>
    <w:p w14:paraId="3CD24206"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(c)</w:t>
      </w:r>
      <w:r w:rsidRPr="00214DB2">
        <w:rPr>
          <w:rFonts w:asciiTheme="minorHAnsi" w:eastAsia="Times New Roman" w:hAnsiTheme="minorHAnsi" w:cstheme="minorHAnsi"/>
          <w:strike/>
          <w:sz w:val="24"/>
          <w:szCs w:val="24"/>
        </w:rPr>
        <w:tab/>
        <w:t>projeções de fluxos de caixa descontados com base em estimativas confiáveis de futuros fluxos de caixa, suportadas pelos termos de qualquer arrendamento mercantil e de outros contratos existentes e (quando possível) por evidência externa, tal como rendas correntes de mercado de propriedades semelhantes no mesmo local e condição, e utilizando taxas de desconto que reflitam avaliações correntes de mercado quanto à incerteza na quantia e  no prazo dos fluxos de caixa.</w:t>
      </w:r>
      <w:r w:rsidRPr="00214DB2">
        <w:rPr>
          <w:rFonts w:asciiTheme="minorHAnsi" w:eastAsia="Times New Roman" w:hAnsiTheme="minorHAnsi" w:cstheme="minorHAnsi"/>
          <w:color w:val="0070C0"/>
          <w:sz w:val="24"/>
          <w:szCs w:val="24"/>
        </w:rPr>
        <w:t xml:space="preserve"> (Eliminado pela NBC TSP 06 (R1))</w:t>
      </w:r>
    </w:p>
    <w:p w14:paraId="693BA9D5"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0EF3F6D"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56.</w:t>
      </w:r>
      <w:r w:rsidRPr="00214DB2">
        <w:rPr>
          <w:rFonts w:asciiTheme="minorHAnsi" w:eastAsia="Times New Roman" w:hAnsiTheme="minorHAnsi" w:cstheme="minorHAnsi"/>
          <w:strike/>
          <w:sz w:val="24"/>
          <w:szCs w:val="24"/>
        </w:rPr>
        <w:tab/>
        <w:t>Em alguns casos, as várias fontes listadas no item anterior podem sugerir conclusões diferentes quanto ao valor justo da propriedade para investimento. A entidade deve considerar as razões dessas diferenças, com o objetivo de chegar à estimativa mais confiável do valor justo dentro de intervalo de estimativas razoáveis de valor justo.</w:t>
      </w:r>
      <w:r w:rsidRPr="00214DB2">
        <w:rPr>
          <w:rFonts w:asciiTheme="minorHAnsi" w:eastAsia="Times New Roman" w:hAnsiTheme="minorHAnsi" w:cstheme="minorHAnsi"/>
          <w:color w:val="0070C0"/>
          <w:sz w:val="24"/>
          <w:szCs w:val="24"/>
        </w:rPr>
        <w:t xml:space="preserve"> (Eliminado pela NBC TSP 06 (R1))</w:t>
      </w:r>
    </w:p>
    <w:p w14:paraId="6560F36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36719E6"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57.</w:t>
      </w:r>
      <w:r w:rsidRPr="00214DB2">
        <w:rPr>
          <w:rFonts w:asciiTheme="minorHAnsi" w:eastAsia="Times New Roman" w:hAnsiTheme="minorHAnsi" w:cstheme="minorHAnsi"/>
          <w:sz w:val="24"/>
          <w:szCs w:val="24"/>
        </w:rPr>
        <w:tab/>
        <w:t>Em casos excepcionais, quando a entidade adquire pela primeira vez uma propriedade para investimento (ou quando a propriedade existente se torna pela primeira vez propriedade para investimento após a alteração em seu uso), há clara evidência de que a variabilidade no intervalo de estimativas razoáveis de valor justo seria tão grande, e as probabilidades dos vários efeitos tão difíceis de avaliar, que a utilidade de uma única estimativa de valor justo se torna inexistente. Isso pode indicar que o valor justo da propriedade não é determinável confiavelmente de forma contínua (ver item 62).</w:t>
      </w:r>
    </w:p>
    <w:p w14:paraId="3559781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46063D8" w14:textId="77777777" w:rsidR="000D53EE" w:rsidRPr="00214DB2" w:rsidRDefault="00214DB2">
      <w:pPr>
        <w:spacing w:after="12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lastRenderedPageBreak/>
        <w:t>58.</w:t>
      </w:r>
      <w:r w:rsidRPr="00214DB2">
        <w:rPr>
          <w:rFonts w:asciiTheme="minorHAnsi" w:eastAsia="Times New Roman" w:hAnsiTheme="minorHAnsi" w:cstheme="minorHAnsi"/>
          <w:strike/>
          <w:sz w:val="24"/>
          <w:szCs w:val="24"/>
        </w:rPr>
        <w:tab/>
        <w:t>O valor justo difere do valor em uso, tal como definido na NBC TSP 09 – Redução ao Valor Recuperável de Ativo Não Gerador de Caixa e na NBC TSP 10 – Redução ao Valor Recuperável de Ativo Gerador de Caixa. O valor justo reflete o conhecimento e as estimativas de compradores e vendedores conhecedores do negócio e interessados nele. Em contraste, o valor em uso reflete as estimativas da entidade, incluindo os efeitos de fatores que podem ser específicos da entidade e não aplicáveis às entidades em geral. Por exemplo, o valor justo não reflete qualquer dos seguintes fatores, na medida em que não estariam geralmente disponíveis para compradores e vendedores conhecedores do negócio e nele interessados:</w:t>
      </w:r>
    </w:p>
    <w:p w14:paraId="40E3215F"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(a)</w:t>
      </w:r>
      <w:r w:rsidRPr="00214DB2">
        <w:rPr>
          <w:rFonts w:asciiTheme="minorHAnsi" w:eastAsia="Times New Roman" w:hAnsiTheme="minorHAnsi" w:cstheme="minorHAnsi"/>
          <w:strike/>
          <w:sz w:val="24"/>
          <w:szCs w:val="24"/>
        </w:rPr>
        <w:tab/>
        <w:t>valor adicional derivado da criação de carteira de propriedades em diferentes localizações;</w:t>
      </w:r>
    </w:p>
    <w:p w14:paraId="6484136C"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(b)</w:t>
      </w:r>
      <w:r w:rsidRPr="00214DB2">
        <w:rPr>
          <w:rFonts w:asciiTheme="minorHAnsi" w:eastAsia="Times New Roman" w:hAnsiTheme="minorHAnsi" w:cstheme="minorHAnsi"/>
          <w:strike/>
          <w:sz w:val="24"/>
          <w:szCs w:val="24"/>
        </w:rPr>
        <w:tab/>
        <w:t>sinergias entre propriedades para investimento e outros ativos;</w:t>
      </w:r>
    </w:p>
    <w:p w14:paraId="39EA153D"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(c)</w:t>
      </w:r>
      <w:r w:rsidRPr="00214DB2">
        <w:rPr>
          <w:rFonts w:asciiTheme="minorHAnsi" w:eastAsia="Times New Roman" w:hAnsiTheme="minorHAnsi" w:cstheme="minorHAnsi"/>
          <w:strike/>
          <w:sz w:val="24"/>
          <w:szCs w:val="24"/>
        </w:rPr>
        <w:tab/>
        <w:t>direitos ou restrições legais que somente sejam específicos ao proprietário atual; e</w:t>
      </w:r>
    </w:p>
    <w:p w14:paraId="643D9A6D"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(d)</w:t>
      </w:r>
      <w:r w:rsidRPr="00214DB2">
        <w:rPr>
          <w:rFonts w:asciiTheme="minorHAnsi" w:eastAsia="Times New Roman" w:hAnsiTheme="minorHAnsi" w:cstheme="minorHAnsi"/>
          <w:strike/>
          <w:sz w:val="24"/>
          <w:szCs w:val="24"/>
        </w:rPr>
        <w:tab/>
        <w:t>benefícios ou encargos tributários que sejam específicos ao proprietário atual.</w:t>
      </w:r>
      <w:r w:rsidRPr="00214DB2">
        <w:rPr>
          <w:rFonts w:asciiTheme="minorHAnsi" w:eastAsia="Times New Roman" w:hAnsiTheme="minorHAnsi" w:cstheme="minorHAnsi"/>
          <w:color w:val="0070C0"/>
          <w:sz w:val="24"/>
          <w:szCs w:val="24"/>
        </w:rPr>
        <w:t xml:space="preserve"> (Item eliminado pela NBC TSP 06 (R1))</w:t>
      </w:r>
    </w:p>
    <w:p w14:paraId="2A5A3C90"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2D2288B"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59.</w:t>
      </w:r>
      <w:r w:rsidRPr="00214DB2">
        <w:rPr>
          <w:rFonts w:asciiTheme="minorHAnsi" w:eastAsia="Times New Roman" w:hAnsiTheme="minorHAnsi" w:cstheme="minorHAnsi"/>
          <w:sz w:val="24"/>
          <w:szCs w:val="24"/>
        </w:rPr>
        <w:tab/>
        <w:t xml:space="preserve">Ao determinar o valor justo da propriedade para investimento, a entidade não deve contar duplamente ativos ou passivos que são reconhecidos como ativos ou passivos separados. Por exemplo: </w:t>
      </w:r>
    </w:p>
    <w:p w14:paraId="336A3A3C"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w:t>
      </w:r>
      <w:r w:rsidRPr="00214DB2">
        <w:rPr>
          <w:rFonts w:asciiTheme="minorHAnsi" w:eastAsia="Times New Roman" w:hAnsiTheme="minorHAnsi" w:cstheme="minorHAnsi"/>
          <w:sz w:val="24"/>
          <w:szCs w:val="24"/>
        </w:rPr>
        <w:tab/>
        <w:t>equipamentos, tais como elevadores ou aparelhos de ar-condicionado, são muitas vezes parte integrante da edificação e estão geralmente incluídos no valor justo da propriedade para investimento, não sendo reconhecidos separadamente como ativo imobilizado;</w:t>
      </w:r>
    </w:p>
    <w:p w14:paraId="0D48CC31"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(b)</w:t>
      </w:r>
      <w:r w:rsidRPr="00214DB2">
        <w:rPr>
          <w:rFonts w:asciiTheme="minorHAnsi" w:eastAsia="Times New Roman" w:hAnsiTheme="minorHAnsi" w:cstheme="minorHAnsi"/>
          <w:sz w:val="24"/>
          <w:szCs w:val="24"/>
        </w:rPr>
        <w:tab/>
        <w:t>se o escritório for arrendado mobiliado, o valor justo do escritório inclui geralmente o valor justo da mobília, porque a receita do arrendamento se relaciona com o escritório mobiliado. Quando a mobília for incluída no valor justo da propriedade para investimento, a entidade não deve reconhecer a mobília como ativo separado;</w:t>
      </w:r>
    </w:p>
    <w:p w14:paraId="3CCE36B6"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(c)</w:t>
      </w:r>
      <w:r w:rsidRPr="00214DB2">
        <w:rPr>
          <w:rFonts w:asciiTheme="minorHAnsi" w:eastAsia="Times New Roman" w:hAnsiTheme="minorHAnsi" w:cstheme="minorHAnsi"/>
          <w:sz w:val="24"/>
          <w:szCs w:val="24"/>
        </w:rPr>
        <w:tab/>
        <w:t>o valor justo da propriedade para investimento exclui a receita de arrendamento mercantil operacional recebida antecipadamente ou apropriada por competência porque a entidade a reconhece como passivo ou ativo separado;</w:t>
      </w:r>
    </w:p>
    <w:p w14:paraId="4E15C5D3"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(d)</w:t>
      </w:r>
      <w:r w:rsidRPr="00214DB2">
        <w:rPr>
          <w:rFonts w:asciiTheme="minorHAnsi" w:eastAsia="Times New Roman" w:hAnsiTheme="minorHAnsi" w:cstheme="minorHAnsi"/>
          <w:sz w:val="24"/>
          <w:szCs w:val="24"/>
        </w:rPr>
        <w:tab/>
        <w:t>o valor justo da propriedade para investimento mantida em arrendamento mercantil reflete os fluxos de caixa esperados. Assim, se a avaliação obtida para a propriedade for líquida de todos os recebimentos que se esperam que sejam feitos, é necessário voltar a adicionar qualquer passivo de arrendamento reconhecido para atingir o valor contábil da propriedade para investimento, utilizando o modelo do valor justo.</w:t>
      </w:r>
    </w:p>
    <w:p w14:paraId="34530419"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FD101C1"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trike/>
          <w:sz w:val="24"/>
          <w:szCs w:val="24"/>
        </w:rPr>
        <w:t>60.</w:t>
      </w:r>
      <w:r w:rsidRPr="00214DB2">
        <w:rPr>
          <w:rFonts w:asciiTheme="minorHAnsi" w:eastAsia="Times New Roman" w:hAnsiTheme="minorHAnsi" w:cstheme="minorHAnsi"/>
          <w:strike/>
          <w:sz w:val="24"/>
          <w:szCs w:val="24"/>
        </w:rPr>
        <w:tab/>
        <w:t>O valor justo da propriedade para investimento não reflete os investimentos futuros de capital fixo que melhorem ou aumentem a propriedade, e não reflete os benefícios futuros relacionados a esses gastos.</w:t>
      </w:r>
      <w:r w:rsidRPr="00214DB2">
        <w:rPr>
          <w:rFonts w:asciiTheme="minorHAnsi" w:eastAsia="Times New Roman" w:hAnsiTheme="minorHAnsi" w:cstheme="minorHAnsi"/>
          <w:color w:val="0070C0"/>
          <w:sz w:val="24"/>
          <w:szCs w:val="24"/>
        </w:rPr>
        <w:t xml:space="preserve"> (Eliminado pela NBC TSP 06 (R1))</w:t>
      </w:r>
    </w:p>
    <w:p w14:paraId="403D3EAD"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89A4C8A"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61.</w:t>
      </w:r>
      <w:r w:rsidRPr="00214DB2">
        <w:rPr>
          <w:rFonts w:asciiTheme="minorHAnsi" w:eastAsia="Times New Roman" w:hAnsiTheme="minorHAnsi" w:cstheme="minorHAnsi"/>
          <w:sz w:val="24"/>
          <w:szCs w:val="24"/>
        </w:rPr>
        <w:tab/>
        <w:t>Em alguns casos, a entidade espera que o valor presente dos seus pagamentos relacionados com a propriedade para investimento (que não sejam pagamentos relacionados com passivos reconhecidos) exceda o valor presente dos respectivos recebimentos de caixa. A entidade deve aplicar a NBC TSP 03 – Provisões, Passivos Contingentes e Ativos Contingentes para determinar se reconhece o passivo e, nesse caso, como mensurá-lo.</w:t>
      </w:r>
    </w:p>
    <w:p w14:paraId="22770DD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C5BDF48" w14:textId="77777777" w:rsidR="000D53EE" w:rsidRPr="00214DB2" w:rsidRDefault="00214DB2">
      <w:pPr>
        <w:spacing w:after="0" w:line="240" w:lineRule="auto"/>
        <w:ind w:left="567" w:hanging="567"/>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Incapacidade de determinar confiavelmente o valor justo</w:t>
      </w:r>
    </w:p>
    <w:p w14:paraId="7B919AA1"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BE60BA6"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lastRenderedPageBreak/>
        <w:t>62.</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Há uma premissa refutável de que a entidade pode determinar confiavelmente o valor justo da propriedade para investimento de forma contínua. Porém, em casos excepcionais, quando a entidade adquire, pela primeira vez, uma propriedade para investimento (ou quando a propriedade existente se torna, pela primeira vez, propriedade para investimento após a alteração em seu uso), há clara evidência de que o valor justo da propriedade para investimento não é determinável confiavelmente de forma contínua. Isso ocorre quando, e apenas quando, são pouco frequentes as transações de mercado comparáveis e quando não estão disponíveis estimativas alternativas confiáveis de valor justo (por exemplo, com base em projeções de fluxos de caixa descontados). Em tais casos, a entidade deve mensurar essa propriedade para investimento, utilizando o modelo do custo da NBC TSP 07. O valor residual da propriedade para investimento deve ser assumido como sendo zero. A entidade deve aplicar a NBC TSP 07 até a alienação da propriedade para investimento.</w:t>
      </w:r>
    </w:p>
    <w:p w14:paraId="6359AE3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27CE500"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62.</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Há uma premissa refutável de que a entidade pode determinar confiavelmente o valor justo da propriedade para investimento de forma contínua. Porém, em casos excepcionais, quando a entidade adquire, pela primeira vez, uma propriedade para investimento (ou quando a propriedade existente se torna, pela primeira vez, propriedade para investimento após a alteração em seu uso), há clara evidência de que o valor justo da propriedade para investimento não é determinável confiavelmente de forma contínua. Isso surge quando, e somente quando, o mercado para propriedades comparáveis é inativo (por exemplo, há poucas transações recentes, as cotações de preços não são atuais ou os preços de transação observados indicam que o vendedor foi forçado a vender) e mensurações alternativas confiáveis de valor justo (por exemplo, com base em projeções de fluxo de caixa descontado) não estão disponíveis. Se a entidade determinar que o valor justo de uma propriedade para investimento em construção não é mensurável confiavelmente, mas espera que o valor justo da propriedade seja mensurado confiavelmente quando a construção for concluída, ela deve mensurar essa propriedade para investimento em construção pelo custo histórico até que seu valor justo se torne mensurável confiavelmente ou a construção seja concluída (o que ocorrer primeiro). Se a entidade determinar que o valor justo de uma propriedade para investimento (exceto uma propriedade para investimento em construção) não é mensurável confiavelmente de forma contínua, a entidade deve mensurar essa propriedade para investimento utilizando o modelo do custo histórico da NBC TSP 37 para propriedade para investimento própria ou em conformidade com a NBC TSP 35 para propriedade para investimento detida por um locatário como ativo de direito de uso. O valor residual da propriedade para investimento deve ser assumido como zero. A entidade deve continuar a aplicar a NBC TSP 35 ou a NBC TSP 37 até a alienação da propriedade para investimento.</w:t>
      </w:r>
      <w:r w:rsidRPr="00214DB2">
        <w:rPr>
          <w:rFonts w:asciiTheme="minorHAnsi" w:eastAsia="Times New Roman" w:hAnsiTheme="minorHAnsi" w:cstheme="minorHAnsi"/>
          <w:color w:val="0070C0"/>
          <w:sz w:val="24"/>
          <w:szCs w:val="24"/>
        </w:rPr>
        <w:t xml:space="preserve"> (Alterado pela NBC TSP 06 (R1))</w:t>
      </w:r>
    </w:p>
    <w:p w14:paraId="0C69D7E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38C03B8"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62A.</w:t>
      </w:r>
      <w:r w:rsidRPr="00214DB2">
        <w:rPr>
          <w:rFonts w:asciiTheme="minorHAnsi" w:eastAsia="Times New Roman" w:hAnsiTheme="minorHAnsi" w:cstheme="minorHAnsi"/>
          <w:strike/>
          <w:sz w:val="24"/>
          <w:szCs w:val="24"/>
        </w:rPr>
        <w:tab/>
        <w:t>Quando a entidade estiver apta a mensurar confiavelmente o valor justo da propriedade para investimento em construção que tenha sido previamente mensurada pelo custo, ela deve mensurá-la pelo seu valor justo. Quando a construção dessa propriedade for finalizada, presume-se que seu valor justo possa ser mensurado confiavelmente. Se não for o caso, de acordo com o item 62, a propriedade deve ser contabilizada pelo modelo do custo, conforme a NBC TSP 07.</w:t>
      </w:r>
    </w:p>
    <w:p w14:paraId="3D779C07"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0A97C34"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62A.</w:t>
      </w:r>
      <w:r w:rsidRPr="00214DB2">
        <w:rPr>
          <w:rFonts w:asciiTheme="minorHAnsi" w:eastAsia="Times New Roman" w:hAnsiTheme="minorHAnsi" w:cstheme="minorHAnsi"/>
          <w:sz w:val="24"/>
          <w:szCs w:val="24"/>
        </w:rPr>
        <w:tab/>
        <w:t xml:space="preserve">Quando a entidade estiver apta a mensurar confiavelmente o valor justo da propriedade para investimento em construção que tenha sido previamente mensurada pelo custo, ela deve mensurá-la pelo seu valor justo. Quando a construção dessa propriedade for finalizada, presume-se que seu valor justo possa ser mensurado confiavelmente. Se não for o caso, de </w:t>
      </w:r>
      <w:r w:rsidRPr="00214DB2">
        <w:rPr>
          <w:rFonts w:asciiTheme="minorHAnsi" w:eastAsia="Times New Roman" w:hAnsiTheme="minorHAnsi" w:cstheme="minorHAnsi"/>
          <w:sz w:val="24"/>
          <w:szCs w:val="24"/>
        </w:rPr>
        <w:lastRenderedPageBreak/>
        <w:t>acordo com o item 62, a propriedade deve ser contabilizada pelo modelo do custo, conforme a NBC TSP 37 para ativos próprios ou NBC TSP 35 para propriedade para investimento detida por um arrendatário como ativo de direito de uso.</w:t>
      </w:r>
      <w:r w:rsidRPr="00214DB2">
        <w:rPr>
          <w:rFonts w:asciiTheme="minorHAnsi" w:eastAsia="Times New Roman" w:hAnsiTheme="minorHAnsi" w:cstheme="minorHAnsi"/>
          <w:color w:val="0070C0"/>
          <w:sz w:val="24"/>
          <w:szCs w:val="24"/>
        </w:rPr>
        <w:t xml:space="preserve"> (Alterado pela NBC TSP 06 (R1))</w:t>
      </w:r>
    </w:p>
    <w:p w14:paraId="710EB18D"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BBE662E"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62B.</w:t>
      </w:r>
      <w:r w:rsidRPr="00214DB2">
        <w:rPr>
          <w:rFonts w:asciiTheme="minorHAnsi" w:eastAsia="Times New Roman" w:hAnsiTheme="minorHAnsi" w:cstheme="minorHAnsi"/>
          <w:sz w:val="24"/>
          <w:szCs w:val="24"/>
        </w:rPr>
        <w:tab/>
        <w:t>A premissa de que o valor justo da propriedade para investimento em construção possa ser mensurado confiavelmente pode ser refutada somente no reconhecimento inicial. A entidade que tenha mensurado um item da propriedade para investimento em construção pelo valor justo não pode concluir que o valor justo da propriedade para investimento cuja construção tenha sido finalizada não possa ser determinado confiavelmente.</w:t>
      </w:r>
    </w:p>
    <w:p w14:paraId="3262EB9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7F4195B"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63.</w:t>
      </w:r>
      <w:r w:rsidRPr="00214DB2">
        <w:rPr>
          <w:rFonts w:asciiTheme="minorHAnsi" w:eastAsia="Times New Roman" w:hAnsiTheme="minorHAnsi" w:cstheme="minorHAnsi"/>
          <w:strike/>
          <w:sz w:val="24"/>
          <w:szCs w:val="24"/>
        </w:rPr>
        <w:tab/>
        <w:t>Nos casos excepcionais em que a entidade seja compelida, pela razão dada no item 62, a mensurar uma propriedade para investimento, utilizando o modelo do custo, de acordo com a NBC TSP 07, ela deve mensurar todas as suas outras propriedades para investimento pelo valor justo. Nesses casos, embora a entidade possa utilizar o modelo do custo para uma propriedade para investimento, a entidade deve continuar a contabilizar cada uma das propriedades restantes utilizando o modelo do valor justo.</w:t>
      </w:r>
    </w:p>
    <w:p w14:paraId="0A7D7F5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B8A164E"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63.</w:t>
      </w:r>
      <w:r w:rsidRPr="00214DB2">
        <w:rPr>
          <w:rFonts w:asciiTheme="minorHAnsi" w:eastAsia="Times New Roman" w:hAnsiTheme="minorHAnsi" w:cstheme="minorHAnsi"/>
          <w:sz w:val="24"/>
          <w:szCs w:val="24"/>
        </w:rPr>
        <w:tab/>
        <w:t>Nos casos excepcionais em que a entidade seja compelida, pela razão dada no item 62, a mensurar uma propriedade para investimento, utilizando o modelo do custo, de acordo com a NBC TSP 37 ou NBC TSP 35, ela deve mensurar todas as suas outras propriedades para investimento pelo valor justo. Nesses casos, embora a entidade possa utilizar o modelo do custo histórico para uma propriedade para investimento, a entidade deve continuar a contabilizar cada uma das propriedades restantes utilizando o modelo do valor corrente.</w:t>
      </w:r>
      <w:r w:rsidRPr="00214DB2">
        <w:rPr>
          <w:rFonts w:asciiTheme="minorHAnsi" w:eastAsia="Times New Roman" w:hAnsiTheme="minorHAnsi" w:cstheme="minorHAnsi"/>
          <w:color w:val="0070C0"/>
          <w:sz w:val="24"/>
          <w:szCs w:val="24"/>
        </w:rPr>
        <w:t xml:space="preserve"> (Alterado pela NBC TSP 06 (R1))</w:t>
      </w:r>
    </w:p>
    <w:p w14:paraId="4B865393"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B4112CE"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64.</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Se a entidade tiver previamente mensurado a propriedade para investimento pelo valor justo, ela deve continuar a mensurar a propriedade pelo valor justo até sua alienação (ou até que a propriedade se torne propriedade ocupada pelo proprietário ou a entidade comece a desenvolver a propriedade para subsequente venda no curso normal das operações), mesmo que transações de mercado comparáveis se tornem menos frequentes ou que os preços do mercado se tornem menos prontamente disponíveis.</w:t>
      </w:r>
    </w:p>
    <w:p w14:paraId="0A7B51F7"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8041E36" w14:textId="77777777" w:rsidR="000D53EE" w:rsidRPr="00214DB2" w:rsidRDefault="00214DB2">
      <w:pPr>
        <w:spacing w:after="0" w:line="240" w:lineRule="auto"/>
        <w:ind w:left="567" w:hanging="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b/>
          <w:strike/>
          <w:sz w:val="24"/>
          <w:szCs w:val="24"/>
        </w:rPr>
        <w:t>Modelo do custo</w:t>
      </w:r>
    </w:p>
    <w:p w14:paraId="1107E146" w14:textId="77777777" w:rsidR="000D53EE" w:rsidRPr="00214DB2" w:rsidRDefault="000D53EE">
      <w:pPr>
        <w:spacing w:after="0" w:line="240" w:lineRule="auto"/>
        <w:ind w:left="567" w:hanging="567"/>
        <w:jc w:val="both"/>
        <w:rPr>
          <w:rFonts w:asciiTheme="minorHAnsi" w:eastAsia="Times New Roman" w:hAnsiTheme="minorHAnsi" w:cstheme="minorHAnsi"/>
          <w:b/>
          <w:sz w:val="24"/>
          <w:szCs w:val="24"/>
        </w:rPr>
      </w:pPr>
    </w:p>
    <w:p w14:paraId="765A043B"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 xml:space="preserve">Modelo do custo histórico </w:t>
      </w:r>
      <w:r w:rsidRPr="00214DB2">
        <w:rPr>
          <w:rFonts w:asciiTheme="minorHAnsi" w:eastAsia="Times New Roman" w:hAnsiTheme="minorHAnsi" w:cstheme="minorHAnsi"/>
          <w:color w:val="0070C0"/>
          <w:sz w:val="24"/>
          <w:szCs w:val="24"/>
        </w:rPr>
        <w:t>(Alterado pela NBC TSP 06 (R1))</w:t>
      </w:r>
    </w:p>
    <w:p w14:paraId="76614869"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D23E373"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4D97DA2" w14:textId="77777777" w:rsidR="000D53EE" w:rsidRPr="00214DB2" w:rsidRDefault="00214DB2">
      <w:pPr>
        <w:spacing w:after="0" w:line="240" w:lineRule="auto"/>
        <w:ind w:left="567" w:hanging="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strike/>
          <w:sz w:val="24"/>
          <w:szCs w:val="24"/>
        </w:rPr>
        <w:t>65.</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Após o reconhecimento inicial, a entidade que escolher o modelo do custo deve mensurar todas as suas propriedades para investimento, de acordo com os requisitos da NBC TSP 07 para esse modelo, isto é, custo menos qualquer depreciação e perda por redução ao valor recuperável acumuladas.</w:t>
      </w:r>
    </w:p>
    <w:p w14:paraId="16B574F0"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A53E0CC" w14:textId="77777777" w:rsidR="000D53EE" w:rsidRPr="00214DB2" w:rsidRDefault="00214DB2">
      <w:pPr>
        <w:spacing w:after="120" w:line="240" w:lineRule="auto"/>
        <w:ind w:left="567" w:hanging="567"/>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65.</w:t>
      </w:r>
      <w:r w:rsidRPr="00214DB2">
        <w:rPr>
          <w:rFonts w:asciiTheme="minorHAnsi" w:eastAsia="Times New Roman" w:hAnsiTheme="minorHAnsi" w:cstheme="minorHAnsi"/>
          <w:b/>
          <w:sz w:val="24"/>
          <w:szCs w:val="24"/>
        </w:rPr>
        <w:tab/>
        <w:t>Após o reconhecimento inicial, a entidade que escolher o modelo de custo histórico deve mensurar a propriedade para investimento:</w:t>
      </w:r>
      <w:r w:rsidRPr="00214DB2">
        <w:rPr>
          <w:rFonts w:asciiTheme="minorHAnsi" w:eastAsia="Times New Roman" w:hAnsiTheme="minorHAnsi" w:cstheme="minorHAnsi"/>
          <w:color w:val="0070C0"/>
          <w:sz w:val="24"/>
          <w:szCs w:val="24"/>
        </w:rPr>
        <w:t xml:space="preserve"> (Alterado pela NBC TSP 06 (R1))</w:t>
      </w:r>
    </w:p>
    <w:p w14:paraId="0EE3C223" w14:textId="77777777" w:rsidR="000D53EE" w:rsidRPr="00214DB2" w:rsidRDefault="00214DB2">
      <w:pPr>
        <w:spacing w:after="120" w:line="240" w:lineRule="auto"/>
        <w:ind w:left="993" w:hanging="426"/>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(a)  em conformidade com a NBC TSP 36 – Ativo Não Circulante Mantido para Venda e Operação Descontinuada, se atender aos critérios para ser classificada como mantida para alienação (ou estiver incluída em grupo para alienação que é classificado como mantido para venda);</w:t>
      </w:r>
      <w:r w:rsidRPr="00214DB2">
        <w:rPr>
          <w:rFonts w:asciiTheme="minorHAnsi" w:eastAsia="Times New Roman" w:hAnsiTheme="minorHAnsi" w:cstheme="minorHAnsi"/>
          <w:color w:val="0070C0"/>
          <w:sz w:val="24"/>
          <w:szCs w:val="24"/>
        </w:rPr>
        <w:t xml:space="preserve"> (Incluído pela NBC TSP 06 (R1))</w:t>
      </w:r>
    </w:p>
    <w:p w14:paraId="529B6BE4" w14:textId="77777777" w:rsidR="000D53EE" w:rsidRPr="00214DB2" w:rsidRDefault="00214DB2">
      <w:pPr>
        <w:spacing w:after="120" w:line="240" w:lineRule="auto"/>
        <w:ind w:left="993" w:hanging="426"/>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lastRenderedPageBreak/>
        <w:t>(b) em conformidade com a NBC TSP 35, se for mantida por um arrendatário como ativo de direito de uso e não for mantida para alienação em conformidade com a NBC TSP 36;</w:t>
      </w:r>
      <w:r w:rsidRPr="00214DB2">
        <w:rPr>
          <w:rFonts w:asciiTheme="minorHAnsi" w:eastAsia="Times New Roman" w:hAnsiTheme="minorHAnsi" w:cstheme="minorHAnsi"/>
          <w:color w:val="0070C0"/>
          <w:sz w:val="24"/>
          <w:szCs w:val="24"/>
        </w:rPr>
        <w:t xml:space="preserve"> (Incluído pela NBC TSP 06 (R1))</w:t>
      </w:r>
      <w:r w:rsidRPr="00214DB2">
        <w:rPr>
          <w:rFonts w:asciiTheme="minorHAnsi" w:eastAsia="Times New Roman" w:hAnsiTheme="minorHAnsi" w:cstheme="minorHAnsi"/>
          <w:b/>
          <w:sz w:val="24"/>
          <w:szCs w:val="24"/>
        </w:rPr>
        <w:t xml:space="preserve"> e</w:t>
      </w:r>
    </w:p>
    <w:p w14:paraId="2F86E5FE" w14:textId="77777777" w:rsidR="000D53EE" w:rsidRPr="00214DB2" w:rsidRDefault="00214DB2">
      <w:pPr>
        <w:spacing w:after="120" w:line="240" w:lineRule="auto"/>
        <w:ind w:left="993" w:hanging="426"/>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(c) em conformidade com os requisitos da NBC TSP 37 pelo modelo de custo histórico em todos os outros casos.</w:t>
      </w:r>
      <w:r w:rsidRPr="00214DB2">
        <w:rPr>
          <w:rFonts w:asciiTheme="minorHAnsi" w:eastAsia="Times New Roman" w:hAnsiTheme="minorHAnsi" w:cstheme="minorHAnsi"/>
          <w:color w:val="0070C0"/>
          <w:sz w:val="24"/>
          <w:szCs w:val="24"/>
        </w:rPr>
        <w:t xml:space="preserve"> (Incluído pela NBC TSP 06 (R1))</w:t>
      </w:r>
    </w:p>
    <w:p w14:paraId="653204C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AEE5FBF" w14:textId="77777777" w:rsidR="000D53EE" w:rsidRPr="00214DB2" w:rsidRDefault="00214DB2">
      <w:pPr>
        <w:spacing w:after="0" w:line="240" w:lineRule="auto"/>
        <w:ind w:left="567" w:hanging="567"/>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Reclassificação</w:t>
      </w:r>
    </w:p>
    <w:p w14:paraId="35DBFC3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3680EBE" w14:textId="77777777" w:rsidR="000D53EE" w:rsidRPr="00214DB2" w:rsidRDefault="00214DB2">
      <w:pPr>
        <w:spacing w:after="120" w:line="240" w:lineRule="auto"/>
        <w:ind w:left="567" w:hanging="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strike/>
          <w:sz w:val="24"/>
          <w:szCs w:val="24"/>
        </w:rPr>
        <w:t>66.</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As reclassificações para ou de propriedade para investimento devem ser feitas quando, e apenas quando, houver alteração de uso, evidenciada pelo seguinte:</w:t>
      </w:r>
    </w:p>
    <w:p w14:paraId="5A0A6869"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66.</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As reclassificações para ou de propriedade para investimento devem ser feitas quando, e apenas quando, houver alteração de uso. Uma mudança de uso ocorre quando a propriedade atende, ou deixa de atender, à definição de propriedade para investimento e há evidência da mudança de uso. Isoladamente, uma mudança nas intenções da administração para o uso de uma propriedade não fornece evidência de uma mudança de uso. Exemplos de evidência de uma mudança de uso incluem:</w:t>
      </w:r>
      <w:r w:rsidRPr="00214DB2">
        <w:rPr>
          <w:rFonts w:asciiTheme="minorHAnsi" w:eastAsia="Times New Roman" w:hAnsiTheme="minorHAnsi" w:cstheme="minorHAnsi"/>
          <w:color w:val="0070C0"/>
          <w:sz w:val="24"/>
          <w:szCs w:val="24"/>
        </w:rPr>
        <w:t xml:space="preserve"> (Alterado pela NBC TSP 06 (R1))</w:t>
      </w:r>
    </w:p>
    <w:p w14:paraId="5C5478BB"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w:t>
      </w:r>
      <w:r w:rsidRPr="00214DB2">
        <w:rPr>
          <w:rFonts w:asciiTheme="minorHAnsi" w:eastAsia="Times New Roman" w:hAnsiTheme="minorHAnsi" w:cstheme="minorHAnsi"/>
          <w:b/>
          <w:sz w:val="24"/>
          <w:szCs w:val="24"/>
        </w:rPr>
        <w:tab/>
        <w:t>início da ocupação pelo proprietário, em relação à reclassificação de propriedade para investimento para propriedade ocupada pelo proprietário;</w:t>
      </w:r>
    </w:p>
    <w:p w14:paraId="2FA8900D"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(b)</w:t>
      </w:r>
      <w:r w:rsidRPr="00214DB2">
        <w:rPr>
          <w:rFonts w:asciiTheme="minorHAnsi" w:eastAsia="Times New Roman" w:hAnsiTheme="minorHAnsi" w:cstheme="minorHAnsi"/>
          <w:b/>
          <w:sz w:val="24"/>
          <w:szCs w:val="24"/>
        </w:rPr>
        <w:tab/>
        <w:t>início de desenvolvimento da propriedade com objetivo de venda, em relação à reclassificação de propriedade para investimento para estoque;</w:t>
      </w:r>
    </w:p>
    <w:p w14:paraId="70AB0EB3"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(c)</w:t>
      </w:r>
      <w:r w:rsidRPr="00214DB2">
        <w:rPr>
          <w:rFonts w:asciiTheme="minorHAnsi" w:eastAsia="Times New Roman" w:hAnsiTheme="minorHAnsi" w:cstheme="minorHAnsi"/>
          <w:b/>
          <w:sz w:val="24"/>
          <w:szCs w:val="24"/>
        </w:rPr>
        <w:tab/>
        <w:t>fim da ocupação pelo proprietário, em relação à reclassificação de propriedade ocupada pelo proprietário para propriedade para investimento; ou</w:t>
      </w:r>
    </w:p>
    <w:p w14:paraId="6D5FC9E8"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(d)</w:t>
      </w:r>
      <w:r w:rsidRPr="00214DB2">
        <w:rPr>
          <w:rFonts w:asciiTheme="minorHAnsi" w:eastAsia="Times New Roman" w:hAnsiTheme="minorHAnsi" w:cstheme="minorHAnsi"/>
          <w:b/>
          <w:sz w:val="24"/>
          <w:szCs w:val="24"/>
        </w:rPr>
        <w:tab/>
        <w:t>início de arrendamento mercantil operacional (com fins comerciais), em relação à reclassificação de estoque para propriedade para investimento;</w:t>
      </w:r>
    </w:p>
    <w:p w14:paraId="0ED1C43E"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(e)</w:t>
      </w:r>
      <w:r w:rsidRPr="00214DB2">
        <w:rPr>
          <w:rFonts w:asciiTheme="minorHAnsi" w:eastAsia="Times New Roman" w:hAnsiTheme="minorHAnsi" w:cstheme="minorHAnsi"/>
          <w:sz w:val="24"/>
          <w:szCs w:val="24"/>
        </w:rPr>
        <w:tab/>
        <w:t>(eliminada).</w:t>
      </w:r>
    </w:p>
    <w:p w14:paraId="206234D9" w14:textId="77777777" w:rsidR="000D53EE" w:rsidRPr="00214DB2" w:rsidRDefault="000D53EE">
      <w:pPr>
        <w:spacing w:after="0" w:line="240" w:lineRule="auto"/>
        <w:ind w:left="993" w:hanging="426"/>
        <w:jc w:val="both"/>
        <w:rPr>
          <w:rFonts w:asciiTheme="minorHAnsi" w:eastAsia="Times New Roman" w:hAnsiTheme="minorHAnsi" w:cstheme="minorHAnsi"/>
          <w:sz w:val="24"/>
          <w:szCs w:val="24"/>
        </w:rPr>
      </w:pPr>
    </w:p>
    <w:p w14:paraId="729236C1"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67.</w:t>
      </w:r>
      <w:r w:rsidRPr="00214DB2">
        <w:rPr>
          <w:rFonts w:asciiTheme="minorHAnsi" w:eastAsia="Times New Roman" w:hAnsiTheme="minorHAnsi" w:cstheme="minorHAnsi"/>
          <w:sz w:val="24"/>
          <w:szCs w:val="24"/>
        </w:rPr>
        <w:tab/>
        <w:t>O uso de propriedade para investimento pelo governo pode mudar ao longo do tempo. Por exemplo, o governo pode decidir ocupar um edifício atualmente utilizado como propriedade para investimento ou converter um edifício atualmente utilizado como quartel ou para finalidades administrativas em hotel e deixar tal edifício para operadores privados. No primeiro caso, o edifício deve ser contabilizado como propriedade para investimento até o início da ocupação. No último caso, o edifício deve ser contabilizado como ativo imobilizado até que sua ocupação tenha cessado, devendo ser reclassificado para propriedade para investimento.</w:t>
      </w:r>
    </w:p>
    <w:p w14:paraId="6E4B86B7"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27C1D61"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68.</w:t>
      </w:r>
      <w:r w:rsidRPr="00214DB2">
        <w:rPr>
          <w:rFonts w:asciiTheme="minorHAnsi" w:eastAsia="Times New Roman" w:hAnsiTheme="minorHAnsi" w:cstheme="minorHAnsi"/>
          <w:strike/>
          <w:sz w:val="24"/>
          <w:szCs w:val="24"/>
        </w:rPr>
        <w:tab/>
        <w:t>O item 66(b) exige que a entidade reclassifique a propriedade de propriedade para investimento para estoque quando, e apenas quando, houver alteração no uso, evidenciada pelo início de seu desenvolvimento com objetivo de venda. Quando a entidade decidir alienar a propriedade para investimento sem que a desenvolva para tanto, ela deve continuar a tratar a propriedade como propriedade para investimento até que ela seja desreconhecida (eliminada do balanço patrimonial), não devendo reclassificá-la para estoque. De forma semelhante, se a entidade iniciar o redesenvolvimento de propriedade para investimento existente com o objetivo de seu uso futuro contínuo como propriedade para investimento, a propriedade deve permanecer classificada como tal, não devendo ser reclassificada para propriedade ocupada pelo proprietário durante o redesenvolvimento.</w:t>
      </w:r>
    </w:p>
    <w:p w14:paraId="4E7FF8A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E737737"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68.</w:t>
      </w:r>
      <w:r w:rsidRPr="00214DB2">
        <w:rPr>
          <w:rFonts w:asciiTheme="minorHAnsi" w:eastAsia="Times New Roman" w:hAnsiTheme="minorHAnsi" w:cstheme="minorHAnsi"/>
          <w:sz w:val="24"/>
          <w:szCs w:val="24"/>
        </w:rPr>
        <w:tab/>
        <w:t>Quando a entidade decidir alienar a propriedade para investimento sem que a desenvolva para tanto, ela deve continuar a tratar a propriedade como propriedade para investimento até que ela seja desreconhecida (eliminada do balanço patrimonial), não devendo reclassificá-la para estoque. De forma semelhante, se a entidade iniciar o redesenvolvimento de propriedade para investimento existente com o objetivo de seu uso futuro contínuo como propriedade para investimento, a propriedade deve permanecer classificada como tal, não devendo ser reclassificada para propriedade ocupada pelo proprietário durante o redesenvolvimento.</w:t>
      </w:r>
      <w:r w:rsidRPr="00214DB2">
        <w:rPr>
          <w:rFonts w:asciiTheme="minorHAnsi" w:eastAsia="Times New Roman" w:hAnsiTheme="minorHAnsi" w:cstheme="minorHAnsi"/>
          <w:color w:val="0070C0"/>
          <w:sz w:val="24"/>
          <w:szCs w:val="24"/>
        </w:rPr>
        <w:t xml:space="preserve"> (Alterado pela NBC TSP 06 (R1))</w:t>
      </w:r>
    </w:p>
    <w:p w14:paraId="4EB12A35"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DAD1A0D"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69.</w:t>
      </w:r>
      <w:r w:rsidRPr="00214DB2">
        <w:rPr>
          <w:rFonts w:asciiTheme="minorHAnsi" w:eastAsia="Times New Roman" w:hAnsiTheme="minorHAnsi" w:cstheme="minorHAnsi"/>
          <w:sz w:val="24"/>
          <w:szCs w:val="24"/>
        </w:rPr>
        <w:tab/>
        <w:t>A secretaria de administração de propriedades pode revisar regularmente seus imóveis para determinar se eles satisfazem a seus requisitos e, como parte de tal processo, pode identificar e manter certos imóveis para venda. Em tal situação, o imóvel pode ser considerado estoque. Entretanto, se o governo decidir manter o imóvel pelo seu potencial de gerar receitas de aluguel e valorização do capital, ele deve ser reclassificado para propriedade para investimento no início de qualquer arrendamento mercantil operacional subsequente.</w:t>
      </w:r>
    </w:p>
    <w:p w14:paraId="74CD6D0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7DC1BE2"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70.</w:t>
      </w:r>
      <w:r w:rsidRPr="00214DB2">
        <w:rPr>
          <w:rFonts w:asciiTheme="minorHAnsi" w:eastAsia="Times New Roman" w:hAnsiTheme="minorHAnsi" w:cstheme="minorHAnsi"/>
          <w:sz w:val="24"/>
          <w:szCs w:val="24"/>
        </w:rPr>
        <w:tab/>
        <w:t>Os itens 71 a 76 aplicam-se aos aspectos de reconhecimento e mensuração correspondentes quando a entidade utiliza o modelo do valor justo para propriedades para investimento. Quando a entidade utilizar o modelo do custo, as reclassificações entre propriedade para investimento, propriedade ocupada pelo proprietário e estoque não alteram o valor contábil da propriedade transferida nem alteram o custo dessa propriedade para fins de mensuração ou divulgação.</w:t>
      </w:r>
    </w:p>
    <w:p w14:paraId="2226501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2DB7BE4" w14:textId="77777777" w:rsidR="000D53EE" w:rsidRPr="00214DB2" w:rsidRDefault="00214DB2">
      <w:pPr>
        <w:spacing w:after="0" w:line="240" w:lineRule="auto"/>
        <w:ind w:left="567" w:hanging="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strike/>
          <w:sz w:val="24"/>
          <w:szCs w:val="24"/>
        </w:rPr>
        <w:t>71.</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Nos casos de reclassificação de propriedade para investimento contabilizada pelo valor justo para propriedade ocupada pelo proprietário ou para estoque, o custo considerado da propriedade para subsequente contabilização, de acordo com a NBC TSP 07 ou a NBC TSP 04, deve ser o seu valor justo na data da alteração de uso.</w:t>
      </w:r>
    </w:p>
    <w:p w14:paraId="292CA52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0C7D1E2"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71.</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Nos casos de reclassificação de propriedade para investimento contabilizada pelo valor justo para propriedade ocupada pelo proprietário ou para estoque, o custo considerado da propriedade para subsequente contabilização, de acordo com a NBC TSP 37 ou a NBC TSP 04, deve ser o seu valor justo na data da alteração de uso.</w:t>
      </w:r>
      <w:r w:rsidRPr="00214DB2">
        <w:rPr>
          <w:rFonts w:asciiTheme="minorHAnsi" w:eastAsia="Times New Roman" w:hAnsiTheme="minorHAnsi" w:cstheme="minorHAnsi"/>
          <w:color w:val="0070C0"/>
          <w:sz w:val="24"/>
          <w:szCs w:val="24"/>
        </w:rPr>
        <w:t xml:space="preserve"> (Alterado pela NBC TSP 06 (R1))</w:t>
      </w:r>
    </w:p>
    <w:p w14:paraId="7CCB9E5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A868E9B"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72.</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Se a propriedade ocupada pelo proprietário se tornar propriedade para investimento que seja contabilizada pelo valor justo, a entidade deve aplicar a NBC TSP 07 até a data da alteração de uso. A entidade deve tratar qualquer diferença nessa data entre o valor contábil do imóvel de acordo com a NBC TSP 07 e o seu valor justo como reavaliação de acordo com a NBC TSP 07.</w:t>
      </w:r>
    </w:p>
    <w:p w14:paraId="071994D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B70EA34"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72.</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Se a propriedade ocupada pelo proprietário se tornar propriedade para investimento que seja contabilizada pelo valor justo, a entidade deve aplicar a NBC TSP 37 e pela NBC TSP 35 para propriedade detida por um locatário como um ativo de direito de uso até a data da mudança de uso. A entidade deve tratar qualquer diferença naquela data entre o valor contábil da propriedade em conformidade com a NBC TSP 37 ou a NBC TSP 35, e seu valor justo da mesma forma que uma reavaliação em conformidade com a NBC TSP 37.</w:t>
      </w:r>
      <w:r w:rsidRPr="00214DB2">
        <w:rPr>
          <w:rFonts w:asciiTheme="minorHAnsi" w:eastAsia="Times New Roman" w:hAnsiTheme="minorHAnsi" w:cstheme="minorHAnsi"/>
          <w:color w:val="0070C0"/>
          <w:sz w:val="24"/>
          <w:szCs w:val="24"/>
        </w:rPr>
        <w:t xml:space="preserve"> (Alterado pela NBC TSP 06 (R1))</w:t>
      </w:r>
    </w:p>
    <w:p w14:paraId="35D5B9C3"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34444D4" w14:textId="77777777" w:rsidR="000D53EE" w:rsidRPr="00214DB2" w:rsidRDefault="00214DB2">
      <w:pPr>
        <w:spacing w:after="12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lastRenderedPageBreak/>
        <w:t>73.</w:t>
      </w:r>
      <w:r w:rsidRPr="00214DB2">
        <w:rPr>
          <w:rFonts w:asciiTheme="minorHAnsi" w:eastAsia="Times New Roman" w:hAnsiTheme="minorHAnsi" w:cstheme="minorHAnsi"/>
          <w:strike/>
          <w:sz w:val="24"/>
          <w:szCs w:val="24"/>
        </w:rPr>
        <w:tab/>
        <w:t>Até a data em que a propriedade ocupada pelo proprietário se torne propriedade para investimento contabilizada pelo valor justo, a entidade deve depreciar a propriedade e reconhecer quaisquer perdas por redução ao valor recuperável que tenham ocorrido. A entidade trata qualquer diferença nessa data entre o valor contábil da propriedade de acordo com a NBC TSP 07 e o seu valor justo como reavaliação de acordo com a NBC TSP 07. Em outras palavras:</w:t>
      </w:r>
    </w:p>
    <w:p w14:paraId="4D1174CC"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73.</w:t>
      </w:r>
      <w:r w:rsidRPr="00214DB2">
        <w:rPr>
          <w:rFonts w:asciiTheme="minorHAnsi" w:eastAsia="Times New Roman" w:hAnsiTheme="minorHAnsi" w:cstheme="minorHAnsi"/>
          <w:sz w:val="24"/>
          <w:szCs w:val="24"/>
        </w:rPr>
        <w:tab/>
        <w:t>Até a data em que a propriedade ocupada pelo proprietário se torne propriedade para investimento contabilizada pelo valor justo, a entidade deve depreciar a propriedade e reconhecer quaisquer perdas por redução ao valor recuperável que tenham ocorrido. A entidade trata qualquer diferença nessa data entre o valor contábil da propriedade de acordo com a NBC TSP 37 ou NBC TSP 35 e o seu valor justo como reavaliação de acordo com a NBC TSP 37. Em outras palavras:</w:t>
      </w:r>
      <w:r w:rsidRPr="00214DB2">
        <w:rPr>
          <w:rFonts w:asciiTheme="minorHAnsi" w:eastAsia="Times New Roman" w:hAnsiTheme="minorHAnsi" w:cstheme="minorHAnsi"/>
          <w:color w:val="0070C0"/>
          <w:sz w:val="24"/>
          <w:szCs w:val="24"/>
        </w:rPr>
        <w:t xml:space="preserve"> (Alterado pela NBC TSP 06 (R1))</w:t>
      </w:r>
    </w:p>
    <w:p w14:paraId="31BA92A6"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w:t>
      </w:r>
      <w:r w:rsidRPr="00214DB2">
        <w:rPr>
          <w:rFonts w:asciiTheme="minorHAnsi" w:eastAsia="Times New Roman" w:hAnsiTheme="minorHAnsi" w:cstheme="minorHAnsi"/>
          <w:sz w:val="24"/>
          <w:szCs w:val="24"/>
        </w:rPr>
        <w:tab/>
        <w:t>qualquer diminuição no valor contábil da propriedade deve ser reconhecida no resultado do período. Porém, a diminuição deve ser contabilizada à conta de reserva de reavaliação até o limite de qualquer saldo existente na reserva de reavaliação referente àquela propriedade;</w:t>
      </w:r>
    </w:p>
    <w:p w14:paraId="5D98AA4B"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(b)</w:t>
      </w:r>
      <w:r w:rsidRPr="00214DB2">
        <w:rPr>
          <w:rFonts w:asciiTheme="minorHAnsi" w:eastAsia="Times New Roman" w:hAnsiTheme="minorHAnsi" w:cstheme="minorHAnsi"/>
          <w:sz w:val="24"/>
          <w:szCs w:val="24"/>
        </w:rPr>
        <w:tab/>
        <w:t>qualquer aumento no valor contábil deve ser tratado como se segue:</w:t>
      </w:r>
    </w:p>
    <w:p w14:paraId="44C9DDBB"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(i)</w:t>
      </w:r>
      <w:r w:rsidRPr="00214DB2">
        <w:rPr>
          <w:rFonts w:asciiTheme="minorHAnsi" w:eastAsia="Times New Roman" w:hAnsiTheme="minorHAnsi" w:cstheme="minorHAnsi"/>
          <w:sz w:val="24"/>
          <w:szCs w:val="24"/>
        </w:rPr>
        <w:tab/>
        <w:t>até o limite em que o aumento reverta perda anterior por redução ao valor recuperável para essa propriedade, o aumento deve ser reconhecido no resultado do período. A quantia reconhecida no resultado do período não pode exceder a quantia necessária para repor o saldo referente ao valor contábil que teria sido determinado (líquido de depreciação), caso nenhuma perda por redução ao valor recuperável tivesse sido reconhecida;</w:t>
      </w:r>
    </w:p>
    <w:p w14:paraId="0F4C2AA6" w14:textId="77777777" w:rsidR="000D53EE" w:rsidRPr="00214DB2" w:rsidRDefault="00214DB2">
      <w:pPr>
        <w:spacing w:after="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(ii)</w:t>
      </w:r>
      <w:r w:rsidRPr="00214DB2">
        <w:rPr>
          <w:rFonts w:asciiTheme="minorHAnsi" w:eastAsia="Times New Roman" w:hAnsiTheme="minorHAnsi" w:cstheme="minorHAnsi"/>
          <w:sz w:val="24"/>
          <w:szCs w:val="24"/>
        </w:rPr>
        <w:tab/>
        <w:t>qualquer parte remanescente do aumento deve ser creditada diretamente no patrimônio líquido, em reserva de reavaliação. Na alienação subsequente da propriedade para investimento, o saldo correspondente incluído na reserva de reavaliação constante do patrimônio líquido deve ser transferido para resultados acumulados. A reclassificação da reserva de reavaliação para resultados acumulados não deve transitar pelo resultado do período.</w:t>
      </w:r>
    </w:p>
    <w:p w14:paraId="780CE25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155159B"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74.</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Para a reclassificação de estoque para propriedade para investimento que seja contabilizada pelo valor justo, qualquer diferença entre o valor justo da propriedade nessa data e o seu valor contábil anterior deve ser reconhecida no resultado do período.</w:t>
      </w:r>
    </w:p>
    <w:p w14:paraId="582A8CA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3640A4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75.</w:t>
      </w:r>
      <w:r w:rsidRPr="00214DB2">
        <w:rPr>
          <w:rFonts w:asciiTheme="minorHAnsi" w:eastAsia="Times New Roman" w:hAnsiTheme="minorHAnsi" w:cstheme="minorHAnsi"/>
          <w:sz w:val="24"/>
          <w:szCs w:val="24"/>
        </w:rPr>
        <w:tab/>
        <w:t>O tratamento de reclassificação de estoque para propriedade para investimento, que é contabilizada pelo valor justo, deve ser consistente com o tratamento de venda de estoque.</w:t>
      </w:r>
    </w:p>
    <w:p w14:paraId="5FEC78C0"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DE147ED" w14:textId="77777777" w:rsidR="000D53EE" w:rsidRPr="00214DB2" w:rsidRDefault="00214DB2">
      <w:pPr>
        <w:spacing w:after="0" w:line="240" w:lineRule="auto"/>
        <w:ind w:left="567" w:hanging="567"/>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Orientação sobre Mensuração Inicial pelo Valor Justo de Propriedade para Investimento</w:t>
      </w:r>
    </w:p>
    <w:p w14:paraId="16911156"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 xml:space="preserve">Originada de Construção Própria </w:t>
      </w:r>
      <w:r w:rsidRPr="00214DB2">
        <w:rPr>
          <w:rFonts w:asciiTheme="minorHAnsi" w:eastAsia="Times New Roman" w:hAnsiTheme="minorHAnsi" w:cstheme="minorHAnsi"/>
          <w:color w:val="0070C0"/>
          <w:sz w:val="24"/>
          <w:szCs w:val="24"/>
        </w:rPr>
        <w:t>(Incluído pela NBC TSP 06 (R1))</w:t>
      </w:r>
    </w:p>
    <w:p w14:paraId="5652D999"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37295C1"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76.</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Quando a entidade concluir a construção ou o desenvolvimento da propriedade para investimento de construção própria que seja contabilizada pelo valor justo, qualquer diferença entre o valor justo da propriedade nessa data e o seu valor contábil anterior deve ser reconhecida no resultado do período.</w:t>
      </w:r>
    </w:p>
    <w:p w14:paraId="1DE7D86B"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2664966"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Alienação</w:t>
      </w:r>
    </w:p>
    <w:p w14:paraId="091AC7AB"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36A9707"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lastRenderedPageBreak/>
        <w:t>77.</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A propriedade para investimento deve ser desreconhecida (eliminada do balanço patrimonial) na alienação ou quando for permanentemente retirada de uso e nenhum benefício econômico futuro ou potencial de serviços for esperado da sua alienação.</w:t>
      </w:r>
    </w:p>
    <w:p w14:paraId="0B30D25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B01410B"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78.</w:t>
      </w:r>
      <w:r w:rsidRPr="00214DB2">
        <w:rPr>
          <w:rFonts w:asciiTheme="minorHAnsi" w:eastAsia="Times New Roman" w:hAnsiTheme="minorHAnsi" w:cstheme="minorHAnsi"/>
          <w:strike/>
          <w:sz w:val="24"/>
          <w:szCs w:val="24"/>
        </w:rPr>
        <w:tab/>
        <w:t>Ao determinar a data de alienação da propriedade para investimento, a entidade deve aplicar para reconhecimento da receita de venda de bens os critérios enunciados na NBC TSP 02. Esta norma não se aplica à alienação efetuada a título de arrendamento financeiro e de venda e retroarrendamento (</w:t>
      </w:r>
      <w:r w:rsidRPr="00214DB2">
        <w:rPr>
          <w:rFonts w:asciiTheme="minorHAnsi" w:eastAsia="Times New Roman" w:hAnsiTheme="minorHAnsi" w:cstheme="minorHAnsi"/>
          <w:i/>
          <w:strike/>
          <w:sz w:val="24"/>
          <w:szCs w:val="24"/>
        </w:rPr>
        <w:t>leaseback</w:t>
      </w:r>
      <w:r w:rsidRPr="00214DB2">
        <w:rPr>
          <w:rFonts w:asciiTheme="minorHAnsi" w:eastAsia="Times New Roman" w:hAnsiTheme="minorHAnsi" w:cstheme="minorHAnsi"/>
          <w:strike/>
          <w:sz w:val="24"/>
          <w:szCs w:val="24"/>
        </w:rPr>
        <w:t>).</w:t>
      </w:r>
    </w:p>
    <w:p w14:paraId="2A29381C"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A5A606B"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78.</w:t>
      </w:r>
      <w:r w:rsidRPr="00214DB2">
        <w:rPr>
          <w:rFonts w:asciiTheme="minorHAnsi" w:eastAsia="Times New Roman" w:hAnsiTheme="minorHAnsi" w:cstheme="minorHAnsi"/>
          <w:sz w:val="24"/>
          <w:szCs w:val="24"/>
        </w:rPr>
        <w:tab/>
        <w:t>A alienação de uma propriedade para investimento pode ser realizada por venda ou pela celebração de um arrendamento financeiro. A data da alienação da propriedade para investimento é a data em que o destinatário obtém o controle da propriedade para investimento, em conformidade com os requisitos da norma que trate sobre receita. A NBC TSP 35 aplica-se a uma alienação efetuada por meio da celebração de um arrendamento financeiro e também a uma operação de venda com arrendamento de volta (</w:t>
      </w:r>
      <w:r w:rsidRPr="00214DB2">
        <w:rPr>
          <w:rFonts w:asciiTheme="minorHAnsi" w:eastAsia="Times New Roman" w:hAnsiTheme="minorHAnsi" w:cstheme="minorHAnsi"/>
          <w:i/>
          <w:sz w:val="24"/>
          <w:szCs w:val="24"/>
        </w:rPr>
        <w:t>sale and leaseback</w:t>
      </w:r>
      <w:r w:rsidRPr="00214DB2">
        <w:rPr>
          <w:rFonts w:asciiTheme="minorHAnsi" w:eastAsia="Times New Roman" w:hAnsiTheme="minorHAnsi" w:cstheme="minorHAnsi"/>
          <w:sz w:val="24"/>
          <w:szCs w:val="24"/>
        </w:rPr>
        <w:t xml:space="preserve">). </w:t>
      </w:r>
      <w:r w:rsidRPr="00214DB2">
        <w:rPr>
          <w:rFonts w:asciiTheme="minorHAnsi" w:eastAsia="Times New Roman" w:hAnsiTheme="minorHAnsi" w:cstheme="minorHAnsi"/>
          <w:color w:val="0070C0"/>
          <w:sz w:val="24"/>
          <w:szCs w:val="24"/>
        </w:rPr>
        <w:t>(Incluído pela NBC TSP 06 (R1))</w:t>
      </w:r>
    </w:p>
    <w:p w14:paraId="48319EF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2AC6F7B"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79.</w:t>
      </w:r>
      <w:r w:rsidRPr="00214DB2">
        <w:rPr>
          <w:rFonts w:asciiTheme="minorHAnsi" w:eastAsia="Times New Roman" w:hAnsiTheme="minorHAnsi" w:cstheme="minorHAnsi"/>
          <w:sz w:val="24"/>
          <w:szCs w:val="24"/>
        </w:rPr>
        <w:tab/>
        <w:t>Se, de acordo com o critério de reconhecimento do item 20, a entidade reconhecer no valor contábil do ativo o custo da substituição de parte da propriedade para investimento, o valor contábil da parte substituída deve ser desreconhecido. Relativamente à propriedade para investimento contabilizada, utilizando o modelo do custo, a parte substituída pode não ser a parte que tenha sido depreciada separadamente. Se não for praticável que a entidade determine o valor contábil da parte substituída, ela pode utilizar o custo da substituição como indicação do custo da parte substituída que havia no momento em que foi adquirida ou construída. Segundo o modelo do valor justo, o valor justo da propriedade para investimento pode já refletir o fato de que a parte a ser substituída perdeu o seu valor. Em outros casos, pode ser difícil discernir quanto do valor justo deve ser reduzido para a parte a ser substituída. Uma alternativa à redução do valor justo para a parte substituída, quando não for praticável realizar essa redução, é incluir o custo da substituição no valor contábil do ativo e reavaliar o valor justo, como seria exigido para adições não envolvendo substituição.</w:t>
      </w:r>
    </w:p>
    <w:p w14:paraId="1C3D7DE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E14C86F"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80.</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Ganhos ou perdas provenientes da baixa ou alienação de propriedade para investimento devem ser determinados como a diferença entre as receitas líquidas de venda e o valor contábil do ativo, e devem ser reconhecidos no resultado do período da baixa ou da alienação, a menos que outra NBC TSP exija outra forma no caso de venda e retroarrendamento (</w:t>
      </w:r>
      <w:r w:rsidRPr="00214DB2">
        <w:rPr>
          <w:rFonts w:asciiTheme="minorHAnsi" w:eastAsia="Times New Roman" w:hAnsiTheme="minorHAnsi" w:cstheme="minorHAnsi"/>
          <w:b/>
          <w:i/>
          <w:strike/>
          <w:sz w:val="24"/>
          <w:szCs w:val="24"/>
        </w:rPr>
        <w:t>leaseback</w:t>
      </w:r>
      <w:r w:rsidRPr="00214DB2">
        <w:rPr>
          <w:rFonts w:asciiTheme="minorHAnsi" w:eastAsia="Times New Roman" w:hAnsiTheme="minorHAnsi" w:cstheme="minorHAnsi"/>
          <w:b/>
          <w:strike/>
          <w:sz w:val="24"/>
          <w:szCs w:val="24"/>
        </w:rPr>
        <w:t>).</w:t>
      </w:r>
    </w:p>
    <w:p w14:paraId="7E5A3445"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5943546"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80.</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Ganhos ou perdas provenientes da baixa ou alienação de propriedade para investimento devem ser determinados como a diferença entre as receitas líquidas de venda e o valor contábil do ativo, e devem ser reconhecidos no resultado do período da baixa ou da alienação, a menos que outra NBC TSP exija outra forma no caso de venda com arrendamento de volta (</w:t>
      </w:r>
      <w:r w:rsidRPr="00214DB2">
        <w:rPr>
          <w:rFonts w:asciiTheme="minorHAnsi" w:eastAsia="Times New Roman" w:hAnsiTheme="minorHAnsi" w:cstheme="minorHAnsi"/>
          <w:b/>
          <w:i/>
          <w:sz w:val="24"/>
          <w:szCs w:val="24"/>
        </w:rPr>
        <w:t>sale and leaseback</w:t>
      </w:r>
      <w:r w:rsidRPr="00214DB2">
        <w:rPr>
          <w:rFonts w:asciiTheme="minorHAnsi" w:eastAsia="Times New Roman" w:hAnsiTheme="minorHAnsi" w:cstheme="minorHAnsi"/>
          <w:b/>
          <w:sz w:val="24"/>
          <w:szCs w:val="24"/>
        </w:rPr>
        <w:t>).</w:t>
      </w:r>
      <w:r w:rsidRPr="00214DB2">
        <w:rPr>
          <w:rFonts w:asciiTheme="minorHAnsi" w:eastAsia="Times New Roman" w:hAnsiTheme="minorHAnsi" w:cstheme="minorHAnsi"/>
          <w:color w:val="0070C0"/>
          <w:sz w:val="24"/>
          <w:szCs w:val="24"/>
        </w:rPr>
        <w:t xml:space="preserve"> (Alterado pela NBC TSP 06 (R1))</w:t>
      </w:r>
    </w:p>
    <w:p w14:paraId="01CCA22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275CFAB"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81.</w:t>
      </w:r>
      <w:r w:rsidRPr="00214DB2">
        <w:rPr>
          <w:rFonts w:asciiTheme="minorHAnsi" w:eastAsia="Times New Roman" w:hAnsiTheme="minorHAnsi" w:cstheme="minorHAnsi"/>
          <w:strike/>
          <w:sz w:val="24"/>
          <w:szCs w:val="24"/>
        </w:rPr>
        <w:tab/>
        <w:t>O montante a ser recebido com a alienação da propriedade para investimento deve ser inicialmente reconhecido pelo valor justo. Em particular, se o pagamento da propriedade para investimento for diferido, a contraprestação recebida deve ser reconhecida inicialmente pelo equivalente ao preço à vista. A diferença entre a quantia nominal da contraprestação e o equivalente ao preço à vista deve ser reconhecida como receita de juros, de acordo com a NBC TSP 02, utilizando a taxa efetiva de juros.</w:t>
      </w:r>
    </w:p>
    <w:p w14:paraId="1CACA59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65A8EB8"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81.</w:t>
      </w:r>
      <w:r w:rsidRPr="00214DB2">
        <w:rPr>
          <w:rFonts w:asciiTheme="minorHAnsi" w:eastAsia="Times New Roman" w:hAnsiTheme="minorHAnsi" w:cstheme="minorHAnsi"/>
          <w:sz w:val="24"/>
          <w:szCs w:val="24"/>
        </w:rPr>
        <w:tab/>
        <w:t>O montante da contraprestação a ser incluído no resultado decorrente do desreconhecimento de uma propriedade para investimento é determinado em conformidade com os requisitos para a determinação da contraprestação da transação na norma que trate sobre receita. Mudanças subsequentes no montante estimado da contraprestação incluído no resultado devem ser contabilizadas em conformidade com os requisitos para mudanças na contraprestação da transação na norma que trate sobre receita.</w:t>
      </w:r>
      <w:r w:rsidRPr="00214DB2">
        <w:rPr>
          <w:rFonts w:asciiTheme="minorHAnsi" w:eastAsia="Times New Roman" w:hAnsiTheme="minorHAnsi" w:cstheme="minorHAnsi"/>
          <w:color w:val="0070C0"/>
          <w:sz w:val="24"/>
          <w:szCs w:val="24"/>
        </w:rPr>
        <w:t xml:space="preserve"> (Alterado pela NBC TSP 06 (R1))</w:t>
      </w:r>
    </w:p>
    <w:p w14:paraId="7B21E70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EA914F7"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82.</w:t>
      </w:r>
      <w:r w:rsidRPr="00214DB2">
        <w:rPr>
          <w:rFonts w:asciiTheme="minorHAnsi" w:eastAsia="Times New Roman" w:hAnsiTheme="minorHAnsi" w:cstheme="minorHAnsi"/>
          <w:sz w:val="24"/>
          <w:szCs w:val="24"/>
        </w:rPr>
        <w:tab/>
        <w:t>A entidade deve aplicar a NBC TSP 03 ou outras normas, conforme apropriado, a quaisquer passivos que detenha após a alienação da propriedade para investimento.</w:t>
      </w:r>
    </w:p>
    <w:p w14:paraId="179639B3"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9304611"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83.</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A indenização de terceiros para propriedade para investimento que tenha sido objeto de redução ao valor recuperável, perda ou abandono, deve ser reconhecida no resultado do período, quando se tornar recebível.</w:t>
      </w:r>
    </w:p>
    <w:p w14:paraId="4BFCE34D"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3FA8D4D1"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84.</w:t>
      </w:r>
      <w:r w:rsidRPr="00214DB2">
        <w:rPr>
          <w:rFonts w:asciiTheme="minorHAnsi" w:eastAsia="Times New Roman" w:hAnsiTheme="minorHAnsi" w:cstheme="minorHAnsi"/>
          <w:sz w:val="24"/>
          <w:szCs w:val="24"/>
        </w:rPr>
        <w:tab/>
        <w:t>Reduções ao valor recuperável ou perdas de propriedade para investimento relacionadas com pedidos ou pagamentos de indenização de terceiros e qualquer aquisição ou construção posterior de ativos de substituição constituem acontecimentos econômicos separados e devem ser contabilizados separadamente como se segue:</w:t>
      </w:r>
    </w:p>
    <w:p w14:paraId="4AF93994"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w:t>
      </w:r>
      <w:r w:rsidRPr="00214DB2">
        <w:rPr>
          <w:rFonts w:asciiTheme="minorHAnsi" w:eastAsia="Times New Roman" w:hAnsiTheme="minorHAnsi" w:cstheme="minorHAnsi"/>
          <w:sz w:val="24"/>
          <w:szCs w:val="24"/>
        </w:rPr>
        <w:tab/>
        <w:t>as perdas por redução ao valor recuperável da propriedade para investimento devem ser reconhecidas de acordo com a NBC TSP 09 ou a NBC TSP 10, a que for aplicável;</w:t>
      </w:r>
    </w:p>
    <w:p w14:paraId="5622D2EF"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(b)</w:t>
      </w:r>
      <w:r w:rsidRPr="00214DB2">
        <w:rPr>
          <w:rFonts w:asciiTheme="minorHAnsi" w:eastAsia="Times New Roman" w:hAnsiTheme="minorHAnsi" w:cstheme="minorHAnsi"/>
          <w:sz w:val="24"/>
          <w:szCs w:val="24"/>
        </w:rPr>
        <w:tab/>
        <w:t>as baixas ou alienações da propriedade para investimento devem ser reconhecidas de acordo com os itens 77 a 82;</w:t>
      </w:r>
    </w:p>
    <w:p w14:paraId="1102F172"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(c)</w:t>
      </w:r>
      <w:r w:rsidRPr="00214DB2">
        <w:rPr>
          <w:rFonts w:asciiTheme="minorHAnsi" w:eastAsia="Times New Roman" w:hAnsiTheme="minorHAnsi" w:cstheme="minorHAnsi"/>
          <w:sz w:val="24"/>
          <w:szCs w:val="24"/>
        </w:rPr>
        <w:tab/>
        <w:t xml:space="preserve">a indenização de terceiros por propriedade para investimento, que tenha sido objeto de redução ao valor recuperável, perda ou cessão, deve ser reconhecida no resultado do período quando se tornar recebível; e </w:t>
      </w:r>
    </w:p>
    <w:p w14:paraId="38F554FE"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(d)</w:t>
      </w:r>
      <w:r w:rsidRPr="00214DB2">
        <w:rPr>
          <w:rFonts w:asciiTheme="minorHAnsi" w:eastAsia="Times New Roman" w:hAnsiTheme="minorHAnsi" w:cstheme="minorHAnsi"/>
          <w:sz w:val="24"/>
          <w:szCs w:val="24"/>
        </w:rPr>
        <w:tab/>
        <w:t>o custo dos ativos restaurados, comprados ou construídos como substituições deve ser determinado de acordo com os itens 26 a 38.</w:t>
      </w:r>
    </w:p>
    <w:p w14:paraId="36CA5F0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CAD5A34"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Divulgação</w:t>
      </w:r>
    </w:p>
    <w:p w14:paraId="716A469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524116A" w14:textId="77777777" w:rsidR="000D53EE" w:rsidRPr="00214DB2" w:rsidRDefault="00214DB2">
      <w:pPr>
        <w:spacing w:after="0" w:line="240" w:lineRule="auto"/>
        <w:ind w:left="567" w:hanging="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b/>
          <w:strike/>
          <w:sz w:val="24"/>
          <w:szCs w:val="24"/>
        </w:rPr>
        <w:t>Modelo do valor justo e modelo do custo</w:t>
      </w:r>
    </w:p>
    <w:p w14:paraId="23BCC648" w14:textId="77777777" w:rsidR="000D53EE" w:rsidRPr="00214DB2" w:rsidRDefault="000D53EE">
      <w:pPr>
        <w:spacing w:after="0" w:line="240" w:lineRule="auto"/>
        <w:ind w:left="567" w:hanging="567"/>
        <w:jc w:val="both"/>
        <w:rPr>
          <w:rFonts w:asciiTheme="minorHAnsi" w:eastAsia="Times New Roman" w:hAnsiTheme="minorHAnsi" w:cstheme="minorHAnsi"/>
          <w:b/>
          <w:sz w:val="24"/>
          <w:szCs w:val="24"/>
        </w:rPr>
      </w:pPr>
    </w:p>
    <w:p w14:paraId="1C0F8988"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 xml:space="preserve">Modelo do Valor Corrente e Modelo do Custo Histórico </w:t>
      </w:r>
      <w:r w:rsidRPr="00214DB2">
        <w:rPr>
          <w:rFonts w:asciiTheme="minorHAnsi" w:eastAsia="Times New Roman" w:hAnsiTheme="minorHAnsi" w:cstheme="minorHAnsi"/>
          <w:color w:val="0070C0"/>
          <w:sz w:val="24"/>
          <w:szCs w:val="24"/>
        </w:rPr>
        <w:t>(Alterado pela NBC TSP 06 (R1))</w:t>
      </w:r>
    </w:p>
    <w:p w14:paraId="1B1BE3ED"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803B372"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85.</w:t>
      </w:r>
      <w:r w:rsidRPr="00214DB2">
        <w:rPr>
          <w:rFonts w:asciiTheme="minorHAnsi" w:eastAsia="Times New Roman" w:hAnsiTheme="minorHAnsi" w:cstheme="minorHAnsi"/>
          <w:strike/>
          <w:sz w:val="24"/>
          <w:szCs w:val="24"/>
        </w:rPr>
        <w:tab/>
        <w:t>O arrendatário que mantenha propriedades para investimento em arrendamento contabilizado como arrendamento mercantil financeiro e o arrendador que disponibilize propriedades para investimento em arrendamento mercantil contabilizado como arrendamento operacional devem providenciar as divulgações relativas aos referidos arrendamentos mercantis que tenham celebrado.</w:t>
      </w:r>
    </w:p>
    <w:p w14:paraId="6107E6AB"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7290830"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85.</w:t>
      </w:r>
      <w:r w:rsidRPr="00214DB2">
        <w:rPr>
          <w:rFonts w:asciiTheme="minorHAnsi" w:eastAsia="Times New Roman" w:hAnsiTheme="minorHAnsi" w:cstheme="minorHAnsi"/>
          <w:sz w:val="24"/>
          <w:szCs w:val="24"/>
        </w:rPr>
        <w:tab/>
        <w:t xml:space="preserve">As divulgações abaixo aplicam-se em adição àquelas na NBC TSP 35. Em conformidade com a NBC TSP 35, o proprietário de uma propriedade para investimento apresenta as divulgações do arrendador sobre os arrendamentos nos quais celebrou. Um arrendatário que detém uma propriedade para investimento como ativo de direito de uso apresenta as divulgações do arrendatário conforme exigido pela NBC TSP 35 e as divulgações do arrendador conforme </w:t>
      </w:r>
      <w:r w:rsidRPr="00214DB2">
        <w:rPr>
          <w:rFonts w:asciiTheme="minorHAnsi" w:eastAsia="Times New Roman" w:hAnsiTheme="minorHAnsi" w:cstheme="minorHAnsi"/>
          <w:sz w:val="24"/>
          <w:szCs w:val="24"/>
        </w:rPr>
        <w:lastRenderedPageBreak/>
        <w:t xml:space="preserve">exigido pela NBC TSP 35 para quaisquer arrendamentos operacionais nos quais celebrou. </w:t>
      </w:r>
      <w:r w:rsidRPr="00214DB2">
        <w:rPr>
          <w:rFonts w:asciiTheme="minorHAnsi" w:eastAsia="Times New Roman" w:hAnsiTheme="minorHAnsi" w:cstheme="minorHAnsi"/>
          <w:color w:val="0070C0"/>
          <w:sz w:val="24"/>
          <w:szCs w:val="24"/>
        </w:rPr>
        <w:t>(Alterado pela NBC TSP 06 (R1))</w:t>
      </w:r>
    </w:p>
    <w:p w14:paraId="4C2BD9A7"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949A8B2"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86.</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A entidade deve divulgar:</w:t>
      </w:r>
    </w:p>
    <w:p w14:paraId="29D98404"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w:t>
      </w:r>
      <w:r w:rsidRPr="00214DB2">
        <w:rPr>
          <w:rFonts w:asciiTheme="minorHAnsi" w:eastAsia="Times New Roman" w:hAnsiTheme="minorHAnsi" w:cstheme="minorHAnsi"/>
          <w:b/>
          <w:sz w:val="24"/>
          <w:szCs w:val="24"/>
        </w:rPr>
        <w:tab/>
        <w:t>se aplica o modelo do valor justo ou o modelo do custo;</w:t>
      </w:r>
    </w:p>
    <w:p w14:paraId="18AA4EA5"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b/>
          <w:strike/>
          <w:sz w:val="24"/>
          <w:szCs w:val="24"/>
        </w:rPr>
        <w:t>(b)</w:t>
      </w:r>
      <w:r w:rsidRPr="00214DB2">
        <w:rPr>
          <w:rFonts w:asciiTheme="minorHAnsi" w:eastAsia="Times New Roman" w:hAnsiTheme="minorHAnsi" w:cstheme="minorHAnsi"/>
          <w:b/>
          <w:strike/>
          <w:sz w:val="24"/>
          <w:szCs w:val="24"/>
        </w:rPr>
        <w:tab/>
        <w:t>caso aplique o modelo do valor justo, se, e em que circunstâncias, os direitos sobre propriedades mantidas sob arrendamentos mercantis operacionais são classificados e contabilizados como propriedade para investimento;</w:t>
      </w:r>
      <w:r w:rsidRPr="00214DB2">
        <w:rPr>
          <w:rFonts w:asciiTheme="minorHAnsi" w:eastAsia="Times New Roman" w:hAnsiTheme="minorHAnsi" w:cstheme="minorHAnsi"/>
          <w:color w:val="0070C0"/>
          <w:sz w:val="24"/>
          <w:szCs w:val="24"/>
        </w:rPr>
        <w:t xml:space="preserve"> (Eliminada pela NBC TSP 06 (R1))</w:t>
      </w:r>
    </w:p>
    <w:p w14:paraId="5897C477"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(c)</w:t>
      </w:r>
      <w:r w:rsidRPr="00214DB2">
        <w:rPr>
          <w:rFonts w:asciiTheme="minorHAnsi" w:eastAsia="Times New Roman" w:hAnsiTheme="minorHAnsi" w:cstheme="minorHAnsi"/>
          <w:b/>
          <w:sz w:val="24"/>
          <w:szCs w:val="24"/>
        </w:rPr>
        <w:tab/>
        <w:t>quando a classificação for difícil de ser realizada (ver item 18), os critérios que utiliza para distinguir propriedades para investimento de propriedades ocupadas pelo proprietário e de propriedades mantidas para venda no curso normal das operações;</w:t>
      </w:r>
    </w:p>
    <w:p w14:paraId="5158EFBB"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b/>
          <w:strike/>
          <w:sz w:val="24"/>
          <w:szCs w:val="24"/>
        </w:rPr>
        <w:t>(d)</w:t>
      </w:r>
      <w:r w:rsidRPr="00214DB2">
        <w:rPr>
          <w:rFonts w:asciiTheme="minorHAnsi" w:eastAsia="Times New Roman" w:hAnsiTheme="minorHAnsi" w:cstheme="minorHAnsi"/>
          <w:b/>
          <w:strike/>
          <w:sz w:val="24"/>
          <w:szCs w:val="24"/>
        </w:rPr>
        <w:tab/>
        <w:t>os métodos e premissas significativos aplicados na determinação do valor justo da propriedade para investimento, incluindo declaração, afirmando se a determinação do valor justo foi, ou não, suportada por evidências do mercado ou foi ponderada mais com base em outros fatores (que a entidade deve divulgar) por força da natureza da propriedade e da falta de dados de mercado comparáveis;</w:t>
      </w:r>
      <w:r w:rsidRPr="00214DB2">
        <w:rPr>
          <w:rFonts w:asciiTheme="minorHAnsi" w:eastAsia="Times New Roman" w:hAnsiTheme="minorHAnsi" w:cstheme="minorHAnsi"/>
          <w:color w:val="0070C0"/>
          <w:sz w:val="24"/>
          <w:szCs w:val="24"/>
        </w:rPr>
        <w:t xml:space="preserve"> (Eliminada pela NBC TSP 06 (R1))</w:t>
      </w:r>
    </w:p>
    <w:p w14:paraId="5BF1C55A"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(e)</w:t>
      </w:r>
      <w:r w:rsidRPr="00214DB2">
        <w:rPr>
          <w:rFonts w:asciiTheme="minorHAnsi" w:eastAsia="Times New Roman" w:hAnsiTheme="minorHAnsi" w:cstheme="minorHAnsi"/>
          <w:b/>
          <w:sz w:val="24"/>
          <w:szCs w:val="24"/>
        </w:rPr>
        <w:tab/>
        <w:t>até que ponto o valor justo da propriedade para investimento (tal como mensurado ou divulgado nas demonstrações contábeis) se baseia em avaliação realizada por avaliador independente que tenha qualificação profissional relevante e reconhecida e que tenha experiência recente no local e na categoria da propriedade para investimento que está sendo avaliada. Se não tiver havido tal avaliação, esse fato deve ser divulgado;</w:t>
      </w:r>
    </w:p>
    <w:p w14:paraId="652D0787"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(f)</w:t>
      </w:r>
      <w:r w:rsidRPr="00214DB2">
        <w:rPr>
          <w:rFonts w:asciiTheme="minorHAnsi" w:eastAsia="Times New Roman" w:hAnsiTheme="minorHAnsi" w:cstheme="minorHAnsi"/>
          <w:b/>
          <w:sz w:val="24"/>
          <w:szCs w:val="24"/>
        </w:rPr>
        <w:tab/>
        <w:t>as quantias reconhecidas no resultado do período para:</w:t>
      </w:r>
    </w:p>
    <w:p w14:paraId="0B86AD39"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w:t>
      </w:r>
      <w:r w:rsidRPr="00214DB2">
        <w:rPr>
          <w:rFonts w:asciiTheme="minorHAnsi" w:eastAsia="Times New Roman" w:hAnsiTheme="minorHAnsi" w:cstheme="minorHAnsi"/>
          <w:b/>
          <w:sz w:val="24"/>
          <w:szCs w:val="24"/>
        </w:rPr>
        <w:tab/>
        <w:t>receita de aluguel de propriedade para investimento;</w:t>
      </w:r>
    </w:p>
    <w:p w14:paraId="48B01BC1"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(ii)</w:t>
      </w:r>
      <w:r w:rsidRPr="00214DB2">
        <w:rPr>
          <w:rFonts w:asciiTheme="minorHAnsi" w:eastAsia="Times New Roman" w:hAnsiTheme="minorHAnsi" w:cstheme="minorHAnsi"/>
          <w:b/>
          <w:sz w:val="24"/>
          <w:szCs w:val="24"/>
        </w:rPr>
        <w:tab/>
        <w:t>gastos operacionais diretos (incluindo reparo e manutenção) provenientes de propriedade para investimento que tenham gerado receita de aluguel durante o período; e</w:t>
      </w:r>
    </w:p>
    <w:p w14:paraId="27258FDC"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(iii)</w:t>
      </w:r>
      <w:r w:rsidRPr="00214DB2">
        <w:rPr>
          <w:rFonts w:asciiTheme="minorHAnsi" w:eastAsia="Times New Roman" w:hAnsiTheme="minorHAnsi" w:cstheme="minorHAnsi"/>
          <w:b/>
          <w:sz w:val="24"/>
          <w:szCs w:val="24"/>
        </w:rPr>
        <w:tab/>
        <w:t>gastos operacionais diretos (incluindo reparo e manutenção) provenientes de propriedade para investimento que não tenham gerado receita de aluguel durante o período.</w:t>
      </w:r>
    </w:p>
    <w:p w14:paraId="670CAF1B"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(g)</w:t>
      </w:r>
      <w:r w:rsidRPr="00214DB2">
        <w:rPr>
          <w:rFonts w:asciiTheme="minorHAnsi" w:eastAsia="Times New Roman" w:hAnsiTheme="minorHAnsi" w:cstheme="minorHAnsi"/>
          <w:b/>
          <w:sz w:val="24"/>
          <w:szCs w:val="24"/>
        </w:rPr>
        <w:tab/>
        <w:t>a existência e quantias de restrições sobre a capacidade de realização de propriedade para investimento ou a remessa de receitas e recebimentos de sua alienação; e</w:t>
      </w:r>
    </w:p>
    <w:p w14:paraId="6CA683E2"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(h)</w:t>
      </w:r>
      <w:r w:rsidRPr="00214DB2">
        <w:rPr>
          <w:rFonts w:asciiTheme="minorHAnsi" w:eastAsia="Times New Roman" w:hAnsiTheme="minorHAnsi" w:cstheme="minorHAnsi"/>
          <w:b/>
          <w:sz w:val="24"/>
          <w:szCs w:val="24"/>
        </w:rPr>
        <w:tab/>
        <w:t>obrigações contratuais para comprar, construir ou desenvolver propriedades para investimento, ou para reparos, manutenção ou melhorias.</w:t>
      </w:r>
    </w:p>
    <w:p w14:paraId="4B1E769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AB7E0CF"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Modelo do valor justo</w:t>
      </w:r>
    </w:p>
    <w:p w14:paraId="2B38454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8C5C993"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Modelo do valor corrente </w:t>
      </w:r>
      <w:r w:rsidRPr="00214DB2">
        <w:rPr>
          <w:rFonts w:asciiTheme="minorHAnsi" w:eastAsia="Times New Roman" w:hAnsiTheme="minorHAnsi" w:cstheme="minorHAnsi"/>
          <w:color w:val="0070C0"/>
          <w:sz w:val="24"/>
          <w:szCs w:val="24"/>
        </w:rPr>
        <w:t>(Alterado pela NBC TSP 06 (R1))</w:t>
      </w:r>
    </w:p>
    <w:p w14:paraId="46D2C2A6"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E8247A1"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87.</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Além das divulgações exigidas pelo item 86, a entidade que aplica o modelo do valor justo dos itens 42 a 64 deve divulgar a conciliação entre os valores contábeis da propriedade para investimento no início e no fim do período, mostrando o seguinte:</w:t>
      </w:r>
    </w:p>
    <w:p w14:paraId="07029F7E"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w:t>
      </w:r>
      <w:r w:rsidRPr="00214DB2">
        <w:rPr>
          <w:rFonts w:asciiTheme="minorHAnsi" w:eastAsia="Times New Roman" w:hAnsiTheme="minorHAnsi" w:cstheme="minorHAnsi"/>
          <w:b/>
          <w:sz w:val="24"/>
          <w:szCs w:val="24"/>
        </w:rPr>
        <w:tab/>
        <w:t>adições, divulgando separadamente as adições resultantes de aquisições e as resultantes de dispêndio subsequente reconhecido no valor contábil do ativo;</w:t>
      </w:r>
    </w:p>
    <w:p w14:paraId="0AAD5A80"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lastRenderedPageBreak/>
        <w:t>(b)</w:t>
      </w:r>
      <w:r w:rsidRPr="00214DB2">
        <w:rPr>
          <w:rFonts w:asciiTheme="minorHAnsi" w:eastAsia="Times New Roman" w:hAnsiTheme="minorHAnsi" w:cstheme="minorHAnsi"/>
          <w:b/>
          <w:sz w:val="24"/>
          <w:szCs w:val="24"/>
        </w:rPr>
        <w:tab/>
        <w:t>adições que resultem de aquisições por intermédio da combinação de negócios;</w:t>
      </w:r>
    </w:p>
    <w:p w14:paraId="37759D0B" w14:textId="77777777" w:rsidR="000D53EE" w:rsidRPr="00214DB2" w:rsidRDefault="00214DB2">
      <w:pPr>
        <w:spacing w:after="120" w:line="240" w:lineRule="auto"/>
        <w:ind w:left="993" w:hanging="426"/>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b/>
          <w:strike/>
          <w:sz w:val="24"/>
          <w:szCs w:val="24"/>
        </w:rPr>
        <w:t>(c)</w:t>
      </w:r>
      <w:r w:rsidRPr="00214DB2">
        <w:rPr>
          <w:rFonts w:asciiTheme="minorHAnsi" w:eastAsia="Times New Roman" w:hAnsiTheme="minorHAnsi" w:cstheme="minorHAnsi"/>
          <w:b/>
          <w:strike/>
          <w:sz w:val="24"/>
          <w:szCs w:val="24"/>
        </w:rPr>
        <w:tab/>
        <w:t>alienações;</w:t>
      </w:r>
    </w:p>
    <w:p w14:paraId="36167FD8" w14:textId="77777777" w:rsidR="000D53EE" w:rsidRPr="00214DB2" w:rsidRDefault="00214DB2">
      <w:pPr>
        <w:spacing w:after="120" w:line="240" w:lineRule="auto"/>
        <w:ind w:left="993" w:hanging="426"/>
        <w:jc w:val="both"/>
        <w:rPr>
          <w:rFonts w:asciiTheme="minorHAnsi" w:eastAsia="Times New Roman" w:hAnsiTheme="minorHAnsi" w:cstheme="minorHAnsi"/>
          <w:strike/>
          <w:sz w:val="24"/>
          <w:szCs w:val="24"/>
        </w:rPr>
      </w:pPr>
      <w:r w:rsidRPr="00214DB2">
        <w:rPr>
          <w:rFonts w:asciiTheme="minorHAnsi" w:eastAsia="Times New Roman" w:hAnsiTheme="minorHAnsi" w:cstheme="minorHAnsi"/>
          <w:b/>
          <w:sz w:val="24"/>
          <w:szCs w:val="24"/>
        </w:rPr>
        <w:t>(c)</w:t>
      </w:r>
      <w:r w:rsidRPr="00214DB2">
        <w:rPr>
          <w:rFonts w:asciiTheme="minorHAnsi" w:eastAsia="Times New Roman" w:hAnsiTheme="minorHAnsi" w:cstheme="minorHAnsi"/>
          <w:b/>
          <w:sz w:val="24"/>
          <w:szCs w:val="24"/>
        </w:rPr>
        <w:tab/>
        <w:t>ativos classificados como mantidos para venda ou incluídos em um grupo de alienação classificado como mantido para venda de acordo com a NBC TSP 36 e outras alienações;</w:t>
      </w:r>
      <w:r w:rsidRPr="00214DB2">
        <w:rPr>
          <w:rFonts w:asciiTheme="minorHAnsi" w:eastAsia="Times New Roman" w:hAnsiTheme="minorHAnsi" w:cstheme="minorHAnsi"/>
          <w:color w:val="0070C0"/>
          <w:sz w:val="24"/>
          <w:szCs w:val="24"/>
        </w:rPr>
        <w:t xml:space="preserve"> (Alterado pela NBC TSP 06 (R1))</w:t>
      </w:r>
    </w:p>
    <w:p w14:paraId="18335AF0"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(d)</w:t>
      </w:r>
      <w:r w:rsidRPr="00214DB2">
        <w:rPr>
          <w:rFonts w:asciiTheme="minorHAnsi" w:eastAsia="Times New Roman" w:hAnsiTheme="minorHAnsi" w:cstheme="minorHAnsi"/>
          <w:b/>
          <w:sz w:val="24"/>
          <w:szCs w:val="24"/>
        </w:rPr>
        <w:tab/>
        <w:t>ganhos ou perdas líquidos provenientes de ajustes ao valor justo;</w:t>
      </w:r>
    </w:p>
    <w:p w14:paraId="05345806"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(e)</w:t>
      </w:r>
      <w:r w:rsidRPr="00214DB2">
        <w:rPr>
          <w:rFonts w:asciiTheme="minorHAnsi" w:eastAsia="Times New Roman" w:hAnsiTheme="minorHAnsi" w:cstheme="minorHAnsi"/>
          <w:b/>
          <w:sz w:val="24"/>
          <w:szCs w:val="24"/>
        </w:rPr>
        <w:tab/>
        <w:t>variações cambiais líquidas resultantes da conversão das demonstrações contábeis para outra moeda de apresentação e da conversão de entidade com operação no exterior para a moeda de apresentação da entidade a que se referem às demonstrações contábeis;</w:t>
      </w:r>
    </w:p>
    <w:p w14:paraId="44217F73" w14:textId="77777777" w:rsidR="000D53EE" w:rsidRPr="00214DB2" w:rsidRDefault="00214DB2">
      <w:pPr>
        <w:spacing w:after="120" w:line="240" w:lineRule="auto"/>
        <w:ind w:left="993" w:hanging="426"/>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b/>
          <w:strike/>
          <w:sz w:val="24"/>
          <w:szCs w:val="24"/>
        </w:rPr>
        <w:t>(f)</w:t>
      </w:r>
      <w:r w:rsidRPr="00214DB2">
        <w:rPr>
          <w:rFonts w:asciiTheme="minorHAnsi" w:eastAsia="Times New Roman" w:hAnsiTheme="minorHAnsi" w:cstheme="minorHAnsi"/>
          <w:b/>
          <w:strike/>
          <w:sz w:val="24"/>
          <w:szCs w:val="24"/>
        </w:rPr>
        <w:tab/>
        <w:t>reclassificações:</w:t>
      </w:r>
    </w:p>
    <w:p w14:paraId="54232B21" w14:textId="77777777" w:rsidR="000D53EE" w:rsidRPr="00214DB2" w:rsidRDefault="00214DB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strike/>
          <w:color w:val="000000"/>
          <w:sz w:val="24"/>
          <w:szCs w:val="24"/>
        </w:rPr>
      </w:pPr>
      <w:r w:rsidRPr="00214DB2">
        <w:rPr>
          <w:rFonts w:asciiTheme="minorHAnsi" w:eastAsia="Times New Roman" w:hAnsiTheme="minorHAnsi" w:cstheme="minorHAnsi"/>
          <w:b/>
          <w:strike/>
          <w:color w:val="000000"/>
          <w:sz w:val="24"/>
          <w:szCs w:val="24"/>
        </w:rPr>
        <w:t>de propriedade para investimento, para estoque e propriedade ocupada pelo proprietário; e</w:t>
      </w:r>
    </w:p>
    <w:p w14:paraId="643A6E59" w14:textId="77777777" w:rsidR="000D53EE" w:rsidRPr="00214DB2" w:rsidRDefault="00214DB2">
      <w:pPr>
        <w:numPr>
          <w:ilvl w:val="0"/>
          <w:numId w:val="2"/>
        </w:numPr>
        <w:pBdr>
          <w:top w:val="nil"/>
          <w:left w:val="nil"/>
          <w:bottom w:val="nil"/>
          <w:right w:val="nil"/>
          <w:between w:val="nil"/>
        </w:pBdr>
        <w:spacing w:after="120" w:line="240" w:lineRule="auto"/>
        <w:jc w:val="both"/>
        <w:rPr>
          <w:rFonts w:asciiTheme="minorHAnsi" w:eastAsia="Times New Roman" w:hAnsiTheme="minorHAnsi" w:cstheme="minorHAnsi"/>
          <w:strike/>
          <w:color w:val="000000"/>
          <w:sz w:val="24"/>
          <w:szCs w:val="24"/>
        </w:rPr>
      </w:pPr>
      <w:r w:rsidRPr="00214DB2">
        <w:rPr>
          <w:rFonts w:asciiTheme="minorHAnsi" w:eastAsia="Times New Roman" w:hAnsiTheme="minorHAnsi" w:cstheme="minorHAnsi"/>
          <w:b/>
          <w:strike/>
          <w:color w:val="000000"/>
          <w:sz w:val="24"/>
          <w:szCs w:val="24"/>
        </w:rPr>
        <w:t>de estoque e propriedade ocupada pelo proprietário, para propriedade para investimento.</w:t>
      </w:r>
    </w:p>
    <w:p w14:paraId="30A8329C" w14:textId="77777777" w:rsidR="000D53EE" w:rsidRPr="00214DB2" w:rsidRDefault="00214DB2">
      <w:pPr>
        <w:spacing w:after="120" w:line="240" w:lineRule="auto"/>
        <w:ind w:left="993" w:hanging="426"/>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(f)</w:t>
      </w:r>
      <w:r w:rsidRPr="00214DB2">
        <w:rPr>
          <w:rFonts w:asciiTheme="minorHAnsi" w:eastAsia="Times New Roman" w:hAnsiTheme="minorHAnsi" w:cstheme="minorHAnsi"/>
          <w:b/>
          <w:sz w:val="24"/>
          <w:szCs w:val="24"/>
        </w:rPr>
        <w:tab/>
        <w:t>reclassificações:</w:t>
      </w:r>
    </w:p>
    <w:p w14:paraId="3FAA6230" w14:textId="77777777" w:rsidR="000D53EE" w:rsidRPr="00214DB2" w:rsidRDefault="00214DB2">
      <w:pPr>
        <w:numPr>
          <w:ilvl w:val="0"/>
          <w:numId w:val="2"/>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214DB2">
        <w:rPr>
          <w:rFonts w:asciiTheme="minorHAnsi" w:eastAsia="Times New Roman" w:hAnsiTheme="minorHAnsi" w:cstheme="minorHAnsi"/>
          <w:b/>
          <w:color w:val="000000"/>
          <w:sz w:val="24"/>
          <w:szCs w:val="24"/>
        </w:rPr>
        <w:t>de estoque para propriedade ocupada pelo proprietário; e</w:t>
      </w:r>
    </w:p>
    <w:p w14:paraId="0685AB46" w14:textId="77777777" w:rsidR="000D53EE" w:rsidRPr="00214DB2" w:rsidRDefault="00214DB2">
      <w:pPr>
        <w:numPr>
          <w:ilvl w:val="0"/>
          <w:numId w:val="2"/>
        </w:numPr>
        <w:pBdr>
          <w:top w:val="nil"/>
          <w:left w:val="nil"/>
          <w:bottom w:val="nil"/>
          <w:right w:val="nil"/>
          <w:between w:val="nil"/>
        </w:pBdr>
        <w:spacing w:after="120" w:line="240" w:lineRule="auto"/>
        <w:jc w:val="both"/>
        <w:rPr>
          <w:rFonts w:asciiTheme="minorHAnsi" w:eastAsia="Times New Roman" w:hAnsiTheme="minorHAnsi" w:cstheme="minorHAnsi"/>
          <w:color w:val="000000"/>
          <w:sz w:val="24"/>
          <w:szCs w:val="24"/>
        </w:rPr>
      </w:pPr>
      <w:r w:rsidRPr="00214DB2">
        <w:rPr>
          <w:rFonts w:asciiTheme="minorHAnsi" w:eastAsia="Times New Roman" w:hAnsiTheme="minorHAnsi" w:cstheme="minorHAnsi"/>
          <w:b/>
          <w:color w:val="000000"/>
          <w:sz w:val="24"/>
          <w:szCs w:val="24"/>
        </w:rPr>
        <w:t>de propriedade ocupada pelo proprietário para estoque.</w:t>
      </w:r>
      <w:r w:rsidRPr="00214DB2">
        <w:rPr>
          <w:rFonts w:asciiTheme="minorHAnsi" w:eastAsia="Times New Roman" w:hAnsiTheme="minorHAnsi" w:cstheme="minorHAnsi"/>
          <w:color w:val="0070C0"/>
          <w:sz w:val="24"/>
          <w:szCs w:val="24"/>
        </w:rPr>
        <w:t xml:space="preserve"> (Alterado pela NBC TSP 06 (R1))</w:t>
      </w:r>
    </w:p>
    <w:p w14:paraId="51085C1E"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(g)</w:t>
      </w:r>
      <w:r w:rsidRPr="00214DB2">
        <w:rPr>
          <w:rFonts w:asciiTheme="minorHAnsi" w:eastAsia="Times New Roman" w:hAnsiTheme="minorHAnsi" w:cstheme="minorHAnsi"/>
          <w:b/>
          <w:sz w:val="24"/>
          <w:szCs w:val="24"/>
        </w:rPr>
        <w:tab/>
        <w:t>outras alterações.</w:t>
      </w:r>
    </w:p>
    <w:p w14:paraId="48C2D3D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546FE35"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88.</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Quando a avaliação obtida para propriedade para investimento é ajustada principalmente para fins das demonstrações contábeis, como, por exemplo, para evitar contagem dupla de ativos ou passivos que sejam reconhecidos como ativos e passivos separados, conforme descrito no item 59, a entidade deve divulgar a conciliação entre a avaliação obtida e a avaliação ajustada incluída nas demonstrações contábeis, mostrando, separadamente, a quantia agregada de quaisquer obrigações de arrendamento mercantil reconhecidas que tenham sido novamente adicionadas, e qualquer outro ajuste significativo.</w:t>
      </w:r>
    </w:p>
    <w:p w14:paraId="3F931C2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9AD0454" w14:textId="77777777" w:rsidR="000D53EE" w:rsidRPr="00214DB2" w:rsidRDefault="00214DB2">
      <w:pPr>
        <w:spacing w:after="120" w:line="240" w:lineRule="auto"/>
        <w:ind w:left="567" w:hanging="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strike/>
          <w:sz w:val="24"/>
          <w:szCs w:val="24"/>
        </w:rPr>
        <w:t>89.</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Nos casos excepcionais referidos no item 62, quando a entidade mensurar uma propriedade para investimento, utilizando o modelo do custo da NBC TSP 07, a conciliação exigida pelo item 87 deve divulgar as quantias relacionadas com essa propriedade para investimento separadamente das quantias relacionadas a outras propriedades para investimento. Além disso, a entidade deve divulgar:</w:t>
      </w:r>
    </w:p>
    <w:p w14:paraId="4D8BC868"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89.</w:t>
      </w:r>
      <w:r w:rsidRPr="00214DB2">
        <w:rPr>
          <w:rFonts w:asciiTheme="minorHAnsi" w:eastAsia="Times New Roman" w:hAnsiTheme="minorHAnsi" w:cstheme="minorHAnsi"/>
          <w:sz w:val="24"/>
          <w:szCs w:val="24"/>
        </w:rPr>
        <w:tab/>
      </w:r>
      <w:r w:rsidRPr="00214DB2">
        <w:rPr>
          <w:rFonts w:asciiTheme="minorHAnsi" w:eastAsia="Times New Roman" w:hAnsiTheme="minorHAnsi" w:cstheme="minorHAnsi"/>
          <w:b/>
          <w:sz w:val="24"/>
          <w:szCs w:val="24"/>
        </w:rPr>
        <w:t>Nos casos excepcionais referidos no item 62, quando a entidade mensurar uma propriedade para investimento, utilizando o modelo do custo histórico da NBC TSP 37 ou de acordo com a NBC TSP 35, a conciliação exigida pelo item 87 deve divulgar as quantias relacionadas com essa propriedade para investimento separadamente das quantias relacionadas a outras propriedades para investimento. Além disso, a entidade deve divulgar:</w:t>
      </w:r>
      <w:r w:rsidRPr="00214DB2">
        <w:rPr>
          <w:rFonts w:asciiTheme="minorHAnsi" w:eastAsia="Times New Roman" w:hAnsiTheme="minorHAnsi" w:cstheme="minorHAnsi"/>
          <w:color w:val="0070C0"/>
          <w:sz w:val="24"/>
          <w:szCs w:val="24"/>
        </w:rPr>
        <w:t xml:space="preserve"> (Alterado pela NBC TSP 06 (R1))</w:t>
      </w:r>
    </w:p>
    <w:p w14:paraId="069418F9"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w:t>
      </w:r>
      <w:r w:rsidRPr="00214DB2">
        <w:rPr>
          <w:rFonts w:asciiTheme="minorHAnsi" w:eastAsia="Times New Roman" w:hAnsiTheme="minorHAnsi" w:cstheme="minorHAnsi"/>
          <w:b/>
          <w:sz w:val="24"/>
          <w:szCs w:val="24"/>
        </w:rPr>
        <w:tab/>
        <w:t>a descrição da propriedade para investimento;</w:t>
      </w:r>
    </w:p>
    <w:p w14:paraId="7A8EBE1A"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(b)</w:t>
      </w:r>
      <w:r w:rsidRPr="00214DB2">
        <w:rPr>
          <w:rFonts w:asciiTheme="minorHAnsi" w:eastAsia="Times New Roman" w:hAnsiTheme="minorHAnsi" w:cstheme="minorHAnsi"/>
          <w:b/>
          <w:sz w:val="24"/>
          <w:szCs w:val="24"/>
        </w:rPr>
        <w:tab/>
        <w:t>a explicação da razão pela qual o valor justo não pode ser determinado confiavelmente;</w:t>
      </w:r>
    </w:p>
    <w:p w14:paraId="511FEDBF"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(c)</w:t>
      </w:r>
      <w:r w:rsidRPr="00214DB2">
        <w:rPr>
          <w:rFonts w:asciiTheme="minorHAnsi" w:eastAsia="Times New Roman" w:hAnsiTheme="minorHAnsi" w:cstheme="minorHAnsi"/>
          <w:b/>
          <w:sz w:val="24"/>
          <w:szCs w:val="24"/>
        </w:rPr>
        <w:tab/>
        <w:t>se possível, o intervalo de estimativas dentro do qual seja altamente provável que o valor justo se situe; e</w:t>
      </w:r>
    </w:p>
    <w:p w14:paraId="50F08D6E"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lastRenderedPageBreak/>
        <w:t>(d)</w:t>
      </w:r>
      <w:r w:rsidRPr="00214DB2">
        <w:rPr>
          <w:rFonts w:asciiTheme="minorHAnsi" w:eastAsia="Times New Roman" w:hAnsiTheme="minorHAnsi" w:cstheme="minorHAnsi"/>
          <w:b/>
          <w:sz w:val="24"/>
          <w:szCs w:val="24"/>
        </w:rPr>
        <w:tab/>
        <w:t>quando da alienação da propriedade para investimento não contabilizada pelo valor justo:</w:t>
      </w:r>
    </w:p>
    <w:p w14:paraId="376E9505"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w:t>
      </w:r>
      <w:r w:rsidRPr="00214DB2">
        <w:rPr>
          <w:rFonts w:asciiTheme="minorHAnsi" w:eastAsia="Times New Roman" w:hAnsiTheme="minorHAnsi" w:cstheme="minorHAnsi"/>
          <w:b/>
          <w:sz w:val="24"/>
          <w:szCs w:val="24"/>
        </w:rPr>
        <w:tab/>
        <w:t>o fato de que a entidade alienou a propriedade para investimento não contabilizada pelo valor justo;</w:t>
      </w:r>
    </w:p>
    <w:p w14:paraId="2857B56A"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(ii)</w:t>
      </w:r>
      <w:r w:rsidRPr="00214DB2">
        <w:rPr>
          <w:rFonts w:asciiTheme="minorHAnsi" w:eastAsia="Times New Roman" w:hAnsiTheme="minorHAnsi" w:cstheme="minorHAnsi"/>
          <w:b/>
          <w:sz w:val="24"/>
          <w:szCs w:val="24"/>
        </w:rPr>
        <w:tab/>
        <w:t>o valor contábil dessa propriedade para investimento no momento da venda; e</w:t>
      </w:r>
    </w:p>
    <w:p w14:paraId="47D759C1" w14:textId="77777777" w:rsidR="000D53EE" w:rsidRPr="00214DB2" w:rsidRDefault="00214DB2">
      <w:pPr>
        <w:spacing w:after="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(iii)</w:t>
      </w:r>
      <w:r w:rsidRPr="00214DB2">
        <w:rPr>
          <w:rFonts w:asciiTheme="minorHAnsi" w:eastAsia="Times New Roman" w:hAnsiTheme="minorHAnsi" w:cstheme="minorHAnsi"/>
          <w:b/>
          <w:sz w:val="24"/>
          <w:szCs w:val="24"/>
        </w:rPr>
        <w:tab/>
        <w:t>a quantia de ganho ou perda reconhecida.</w:t>
      </w:r>
    </w:p>
    <w:p w14:paraId="2B9B2E6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B5132A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 xml:space="preserve">Mensuração pelo Valor Corrente </w:t>
      </w:r>
      <w:r w:rsidRPr="00214DB2">
        <w:rPr>
          <w:rFonts w:asciiTheme="minorHAnsi" w:eastAsia="Times New Roman" w:hAnsiTheme="minorHAnsi" w:cstheme="minorHAnsi"/>
          <w:color w:val="0070C0"/>
          <w:sz w:val="24"/>
          <w:szCs w:val="24"/>
        </w:rPr>
        <w:t>(Incluído pela NBC TSP 06 (R1))</w:t>
      </w:r>
    </w:p>
    <w:p w14:paraId="75126605"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DE0D729"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89A. A entidade deve divulgar informações que ajudem os usuários de suas demonstrações contábeis a avaliar ambos os seguintes aspectos:</w:t>
      </w:r>
      <w:r w:rsidRPr="00214DB2">
        <w:rPr>
          <w:rFonts w:asciiTheme="minorHAnsi" w:eastAsia="Times New Roman" w:hAnsiTheme="minorHAnsi" w:cstheme="minorHAnsi"/>
          <w:sz w:val="24"/>
          <w:szCs w:val="24"/>
        </w:rPr>
        <w:t> </w:t>
      </w:r>
    </w:p>
    <w:p w14:paraId="15AB17CA" w14:textId="77777777" w:rsidR="000D53EE" w:rsidRPr="00214DB2" w:rsidRDefault="00214DB2">
      <w:pPr>
        <w:spacing w:after="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 Para propriedades para investimento que são mensuradas ao valor justo de forma recorrente ou não recorrente no balanço patrimonial após o reconhecimento inicial, as técnicas de mensuração e as informações (</w:t>
      </w:r>
      <w:r w:rsidRPr="00214DB2">
        <w:rPr>
          <w:rFonts w:asciiTheme="minorHAnsi" w:eastAsia="Times New Roman" w:hAnsiTheme="minorHAnsi" w:cstheme="minorHAnsi"/>
          <w:b/>
          <w:i/>
          <w:sz w:val="24"/>
          <w:szCs w:val="24"/>
        </w:rPr>
        <w:t>input</w:t>
      </w:r>
      <w:r w:rsidRPr="00214DB2">
        <w:rPr>
          <w:rFonts w:asciiTheme="minorHAnsi" w:eastAsia="Times New Roman" w:hAnsiTheme="minorHAnsi" w:cstheme="minorHAnsi"/>
          <w:b/>
          <w:sz w:val="24"/>
          <w:szCs w:val="24"/>
        </w:rPr>
        <w:t>) utilizados para desenvolver essas mensurações; e </w:t>
      </w:r>
    </w:p>
    <w:p w14:paraId="5FBC5654"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(b) Para mensurações recorrentes ao valor justo utilizando informações de entrada significativas não observáveis (Nível 3), o efeito das mensurações no resultado ou no patrimônio líquido para o período.</w:t>
      </w:r>
      <w:r w:rsidRPr="00214DB2">
        <w:rPr>
          <w:rFonts w:asciiTheme="minorHAnsi" w:eastAsia="Times New Roman" w:hAnsiTheme="minorHAnsi" w:cstheme="minorHAnsi"/>
          <w:color w:val="0070C0"/>
          <w:sz w:val="24"/>
          <w:szCs w:val="24"/>
        </w:rPr>
        <w:t xml:space="preserve"> (Item incluído pela NBC TSP 06 (R1))</w:t>
      </w:r>
    </w:p>
    <w:p w14:paraId="5748CC53"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ED37701"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89B. Para atender aos objetivos do item 89A, a entidade deve considerar todos os seguintes aspectos: </w:t>
      </w:r>
    </w:p>
    <w:p w14:paraId="31891597"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(a) O nível de detalhe necessário para satisfazer os requisitos de divulgação; </w:t>
      </w:r>
    </w:p>
    <w:p w14:paraId="730E0C7B"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(b) Quanta ênfase colocar em cada um dos vários requisitos; </w:t>
      </w:r>
    </w:p>
    <w:p w14:paraId="7D01C796"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(c) Quanta agregação ou desagregação realizar; e </w:t>
      </w:r>
    </w:p>
    <w:p w14:paraId="4852BDE7"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(d) Se os usuários das demonstrações contábeis precisam de informações adicionais para avaliar a informação quantitativa divulgada. </w:t>
      </w:r>
    </w:p>
    <w:p w14:paraId="294C1CDD" w14:textId="77777777" w:rsidR="000D53EE" w:rsidRPr="00214DB2" w:rsidRDefault="00214DB2">
      <w:pPr>
        <w:spacing w:after="0" w:line="240" w:lineRule="auto"/>
        <w:ind w:left="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Se as divulgações fornecidas em conformidade com esta Norma e outras forem insuficientes para atender aos objetivos do item 89A, a entidade deve divulgar informações adicionais necessárias para atender a esses objetivos.</w:t>
      </w:r>
      <w:r w:rsidRPr="00214DB2">
        <w:rPr>
          <w:rFonts w:asciiTheme="minorHAnsi" w:eastAsia="Times New Roman" w:hAnsiTheme="minorHAnsi" w:cstheme="minorHAnsi"/>
          <w:color w:val="0070C0"/>
          <w:sz w:val="24"/>
          <w:szCs w:val="24"/>
        </w:rPr>
        <w:t xml:space="preserve"> (Item incluído pela NBC TSP 06 (R1))</w:t>
      </w:r>
    </w:p>
    <w:p w14:paraId="67FC0AD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B39FCE1"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89C. Para atender aos objetivos do item 89A, a entidade deve divulgar, no mínimo, as seguintes informações para cada classe de propriedade para investimento (ver item 89D para informações sobre a determinação de classes apropriadas de propriedade para investimento) mensurada ao valor justo (incluindo mensurações baseadas no valor justo dentro do alcance da NBC TSP 38 - Mensuração) no balanço patrimonial após o reconhecimento inicial:</w:t>
      </w:r>
    </w:p>
    <w:p w14:paraId="0AA724D9"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 Para mensurações recorrentes e não recorrentes ao valor justo, a mensuração ao valor justo ao final do período, e para mensurações não recorrentes ao valor justo, as razões para a mensuração. Mensurações recorrentes ao valor justo de propriedade para investimento são aquelas que esta Norma exige ou permite no balanço patrimonial ao final de cada período. Mensurações não recorrentes ao valor justo de propriedade para investimento são aquelas que esta Norma exige ou permite no balanço patrimonial em circunstâncias particulares;</w:t>
      </w:r>
    </w:p>
    <w:p w14:paraId="493D5BE5"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(b) Para mensurações recorrentes e não recorrentes ao valor justo, se as mensurações ao valor justo são estimadas utilizando informações de entrada observáveis ou não observáveis. Para mensurações recorrentes e não recorrentes ao valor justo, o nível da hierarquia do </w:t>
      </w:r>
      <w:r w:rsidRPr="00214DB2">
        <w:rPr>
          <w:rFonts w:asciiTheme="minorHAnsi" w:eastAsia="Times New Roman" w:hAnsiTheme="minorHAnsi" w:cstheme="minorHAnsi"/>
          <w:sz w:val="24"/>
          <w:szCs w:val="24"/>
        </w:rPr>
        <w:lastRenderedPageBreak/>
        <w:t>valor justo dentro do qual as mensurações ao valor justo são categorizadas em sua totalidade (Nível 1, 2 ou 3);</w:t>
      </w:r>
    </w:p>
    <w:p w14:paraId="51FB2978"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(c) Para mensurações recorrentes e não recorrentes ao valor justo estimadas utilizando informações de entrada não observáveis, uma descrição da(s) técnica(s) de mensuração e das informações de entrada utilizados na mensuração ao valor justo. Se houver uma mudança na técnica de mensuração (por exemplo, mudança de uma abordagem de mercado para uma abordagem de receita ou o uso de uma técnica de mensuração adicional), a entidade deve divulgar essa mudança e a(s) razão(ões) para realizá-la. Para mensurações ao valor justo categorizadas dentro do Nível 3 da hierarquia do valor justo, ou para mensurações ao valor justo estimadas utilizando informações de entrada não observáveis, a entidade deve fornecer informação quantitativa sobre as informações de entrada não observáveis significativos utilizados na mensuração ao valor justo. A entidade não é obrigada a criar informação quantitativa para cumprir este requisito de divulgação se informações de entrada quantitativas não observáveis não forem desenvolvidos pela entidade ao mensurar o valor justo (por exemplo, quando a entidade utiliza preços de transações anteriores ou informações de preços de terceiros sem ajuste). No entanto, ao fornecer esta divulgação, a entidade não pode ignorar informações de entrada quantitativas não observáveis que sejam significativos para a mensuração ao valor justo e que estejam razoavelmente disponíveis para a entidade;</w:t>
      </w:r>
    </w:p>
    <w:p w14:paraId="2B72D329"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(d) Para mensurações recorrentes ao valor justo categorizadas dentro do Nível 3 da hierarquia do valor justo, uma conciliação dos saldos iniciais para os saldos finais, divulgando separadamente as mudanças durante o período atribuíveis ao seguinte: </w:t>
      </w:r>
    </w:p>
    <w:p w14:paraId="6F1B9B51"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(i) Ganhos ou perdas totais para o período reconhecidos no resultado, e o(s) item(ns) de linha no resultado em que esses ganhos ou perdas são reconhecidos; </w:t>
      </w:r>
    </w:p>
    <w:p w14:paraId="112260F3"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(ii) Ganhos ou perdas totais para o período reconhecidos no patrimônio líquido, e o(s) item(ns) de linha no patrimônio líquido em que esses ganhos ou perdas são reconhecidos; e </w:t>
      </w:r>
    </w:p>
    <w:p w14:paraId="6EEDFAC1"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(iii) Aquisições, vendas, emissões e liquidações (cada um desses tipos de mudanças divulgado separadamente).</w:t>
      </w:r>
    </w:p>
    <w:p w14:paraId="3AB9ABF5"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(e) Para mensurações recorrentes ao valor justo categorizadas dentro do Nível 3 da hierarquia do valor justo, o montante dos ganhos ou perdas totais para o período em (d)(i) incluído no resultado que é atribuível à mudança nos ganhos ou perdas não realizados relacionados àquelas propriedades para investimento mantidas ao final do período, e o(s) item(ns) de linha no resultado em que esses ganhos ou perdas não realizados são reconhecidos;</w:t>
      </w:r>
    </w:p>
    <w:p w14:paraId="0006BAF0"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(f) Para mensurações recorrentes e não recorrentes ao valor justo categorizadas dentro do Nível 3 da hierarquia do valor justo, uma descrição dos processos de avaliação utilizados pela entidade (incluindo, por exemplo, como a entidade decide suas políticas e procedimentos de avaliação e analisa as mudanças nas mensurações ao valor justo de período para período); e</w:t>
      </w:r>
    </w:p>
    <w:p w14:paraId="1D3E3001"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(g) Para mensurações recorrentes ao valor justo categorizadas dentro do Nível 3 da hierarquia do valor justo, uma descrição narrativa da sensibilidade da mensuração ao valor justo a mudanças nas informações de entrada não observáveis se uma mudança nessas informações de entrada para um montante diferente puder resultar em uma mensuração ao valor justo significativamente maior ou menor. Se houver inter-relações entre essas informações de entrada e outras informações de entrada não observáveis utilizados na </w:t>
      </w:r>
      <w:r w:rsidRPr="00214DB2">
        <w:rPr>
          <w:rFonts w:asciiTheme="minorHAnsi" w:eastAsia="Times New Roman" w:hAnsiTheme="minorHAnsi" w:cstheme="minorHAnsi"/>
          <w:sz w:val="24"/>
          <w:szCs w:val="24"/>
        </w:rPr>
        <w:lastRenderedPageBreak/>
        <w:t>mensuração ao valor justo, a entidade deve também fornecer uma descrição dessas inter-relações e de como elas podem amplificar ou mitigar o efeito das mudanças nas informações de entrada não observáveis na mensuração ao valor justo. Para cumprir esse requisito de divulgação, a descrição narrativa da sensibilidade a mudanças nas informações de entrada não observáveis deve incluir, no mínimo, as informações de entrada não observáveis divulgadas ao cumprir com (c).</w:t>
      </w:r>
      <w:r w:rsidRPr="00214DB2">
        <w:rPr>
          <w:rFonts w:asciiTheme="minorHAnsi" w:eastAsia="Times New Roman" w:hAnsiTheme="minorHAnsi" w:cstheme="minorHAnsi"/>
          <w:color w:val="0070C0"/>
          <w:sz w:val="24"/>
          <w:szCs w:val="24"/>
        </w:rPr>
        <w:t xml:space="preserve"> (Item incluído pela NBC TSP 06 (R1))</w:t>
      </w:r>
    </w:p>
    <w:p w14:paraId="75C44D49"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89D. A entidade deve determinar a desagregação apropriada da propriedade para investimento com base no seguinte:</w:t>
      </w:r>
    </w:p>
    <w:p w14:paraId="06D5D678"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 A natureza, características e riscos da propriedade para investimento; e</w:t>
      </w:r>
    </w:p>
    <w:p w14:paraId="54917144"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(b) O nível da hierarquia do valor justo dentro do qual a mensuração ao valor justo é categorizada, ou se o valor justo é observável ou não observável.</w:t>
      </w:r>
    </w:p>
    <w:p w14:paraId="6AB315F7" w14:textId="77777777" w:rsidR="000D53EE" w:rsidRPr="00214DB2" w:rsidRDefault="00214DB2">
      <w:pPr>
        <w:spacing w:after="120" w:line="240" w:lineRule="auto"/>
        <w:ind w:left="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 desagregação pode precisar ser maior para mensurações ao valor justo categorizadas dentro do Nível 3 da hierarquia do valor justo, pois essas mensurações possuem um maior grau de incerteza e subjetividade. A determinação da desagregação apropriada da propriedade para investimento para a qual as divulgações sobre mensurações ao valor justo devem ser fornecidas requer julgamento. A propriedade para investimento frequentemente exigirá maior desagregação do que os itens de linha apresentados no balanço patrimonial. No entanto, a entidade deve fornecer informação suficiente para permitir a conciliação com os itens de linha apresentados no balanço patrimonial. Se outra IPSAS especificar a desagregação da propriedade para investimento, a entidade pode utilizar essa desagregação ao fornecer as divulgações exigidas nesta Norma, se essa desagregação atender aos requisitos deste item.</w:t>
      </w:r>
      <w:r w:rsidRPr="00214DB2">
        <w:rPr>
          <w:rFonts w:asciiTheme="minorHAnsi" w:eastAsia="Times New Roman" w:hAnsiTheme="minorHAnsi" w:cstheme="minorHAnsi"/>
          <w:color w:val="0070C0"/>
          <w:sz w:val="24"/>
          <w:szCs w:val="24"/>
        </w:rPr>
        <w:t xml:space="preserve"> (Item incluído pela NBC TSP 06 (R1))</w:t>
      </w:r>
    </w:p>
    <w:p w14:paraId="735EA3E2"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89E. Para cada classe de propriedade para investimento não mensurada ao valor justo no balanço patrimonial, mas para a qual o valor justo é divulgado, a entidade deve divulgar as informações exigidas pelos itens 89C(b), (c) e (g). No entanto, a entidade não é obrigada a fornecer as divulgações quantitativas sobre informações de entrada significativos não observáveis utilizados em mensurações ao valor justo categorizadas dentro do Nível 3 da hierarquia do valor justo, ou para mensurações ao valor justo estimadas utilizando informações de entrada não observáveis, exigidas pelo item 89C(c). Para tais propriedades para investimento, a entidade não precisa fornecer as outras divulgações exigidas por esta Norma.</w:t>
      </w:r>
      <w:r w:rsidRPr="00214DB2">
        <w:rPr>
          <w:rFonts w:asciiTheme="minorHAnsi" w:eastAsia="Times New Roman" w:hAnsiTheme="minorHAnsi" w:cstheme="minorHAnsi"/>
          <w:color w:val="0070C0"/>
          <w:sz w:val="24"/>
          <w:szCs w:val="24"/>
        </w:rPr>
        <w:t xml:space="preserve"> (Incluído pela NBC TSP 06 (R1))</w:t>
      </w:r>
    </w:p>
    <w:p w14:paraId="10C1F84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89F. A entidade deve apresentar as divulgações quantitativas exigidas por esta Norma em formato tabular, a menos que outro formato seja mais apropriado.</w:t>
      </w:r>
      <w:r w:rsidRPr="00214DB2">
        <w:rPr>
          <w:rFonts w:asciiTheme="minorHAnsi" w:eastAsia="Times New Roman" w:hAnsiTheme="minorHAnsi" w:cstheme="minorHAnsi"/>
          <w:color w:val="0070C0"/>
          <w:sz w:val="24"/>
          <w:szCs w:val="24"/>
        </w:rPr>
        <w:t xml:space="preserve"> (Incluído pela NBC TSP 06 (R1))</w:t>
      </w:r>
    </w:p>
    <w:p w14:paraId="7C5FB50E"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7EB1C96D"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Modelo do custo</w:t>
      </w:r>
    </w:p>
    <w:p w14:paraId="058957CF"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0FA4166"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Modelo do custo histórico </w:t>
      </w:r>
      <w:r w:rsidRPr="00214DB2">
        <w:rPr>
          <w:rFonts w:asciiTheme="minorHAnsi" w:eastAsia="Times New Roman" w:hAnsiTheme="minorHAnsi" w:cstheme="minorHAnsi"/>
          <w:color w:val="0070C0"/>
          <w:sz w:val="24"/>
          <w:szCs w:val="24"/>
        </w:rPr>
        <w:t>(Alterado pela NBC TSP 06 (R1))</w:t>
      </w:r>
    </w:p>
    <w:p w14:paraId="1BAB851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E1D0B63" w14:textId="77777777" w:rsidR="000D53EE" w:rsidRPr="00214DB2" w:rsidRDefault="00214DB2">
      <w:pPr>
        <w:spacing w:after="120" w:line="240" w:lineRule="auto"/>
        <w:ind w:left="567" w:hanging="567"/>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strike/>
          <w:sz w:val="24"/>
          <w:szCs w:val="24"/>
        </w:rPr>
        <w:t>90.</w:t>
      </w:r>
      <w:r w:rsidRPr="00214DB2">
        <w:rPr>
          <w:rFonts w:asciiTheme="minorHAnsi" w:eastAsia="Times New Roman" w:hAnsiTheme="minorHAnsi" w:cstheme="minorHAnsi"/>
          <w:strike/>
          <w:sz w:val="24"/>
          <w:szCs w:val="24"/>
        </w:rPr>
        <w:tab/>
      </w:r>
      <w:r w:rsidRPr="00214DB2">
        <w:rPr>
          <w:rFonts w:asciiTheme="minorHAnsi" w:eastAsia="Times New Roman" w:hAnsiTheme="minorHAnsi" w:cstheme="minorHAnsi"/>
          <w:b/>
          <w:strike/>
          <w:sz w:val="24"/>
          <w:szCs w:val="24"/>
        </w:rPr>
        <w:t>Além das divulgações exigidas pelo item 86, a entidade que aplica o modelo do custo do item 65 deve divulgar:</w:t>
      </w:r>
    </w:p>
    <w:p w14:paraId="5B4AA001"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90.</w:t>
      </w:r>
      <w:r w:rsidRPr="00214DB2">
        <w:rPr>
          <w:rFonts w:asciiTheme="minorHAnsi" w:eastAsia="Times New Roman" w:hAnsiTheme="minorHAnsi" w:cstheme="minorHAnsi"/>
          <w:b/>
          <w:sz w:val="24"/>
          <w:szCs w:val="24"/>
        </w:rPr>
        <w:tab/>
        <w:t>Além das divulgações exigidas pelo item 86, a entidade que aplica o modelo do custo histórico do item 65 deve divulgar:</w:t>
      </w:r>
      <w:r w:rsidRPr="00214DB2">
        <w:rPr>
          <w:rFonts w:asciiTheme="minorHAnsi" w:eastAsia="Times New Roman" w:hAnsiTheme="minorHAnsi" w:cstheme="minorHAnsi"/>
          <w:color w:val="0070C0"/>
          <w:sz w:val="24"/>
          <w:szCs w:val="24"/>
        </w:rPr>
        <w:t xml:space="preserve"> (Alterado pela NBC TSP 06 (R1))</w:t>
      </w:r>
    </w:p>
    <w:p w14:paraId="58E9300C"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(a)</w:t>
      </w:r>
      <w:r w:rsidRPr="00214DB2">
        <w:rPr>
          <w:rFonts w:asciiTheme="minorHAnsi" w:eastAsia="Times New Roman" w:hAnsiTheme="minorHAnsi" w:cstheme="minorHAnsi"/>
          <w:b/>
          <w:sz w:val="24"/>
          <w:szCs w:val="24"/>
        </w:rPr>
        <w:tab/>
        <w:t>os métodos de depreciação utilizados;</w:t>
      </w:r>
    </w:p>
    <w:p w14:paraId="04E53140"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(b)</w:t>
      </w:r>
      <w:r w:rsidRPr="00214DB2">
        <w:rPr>
          <w:rFonts w:asciiTheme="minorHAnsi" w:eastAsia="Times New Roman" w:hAnsiTheme="minorHAnsi" w:cstheme="minorHAnsi"/>
          <w:b/>
          <w:sz w:val="24"/>
          <w:szCs w:val="24"/>
        </w:rPr>
        <w:tab/>
        <w:t>as vidas úteis ou as taxas de depreciação utilizadas;</w:t>
      </w:r>
    </w:p>
    <w:p w14:paraId="679F2583"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lastRenderedPageBreak/>
        <w:t>(c)</w:t>
      </w:r>
      <w:r w:rsidRPr="00214DB2">
        <w:rPr>
          <w:rFonts w:asciiTheme="minorHAnsi" w:eastAsia="Times New Roman" w:hAnsiTheme="minorHAnsi" w:cstheme="minorHAnsi"/>
          <w:b/>
          <w:sz w:val="24"/>
          <w:szCs w:val="24"/>
        </w:rPr>
        <w:tab/>
        <w:t>o valor contábil bruto e a depreciação acumulada (agregada com as perdas acumuladas por redução ao valor recuperável) no início e no fim do período;</w:t>
      </w:r>
    </w:p>
    <w:p w14:paraId="5F6EF472"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(d)</w:t>
      </w:r>
      <w:r w:rsidRPr="00214DB2">
        <w:rPr>
          <w:rFonts w:asciiTheme="minorHAnsi" w:eastAsia="Times New Roman" w:hAnsiTheme="minorHAnsi" w:cstheme="minorHAnsi"/>
          <w:b/>
          <w:sz w:val="24"/>
          <w:szCs w:val="24"/>
        </w:rPr>
        <w:tab/>
        <w:t>a conciliação do valor contábil da propriedade para investimento no início e no fim do período, mostrando o seguinte:</w:t>
      </w:r>
    </w:p>
    <w:p w14:paraId="3EA49BCC"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w:t>
      </w:r>
      <w:r w:rsidRPr="00214DB2">
        <w:rPr>
          <w:rFonts w:asciiTheme="minorHAnsi" w:eastAsia="Times New Roman" w:hAnsiTheme="minorHAnsi" w:cstheme="minorHAnsi"/>
          <w:b/>
          <w:sz w:val="24"/>
          <w:szCs w:val="24"/>
        </w:rPr>
        <w:tab/>
        <w:t>adições, divulgando separadamente as adições que resultem de aquisições e as que resultem de dispêndio subsequente reconhecido como ativo;</w:t>
      </w:r>
    </w:p>
    <w:p w14:paraId="4BF9A78B"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(ii)</w:t>
      </w:r>
      <w:r w:rsidRPr="00214DB2">
        <w:rPr>
          <w:rFonts w:asciiTheme="minorHAnsi" w:eastAsia="Times New Roman" w:hAnsiTheme="minorHAnsi" w:cstheme="minorHAnsi"/>
          <w:b/>
          <w:sz w:val="24"/>
          <w:szCs w:val="24"/>
        </w:rPr>
        <w:tab/>
        <w:t>adições que resultem de aquisições por intermédio da combinação de negócios;</w:t>
      </w:r>
    </w:p>
    <w:p w14:paraId="439D4F72" w14:textId="77777777" w:rsidR="000D53EE" w:rsidRPr="00214DB2" w:rsidRDefault="00214DB2">
      <w:pPr>
        <w:spacing w:after="120" w:line="240" w:lineRule="auto"/>
        <w:ind w:left="1418" w:hanging="425"/>
        <w:jc w:val="both"/>
        <w:rPr>
          <w:rFonts w:asciiTheme="minorHAnsi" w:eastAsia="Times New Roman" w:hAnsiTheme="minorHAnsi" w:cstheme="minorHAnsi"/>
          <w:b/>
          <w:strike/>
          <w:sz w:val="24"/>
          <w:szCs w:val="24"/>
        </w:rPr>
      </w:pPr>
      <w:r w:rsidRPr="00214DB2">
        <w:rPr>
          <w:rFonts w:asciiTheme="minorHAnsi" w:eastAsia="Times New Roman" w:hAnsiTheme="minorHAnsi" w:cstheme="minorHAnsi"/>
          <w:b/>
          <w:strike/>
          <w:sz w:val="24"/>
          <w:szCs w:val="24"/>
        </w:rPr>
        <w:t>(iii)</w:t>
      </w:r>
      <w:r w:rsidRPr="00214DB2">
        <w:rPr>
          <w:rFonts w:asciiTheme="minorHAnsi" w:eastAsia="Times New Roman" w:hAnsiTheme="minorHAnsi" w:cstheme="minorHAnsi"/>
          <w:b/>
          <w:strike/>
          <w:sz w:val="24"/>
          <w:szCs w:val="24"/>
        </w:rPr>
        <w:tab/>
        <w:t>alienações;</w:t>
      </w:r>
    </w:p>
    <w:p w14:paraId="04FD9AFD"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(iii)</w:t>
      </w:r>
      <w:r w:rsidRPr="00214DB2">
        <w:rPr>
          <w:rFonts w:asciiTheme="minorHAnsi" w:eastAsia="Times New Roman" w:hAnsiTheme="minorHAnsi" w:cstheme="minorHAnsi"/>
          <w:b/>
          <w:sz w:val="24"/>
          <w:szCs w:val="24"/>
        </w:rPr>
        <w:tab/>
        <w:t>ativos classificados como mantidos para venda ou incluídos em grupo para alienação classificado como mantido para venda em conformidade com a NBC TSP 36 e outras alienações;</w:t>
      </w:r>
      <w:r w:rsidRPr="00214DB2">
        <w:rPr>
          <w:rFonts w:asciiTheme="minorHAnsi" w:eastAsia="Times New Roman" w:hAnsiTheme="minorHAnsi" w:cstheme="minorHAnsi"/>
          <w:color w:val="0070C0"/>
          <w:sz w:val="24"/>
          <w:szCs w:val="24"/>
        </w:rPr>
        <w:t xml:space="preserve"> (Alterado pela NBC TSP 06 (R1))</w:t>
      </w:r>
    </w:p>
    <w:p w14:paraId="102F95D5"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(iv)</w:t>
      </w:r>
      <w:r w:rsidRPr="00214DB2">
        <w:rPr>
          <w:rFonts w:asciiTheme="minorHAnsi" w:eastAsia="Times New Roman" w:hAnsiTheme="minorHAnsi" w:cstheme="minorHAnsi"/>
          <w:b/>
          <w:sz w:val="24"/>
          <w:szCs w:val="24"/>
        </w:rPr>
        <w:tab/>
        <w:t>depreciação;</w:t>
      </w:r>
    </w:p>
    <w:p w14:paraId="0C93CF85"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(v)</w:t>
      </w:r>
      <w:r w:rsidRPr="00214DB2">
        <w:rPr>
          <w:rFonts w:asciiTheme="minorHAnsi" w:eastAsia="Times New Roman" w:hAnsiTheme="minorHAnsi" w:cstheme="minorHAnsi"/>
          <w:b/>
          <w:sz w:val="24"/>
          <w:szCs w:val="24"/>
        </w:rPr>
        <w:tab/>
        <w:t>o montante de perdas por redução ao valor recuperável reconhecido e de perdas por redução ao valor recuperável revertido durante o período, de acordo com a NBC TSP 09 ou a NBC TSP 10, a que for aplicável;</w:t>
      </w:r>
    </w:p>
    <w:p w14:paraId="1D8CCB34" w14:textId="77777777" w:rsidR="000D53EE" w:rsidRPr="00214DB2" w:rsidRDefault="00214DB2">
      <w:pPr>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(vi)</w:t>
      </w:r>
      <w:r w:rsidRPr="00214DB2">
        <w:rPr>
          <w:rFonts w:asciiTheme="minorHAnsi" w:eastAsia="Times New Roman" w:hAnsiTheme="minorHAnsi" w:cstheme="minorHAnsi"/>
          <w:b/>
          <w:sz w:val="24"/>
          <w:szCs w:val="24"/>
        </w:rPr>
        <w:tab/>
        <w:t>variações cambiais líquidas resultantes da conversão das demonstrações contábeis para outra moeda de apresentação e da conversão de entidade com operação no exterior para a moeda de apresentação da entidade a que se referem as demonstrações;</w:t>
      </w:r>
    </w:p>
    <w:p w14:paraId="3D5C51F9" w14:textId="77777777" w:rsidR="000D53EE" w:rsidRPr="00214DB2" w:rsidRDefault="00214DB2">
      <w:pPr>
        <w:spacing w:after="120" w:line="240" w:lineRule="auto"/>
        <w:ind w:left="1560" w:hanging="568"/>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(vii)</w:t>
      </w:r>
      <w:r w:rsidRPr="00214DB2">
        <w:rPr>
          <w:rFonts w:asciiTheme="minorHAnsi" w:eastAsia="Times New Roman" w:hAnsiTheme="minorHAnsi" w:cstheme="minorHAnsi"/>
          <w:b/>
          <w:sz w:val="24"/>
          <w:szCs w:val="24"/>
        </w:rPr>
        <w:tab/>
        <w:t>reclassificações:</w:t>
      </w:r>
    </w:p>
    <w:p w14:paraId="19C18D42" w14:textId="77777777" w:rsidR="000D53EE" w:rsidRPr="00214DB2" w:rsidRDefault="00214DB2">
      <w:pPr>
        <w:numPr>
          <w:ilvl w:val="0"/>
          <w:numId w:val="1"/>
        </w:num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r w:rsidRPr="00214DB2">
        <w:rPr>
          <w:rFonts w:asciiTheme="minorHAnsi" w:eastAsia="Times New Roman" w:hAnsiTheme="minorHAnsi" w:cstheme="minorHAnsi"/>
          <w:b/>
          <w:color w:val="000000"/>
          <w:sz w:val="24"/>
          <w:szCs w:val="24"/>
        </w:rPr>
        <w:t>de propriedade para investimento, para estoque e propriedade ocupada pelo proprietário; e</w:t>
      </w:r>
    </w:p>
    <w:p w14:paraId="3154E19D" w14:textId="77777777" w:rsidR="000D53EE" w:rsidRPr="00214DB2" w:rsidRDefault="00214DB2">
      <w:pPr>
        <w:numPr>
          <w:ilvl w:val="0"/>
          <w:numId w:val="1"/>
        </w:numPr>
        <w:pBdr>
          <w:top w:val="nil"/>
          <w:left w:val="nil"/>
          <w:bottom w:val="nil"/>
          <w:right w:val="nil"/>
          <w:between w:val="nil"/>
        </w:pBdr>
        <w:spacing w:after="120" w:line="240" w:lineRule="auto"/>
        <w:jc w:val="both"/>
        <w:rPr>
          <w:rFonts w:asciiTheme="minorHAnsi" w:eastAsia="Times New Roman" w:hAnsiTheme="minorHAnsi" w:cstheme="minorHAnsi"/>
          <w:color w:val="000000"/>
          <w:sz w:val="24"/>
          <w:szCs w:val="24"/>
        </w:rPr>
      </w:pPr>
      <w:r w:rsidRPr="00214DB2">
        <w:rPr>
          <w:rFonts w:asciiTheme="minorHAnsi" w:eastAsia="Times New Roman" w:hAnsiTheme="minorHAnsi" w:cstheme="minorHAnsi"/>
          <w:b/>
          <w:color w:val="000000"/>
          <w:sz w:val="24"/>
          <w:szCs w:val="24"/>
        </w:rPr>
        <w:t>de estoque e propriedade ocupada pelo proprietário, para propriedade para investimento;</w:t>
      </w:r>
    </w:p>
    <w:p w14:paraId="20600633" w14:textId="77777777" w:rsidR="000D53EE" w:rsidRPr="00214DB2" w:rsidRDefault="00214DB2">
      <w:pPr>
        <w:spacing w:after="120" w:line="240" w:lineRule="auto"/>
        <w:ind w:left="1560" w:hanging="568"/>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(viii)</w:t>
      </w:r>
      <w:r w:rsidRPr="00214DB2">
        <w:rPr>
          <w:rFonts w:asciiTheme="minorHAnsi" w:eastAsia="Times New Roman" w:hAnsiTheme="minorHAnsi" w:cstheme="minorHAnsi"/>
          <w:b/>
          <w:sz w:val="24"/>
          <w:szCs w:val="24"/>
        </w:rPr>
        <w:tab/>
        <w:t>outras alterações; e</w:t>
      </w:r>
    </w:p>
    <w:p w14:paraId="1EDA94EB" w14:textId="77777777" w:rsidR="000D53EE" w:rsidRPr="00214DB2" w:rsidRDefault="00214DB2">
      <w:pPr>
        <w:spacing w:after="120" w:line="240" w:lineRule="auto"/>
        <w:ind w:left="993" w:hanging="426"/>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(e)</w:t>
      </w:r>
      <w:r w:rsidRPr="00214DB2">
        <w:rPr>
          <w:rFonts w:asciiTheme="minorHAnsi" w:eastAsia="Times New Roman" w:hAnsiTheme="minorHAnsi" w:cstheme="minorHAnsi"/>
          <w:b/>
          <w:sz w:val="24"/>
          <w:szCs w:val="24"/>
        </w:rPr>
        <w:tab/>
        <w:t>o valor justo da propriedade para investimento. Nos casos excepcionais descritos no item 62, quando a entidade não puder determinar, confiavelmente, o valor justo da propriedade para investimento, ela deve divulgar:</w:t>
      </w:r>
    </w:p>
    <w:p w14:paraId="428FAC4D" w14:textId="77777777" w:rsidR="000D53EE" w:rsidRPr="00214DB2" w:rsidRDefault="00214DB2">
      <w:pPr>
        <w:tabs>
          <w:tab w:val="left" w:pos="-1985"/>
        </w:tabs>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w:t>
      </w:r>
      <w:r w:rsidRPr="00214DB2">
        <w:rPr>
          <w:rFonts w:asciiTheme="minorHAnsi" w:eastAsia="Times New Roman" w:hAnsiTheme="minorHAnsi" w:cstheme="minorHAnsi"/>
          <w:b/>
          <w:sz w:val="24"/>
          <w:szCs w:val="24"/>
        </w:rPr>
        <w:tab/>
        <w:t>a descrição da propriedade para investimento;</w:t>
      </w:r>
    </w:p>
    <w:p w14:paraId="1CD1D0E7" w14:textId="77777777" w:rsidR="000D53EE" w:rsidRPr="00214DB2" w:rsidRDefault="00214DB2">
      <w:pPr>
        <w:tabs>
          <w:tab w:val="left" w:pos="-1985"/>
        </w:tabs>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(ii)</w:t>
      </w:r>
      <w:r w:rsidRPr="00214DB2">
        <w:rPr>
          <w:rFonts w:asciiTheme="minorHAnsi" w:eastAsia="Times New Roman" w:hAnsiTheme="minorHAnsi" w:cstheme="minorHAnsi"/>
          <w:b/>
          <w:sz w:val="24"/>
          <w:szCs w:val="24"/>
        </w:rPr>
        <w:tab/>
        <w:t>a explicação da razão pela qual o valor justo não pode ser determinado confiavelmente; e</w:t>
      </w:r>
    </w:p>
    <w:p w14:paraId="3847F9F9" w14:textId="77777777" w:rsidR="000D53EE" w:rsidRPr="00214DB2" w:rsidRDefault="00214DB2">
      <w:pPr>
        <w:tabs>
          <w:tab w:val="left" w:pos="-1985"/>
        </w:tabs>
        <w:spacing w:after="0" w:line="240" w:lineRule="auto"/>
        <w:ind w:left="1418" w:hanging="425"/>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(iii)</w:t>
      </w:r>
      <w:r w:rsidRPr="00214DB2">
        <w:rPr>
          <w:rFonts w:asciiTheme="minorHAnsi" w:eastAsia="Times New Roman" w:hAnsiTheme="minorHAnsi" w:cstheme="minorHAnsi"/>
          <w:b/>
          <w:sz w:val="24"/>
          <w:szCs w:val="24"/>
        </w:rPr>
        <w:tab/>
        <w:t>se possível, o intervalo de estimativas dentro do qual seja altamente provável que o valor justo venha a diminuir.</w:t>
      </w:r>
    </w:p>
    <w:p w14:paraId="3C4D86F2" w14:textId="77777777" w:rsidR="000D53EE" w:rsidRPr="00214DB2" w:rsidRDefault="000D53EE">
      <w:pPr>
        <w:tabs>
          <w:tab w:val="left" w:pos="-1985"/>
        </w:tabs>
        <w:spacing w:after="0" w:line="240" w:lineRule="auto"/>
        <w:ind w:left="1418" w:hanging="425"/>
        <w:jc w:val="both"/>
        <w:rPr>
          <w:rFonts w:asciiTheme="minorHAnsi" w:eastAsia="Times New Roman" w:hAnsiTheme="minorHAnsi" w:cstheme="minorHAnsi"/>
          <w:b/>
          <w:sz w:val="24"/>
          <w:szCs w:val="24"/>
        </w:rPr>
      </w:pPr>
    </w:p>
    <w:p w14:paraId="053EC251"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91 a 93. (Eliminados).</w:t>
      </w:r>
    </w:p>
    <w:p w14:paraId="53B14D14"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3E6E62F"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 xml:space="preserve">Modelo do Valor Corrente </w:t>
      </w:r>
      <w:r w:rsidRPr="00214DB2">
        <w:rPr>
          <w:rFonts w:asciiTheme="minorHAnsi" w:eastAsia="Times New Roman" w:hAnsiTheme="minorHAnsi" w:cstheme="minorHAnsi"/>
          <w:color w:val="0070C0"/>
          <w:sz w:val="24"/>
          <w:szCs w:val="24"/>
        </w:rPr>
        <w:t>(Incluído pela NBC TSP 06 (R1))</w:t>
      </w:r>
    </w:p>
    <w:p w14:paraId="5C1984D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A094DC5"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94 a 96. (Eliminados).</w:t>
      </w:r>
    </w:p>
    <w:p w14:paraId="47902AA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0C056EE"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97. (Não convergido).</w:t>
      </w:r>
    </w:p>
    <w:p w14:paraId="6B9EC603" w14:textId="77777777" w:rsidR="000D53EE" w:rsidRPr="00214DB2" w:rsidRDefault="00214DB2">
      <w:pPr>
        <w:spacing w:after="12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97. A entidade que (a) tenha aplicado anteriormente a NBC TSP 06 (2019), e (b) opte pela primeira vez por classificar e contabilizar alguns ou todos os interesses de propriedade elegíveis e </w:t>
      </w:r>
      <w:r w:rsidRPr="00214DB2">
        <w:rPr>
          <w:rFonts w:asciiTheme="minorHAnsi" w:eastAsia="Times New Roman" w:hAnsiTheme="minorHAnsi" w:cstheme="minorHAnsi"/>
          <w:sz w:val="24"/>
          <w:szCs w:val="24"/>
        </w:rPr>
        <w:lastRenderedPageBreak/>
        <w:t>mantidos sob arrendamento operacional como propriedade para investimento, deve reconhecer o efeito dessa opção como um ajuste ao saldo inicial do resultado acumulado para o período em que a opção for feita pela primeira vez. Adicionalmente:</w:t>
      </w:r>
    </w:p>
    <w:p w14:paraId="451F4CC3" w14:textId="77777777" w:rsidR="000D53EE" w:rsidRPr="00214DB2" w:rsidRDefault="00214DB2">
      <w:pPr>
        <w:spacing w:after="120" w:line="240" w:lineRule="auto"/>
        <w:ind w:left="851" w:hanging="284"/>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(a) se a entidade tiver divulgado publicamente anteriormente (nas demonstrações contábeis ou de outra forma) o valor justo de sua propriedade para investimento em períodos anteriores (mensurado com base que satisfaça a definição de valor justo e a orientação no Apêndice D da NBC TSP 38), a entidade é encorajada, mas não obrigada a:</w:t>
      </w:r>
    </w:p>
    <w:p w14:paraId="5CD0AF6D" w14:textId="77777777" w:rsidR="000D53EE" w:rsidRPr="00214DB2" w:rsidRDefault="00214DB2">
      <w:pPr>
        <w:tabs>
          <w:tab w:val="left" w:pos="1418"/>
        </w:tabs>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(i) ajustar o saldo inicial dos resultados acumulados para o período mais antigo apresentado para o qual tal valor justo foi divulgado publicamente; e</w:t>
      </w:r>
    </w:p>
    <w:p w14:paraId="4CE6D997" w14:textId="77777777" w:rsidR="000D53EE" w:rsidRPr="00214DB2" w:rsidRDefault="00214DB2">
      <w:pPr>
        <w:tabs>
          <w:tab w:val="left" w:pos="1418"/>
        </w:tabs>
        <w:spacing w:after="120" w:line="240" w:lineRule="auto"/>
        <w:ind w:left="1418" w:hanging="425"/>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(ii) reapresentar a informação comparativa para esses períodos; e</w:t>
      </w:r>
    </w:p>
    <w:p w14:paraId="4F364C66" w14:textId="77777777" w:rsidR="000D53EE" w:rsidRPr="00214DB2" w:rsidRDefault="00214DB2">
      <w:pPr>
        <w:spacing w:after="120" w:line="240" w:lineRule="auto"/>
        <w:ind w:left="851" w:hanging="284"/>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(b) se a entidade não tiver divulgado publicamente anteriormente a informação descrita em (a) ela não deve reapresentar a informação comparativa e deve divulgar esse fato. </w:t>
      </w:r>
      <w:r w:rsidRPr="00214DB2">
        <w:rPr>
          <w:rFonts w:asciiTheme="minorHAnsi" w:eastAsia="Times New Roman" w:hAnsiTheme="minorHAnsi" w:cstheme="minorHAnsi"/>
          <w:color w:val="0070C0"/>
          <w:sz w:val="24"/>
          <w:szCs w:val="24"/>
        </w:rPr>
        <w:t>(Item incluído pela NBC TSP 06 (R1))</w:t>
      </w:r>
    </w:p>
    <w:p w14:paraId="711DB706"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 xml:space="preserve">Modelo do Custo Histórico </w:t>
      </w:r>
      <w:r w:rsidRPr="00214DB2">
        <w:rPr>
          <w:rFonts w:asciiTheme="minorHAnsi" w:eastAsia="Times New Roman" w:hAnsiTheme="minorHAnsi" w:cstheme="minorHAnsi"/>
          <w:color w:val="0070C0"/>
          <w:sz w:val="24"/>
          <w:szCs w:val="24"/>
        </w:rPr>
        <w:t>(Incluído pela NBC TSP 06 (R1))</w:t>
      </w:r>
    </w:p>
    <w:p w14:paraId="1C03567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4718113B"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98 e 99. (Eliminados).</w:t>
      </w:r>
    </w:p>
    <w:p w14:paraId="0159D8A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6ED95ECC" w14:textId="77777777" w:rsidR="000D53EE" w:rsidRPr="00214DB2" w:rsidRDefault="00214DB2">
      <w:pPr>
        <w:spacing w:after="0" w:line="240" w:lineRule="auto"/>
        <w:ind w:left="567" w:hanging="567"/>
        <w:jc w:val="both"/>
        <w:rPr>
          <w:rFonts w:asciiTheme="minorHAnsi" w:eastAsia="Times New Roman" w:hAnsiTheme="minorHAnsi" w:cstheme="minorHAnsi"/>
          <w:strike/>
          <w:sz w:val="24"/>
          <w:szCs w:val="24"/>
        </w:rPr>
      </w:pPr>
      <w:r w:rsidRPr="00214DB2">
        <w:rPr>
          <w:rFonts w:asciiTheme="minorHAnsi" w:eastAsia="Times New Roman" w:hAnsiTheme="minorHAnsi" w:cstheme="minorHAnsi"/>
          <w:strike/>
          <w:sz w:val="24"/>
          <w:szCs w:val="24"/>
        </w:rPr>
        <w:t>100 a 103. (Não convergido).</w:t>
      </w:r>
    </w:p>
    <w:p w14:paraId="2416BA0A"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6EBCF4D" w14:textId="77777777" w:rsidR="000D53EE" w:rsidRPr="00214DB2" w:rsidRDefault="00214DB2">
      <w:pPr>
        <w:spacing w:after="0" w:line="240" w:lineRule="auto"/>
        <w:ind w:left="567" w:hanging="567"/>
        <w:jc w:val="both"/>
        <w:rPr>
          <w:rFonts w:asciiTheme="minorHAnsi" w:eastAsia="Times New Roman" w:hAnsiTheme="minorHAnsi" w:cstheme="minorHAnsi"/>
          <w:color w:val="0070C0"/>
          <w:sz w:val="24"/>
          <w:szCs w:val="24"/>
        </w:rPr>
      </w:pPr>
      <w:r w:rsidRPr="00214DB2">
        <w:rPr>
          <w:rFonts w:asciiTheme="minorHAnsi" w:eastAsia="Times New Roman" w:hAnsiTheme="minorHAnsi" w:cstheme="minorHAnsi"/>
          <w:sz w:val="24"/>
          <w:szCs w:val="24"/>
        </w:rPr>
        <w:t xml:space="preserve">100. Para entidades que aplicaram anteriormente a NBC TSP 06 (2019), os requisitos dos itens 36 a 38 referentes à mensuração inicial de uma propriedade para investimento adquirida em uma transação de troca de ativos devem ser aplicados prospectivamente apenas a transações futuras. </w:t>
      </w:r>
      <w:r w:rsidRPr="00214DB2">
        <w:rPr>
          <w:rFonts w:asciiTheme="minorHAnsi" w:eastAsia="Times New Roman" w:hAnsiTheme="minorHAnsi" w:cstheme="minorHAnsi"/>
          <w:color w:val="0070C0"/>
          <w:sz w:val="24"/>
          <w:szCs w:val="24"/>
        </w:rPr>
        <w:t>(Incluído pela NBC TSP 06 (R1))</w:t>
      </w:r>
    </w:p>
    <w:p w14:paraId="6F7C8341" w14:textId="77777777" w:rsidR="000D53EE" w:rsidRPr="00214DB2" w:rsidRDefault="000D53EE">
      <w:pPr>
        <w:spacing w:after="0" w:line="240" w:lineRule="auto"/>
        <w:ind w:left="567" w:hanging="567"/>
        <w:jc w:val="both"/>
        <w:rPr>
          <w:rFonts w:asciiTheme="minorHAnsi" w:eastAsia="Times New Roman" w:hAnsiTheme="minorHAnsi" w:cstheme="minorHAnsi"/>
          <w:b/>
          <w:sz w:val="24"/>
          <w:szCs w:val="24"/>
        </w:rPr>
      </w:pPr>
    </w:p>
    <w:p w14:paraId="16C43CFE"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b/>
          <w:sz w:val="24"/>
          <w:szCs w:val="24"/>
        </w:rPr>
        <w:t xml:space="preserve">Arrendamentos </w:t>
      </w:r>
      <w:r w:rsidRPr="00214DB2">
        <w:rPr>
          <w:rFonts w:asciiTheme="minorHAnsi" w:eastAsia="Times New Roman" w:hAnsiTheme="minorHAnsi" w:cstheme="minorHAnsi"/>
          <w:color w:val="0070C0"/>
          <w:sz w:val="24"/>
          <w:szCs w:val="24"/>
        </w:rPr>
        <w:t>(Incluído pela NBC TSP 06 (R1))</w:t>
      </w:r>
    </w:p>
    <w:p w14:paraId="016490CD"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0A13C89D" w14:textId="77777777" w:rsidR="000D53EE" w:rsidRPr="00214DB2" w:rsidRDefault="00214DB2">
      <w:pPr>
        <w:spacing w:after="0" w:line="240" w:lineRule="auto"/>
        <w:ind w:left="567" w:hanging="567"/>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 xml:space="preserve">100A. A entidade que aplique a NBC TSP 35 pela primeira vez, assim como suas alterações relacionadas a esta Norma, deve aplicar os requisitos de transição dispostos na NBC TSP 35 à sua propriedade para investimento mantida como ativo de direito de uso. </w:t>
      </w:r>
      <w:r w:rsidRPr="00214DB2">
        <w:rPr>
          <w:rFonts w:asciiTheme="minorHAnsi" w:eastAsia="Times New Roman" w:hAnsiTheme="minorHAnsi" w:cstheme="minorHAnsi"/>
          <w:color w:val="0070C0"/>
          <w:sz w:val="24"/>
          <w:szCs w:val="24"/>
        </w:rPr>
        <w:t>(Incluído pela NBC TSP 06 (R1))</w:t>
      </w:r>
    </w:p>
    <w:p w14:paraId="3403F51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16DE78B1" w14:textId="77777777" w:rsidR="000D53EE" w:rsidRPr="00214DB2" w:rsidRDefault="00214DB2">
      <w:pPr>
        <w:spacing w:after="0" w:line="240" w:lineRule="auto"/>
        <w:ind w:left="567" w:hanging="567"/>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 xml:space="preserve">100B a 103. </w:t>
      </w:r>
      <w:r w:rsidRPr="00214DB2">
        <w:rPr>
          <w:rFonts w:asciiTheme="minorHAnsi" w:eastAsia="Times New Roman" w:hAnsiTheme="minorHAnsi" w:cstheme="minorHAnsi"/>
          <w:color w:val="0070C0"/>
          <w:sz w:val="24"/>
          <w:szCs w:val="24"/>
        </w:rPr>
        <w:t>(Não convergido pela NBC TSP 06 (R1))</w:t>
      </w:r>
    </w:p>
    <w:p w14:paraId="6FC8EDC2"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2795AB52" w14:textId="77777777" w:rsidR="000D53EE" w:rsidRPr="00214DB2" w:rsidRDefault="00214DB2">
      <w:pPr>
        <w:spacing w:after="0" w:line="240" w:lineRule="auto"/>
        <w:ind w:left="567" w:hanging="567"/>
        <w:jc w:val="both"/>
        <w:rPr>
          <w:rFonts w:asciiTheme="minorHAnsi" w:eastAsia="Times New Roman" w:hAnsiTheme="minorHAnsi" w:cstheme="minorHAnsi"/>
          <w:b/>
          <w:sz w:val="24"/>
          <w:szCs w:val="24"/>
        </w:rPr>
      </w:pPr>
      <w:r w:rsidRPr="00214DB2">
        <w:rPr>
          <w:rFonts w:asciiTheme="minorHAnsi" w:eastAsia="Times New Roman" w:hAnsiTheme="minorHAnsi" w:cstheme="minorHAnsi"/>
          <w:b/>
          <w:sz w:val="24"/>
          <w:szCs w:val="24"/>
        </w:rPr>
        <w:t>Vigência</w:t>
      </w:r>
    </w:p>
    <w:p w14:paraId="33DA4028" w14:textId="77777777" w:rsidR="000D53EE" w:rsidRPr="00214DB2" w:rsidRDefault="000D53EE">
      <w:pPr>
        <w:spacing w:after="0" w:line="240" w:lineRule="auto"/>
        <w:ind w:left="567" w:hanging="567"/>
        <w:jc w:val="both"/>
        <w:rPr>
          <w:rFonts w:asciiTheme="minorHAnsi" w:eastAsia="Times New Roman" w:hAnsiTheme="minorHAnsi" w:cstheme="minorHAnsi"/>
          <w:sz w:val="24"/>
          <w:szCs w:val="24"/>
        </w:rPr>
      </w:pPr>
    </w:p>
    <w:p w14:paraId="56DC106D" w14:textId="77777777" w:rsidR="000D53EE" w:rsidRPr="00214DB2" w:rsidRDefault="00214DB2" w:rsidP="00214DB2">
      <w:pPr>
        <w:spacing w:after="0" w:line="240" w:lineRule="auto"/>
        <w:jc w:val="both"/>
        <w:rPr>
          <w:rFonts w:asciiTheme="minorHAnsi" w:eastAsia="Times New Roman" w:hAnsiTheme="minorHAnsi" w:cstheme="minorHAnsi"/>
          <w:sz w:val="24"/>
          <w:szCs w:val="24"/>
        </w:rPr>
      </w:pPr>
      <w:r w:rsidRPr="00214DB2">
        <w:rPr>
          <w:rFonts w:asciiTheme="minorHAnsi" w:eastAsia="Times New Roman" w:hAnsiTheme="minorHAnsi" w:cstheme="minorHAnsi"/>
          <w:sz w:val="24"/>
          <w:szCs w:val="24"/>
        </w:rPr>
        <w:t>Esta Norma entra em vigor na data de sua publicação, aplicando-se aos exercícios iniciados a partir de 1º de janeiro de 2027, e revoga a NBC TSP 06, publicada no DOU, Seção 1, de 28/09/2017, salvo na existência de algum normativo em âmbito nacional que estabeleça prazos específicos – casos em que esses prevalecem.</w:t>
      </w:r>
    </w:p>
    <w:p w14:paraId="675AFA0D" w14:textId="77777777" w:rsidR="000D53EE" w:rsidRPr="00214DB2" w:rsidRDefault="000D53EE">
      <w:pPr>
        <w:spacing w:after="0" w:line="240" w:lineRule="auto"/>
        <w:ind w:left="567"/>
        <w:jc w:val="both"/>
        <w:rPr>
          <w:rFonts w:asciiTheme="minorHAnsi" w:eastAsia="Times New Roman" w:hAnsiTheme="minorHAnsi" w:cstheme="minorHAnsi"/>
          <w:sz w:val="24"/>
          <w:szCs w:val="24"/>
        </w:rPr>
      </w:pPr>
    </w:p>
    <w:p w14:paraId="2837B7F7" w14:textId="74F17807" w:rsidR="000D53EE" w:rsidRPr="00214DB2" w:rsidRDefault="00214DB2">
      <w:pPr>
        <w:pBdr>
          <w:top w:val="nil"/>
          <w:left w:val="nil"/>
          <w:bottom w:val="nil"/>
          <w:right w:val="nil"/>
          <w:between w:val="nil"/>
        </w:pBdr>
        <w:spacing w:after="0" w:line="240" w:lineRule="auto"/>
        <w:ind w:left="1906" w:hanging="1906"/>
        <w:jc w:val="right"/>
        <w:rPr>
          <w:rFonts w:asciiTheme="minorHAnsi" w:eastAsia="Times New Roman" w:hAnsiTheme="minorHAnsi" w:cstheme="minorHAnsi"/>
          <w:color w:val="000000"/>
          <w:sz w:val="24"/>
          <w:szCs w:val="24"/>
        </w:rPr>
      </w:pPr>
      <w:r w:rsidRPr="00214DB2">
        <w:rPr>
          <w:rFonts w:asciiTheme="minorHAnsi" w:eastAsia="Times New Roman" w:hAnsiTheme="minorHAnsi" w:cstheme="minorHAnsi"/>
          <w:color w:val="000000"/>
          <w:sz w:val="24"/>
          <w:szCs w:val="24"/>
        </w:rPr>
        <w:t xml:space="preserve">Brasília (DF), </w:t>
      </w:r>
      <w:r w:rsidR="00205105" w:rsidRPr="00205105">
        <w:rPr>
          <w:rFonts w:asciiTheme="minorHAnsi" w:eastAsia="Times New Roman" w:hAnsiTheme="minorHAnsi" w:cstheme="minorHAnsi"/>
          <w:color w:val="000000"/>
          <w:sz w:val="24"/>
          <w:szCs w:val="24"/>
        </w:rPr>
        <w:t>xx de xxxxx de 2025</w:t>
      </w:r>
      <w:r w:rsidRPr="00214DB2">
        <w:rPr>
          <w:rFonts w:asciiTheme="minorHAnsi" w:eastAsia="Times New Roman" w:hAnsiTheme="minorHAnsi" w:cstheme="minorHAnsi"/>
          <w:color w:val="000000"/>
          <w:sz w:val="24"/>
          <w:szCs w:val="24"/>
        </w:rPr>
        <w:t>.</w:t>
      </w:r>
    </w:p>
    <w:p w14:paraId="1E3E94E0" w14:textId="77777777" w:rsidR="000D53EE" w:rsidRPr="00214DB2" w:rsidRDefault="000D53E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42"/>
          <w:tab w:val="left" w:pos="1418"/>
        </w:tabs>
        <w:spacing w:after="0" w:line="240" w:lineRule="auto"/>
        <w:jc w:val="both"/>
        <w:rPr>
          <w:rFonts w:asciiTheme="minorHAnsi" w:eastAsia="Times New Roman" w:hAnsiTheme="minorHAnsi" w:cstheme="minorHAnsi"/>
          <w:color w:val="000000"/>
          <w:sz w:val="24"/>
          <w:szCs w:val="24"/>
        </w:rPr>
      </w:pPr>
    </w:p>
    <w:p w14:paraId="4E4F1BAD" w14:textId="77777777" w:rsidR="00214DB2" w:rsidRPr="00214DB2" w:rsidRDefault="00214DB2" w:rsidP="00214DB2">
      <w:pPr>
        <w:ind w:right="-142"/>
        <w:jc w:val="center"/>
        <w:rPr>
          <w:rFonts w:asciiTheme="minorHAnsi" w:hAnsiTheme="minorHAnsi" w:cstheme="minorHAnsi"/>
          <w:sz w:val="24"/>
          <w:szCs w:val="24"/>
        </w:rPr>
      </w:pPr>
      <w:r w:rsidRPr="00214DB2">
        <w:rPr>
          <w:rFonts w:asciiTheme="minorHAnsi" w:hAnsiTheme="minorHAnsi" w:cstheme="minorHAnsi"/>
          <w:sz w:val="24"/>
          <w:szCs w:val="24"/>
        </w:rPr>
        <w:t xml:space="preserve">CONTADOR AÉCIO PRADO DANTAS JÚNIOR </w:t>
      </w:r>
    </w:p>
    <w:p w14:paraId="4092B649" w14:textId="10214F6E" w:rsidR="00214DB2" w:rsidRPr="00214DB2" w:rsidRDefault="00214DB2" w:rsidP="00214DB2">
      <w:pPr>
        <w:ind w:right="-142"/>
        <w:jc w:val="center"/>
        <w:rPr>
          <w:rFonts w:asciiTheme="minorHAnsi" w:hAnsiTheme="minorHAnsi" w:cstheme="minorHAnsi"/>
          <w:sz w:val="24"/>
          <w:szCs w:val="24"/>
        </w:rPr>
      </w:pPr>
      <w:r w:rsidRPr="00214DB2">
        <w:rPr>
          <w:rFonts w:asciiTheme="minorHAnsi" w:hAnsiTheme="minorHAnsi" w:cstheme="minorHAnsi"/>
          <w:sz w:val="24"/>
          <w:szCs w:val="24"/>
        </w:rPr>
        <w:t>Presidente</w:t>
      </w:r>
    </w:p>
    <w:p w14:paraId="3785E45A" w14:textId="311FD7DC" w:rsidR="000D53EE" w:rsidRPr="00214DB2" w:rsidRDefault="00214DB2" w:rsidP="00214DB2">
      <w:pPr>
        <w:tabs>
          <w:tab w:val="left" w:pos="142"/>
          <w:tab w:val="left" w:pos="1418"/>
        </w:tabs>
        <w:ind w:right="-142"/>
        <w:rPr>
          <w:rFonts w:asciiTheme="minorHAnsi" w:eastAsia="Times New Roman" w:hAnsiTheme="minorHAnsi" w:cstheme="minorHAnsi"/>
          <w:color w:val="000000"/>
          <w:sz w:val="24"/>
          <w:szCs w:val="24"/>
        </w:rPr>
      </w:pPr>
      <w:r w:rsidRPr="00214DB2">
        <w:rPr>
          <w:rFonts w:asciiTheme="minorHAnsi" w:hAnsiTheme="minorHAnsi" w:cstheme="minorHAnsi"/>
          <w:sz w:val="24"/>
          <w:szCs w:val="24"/>
        </w:rPr>
        <w:t xml:space="preserve">Ata CFC nº </w:t>
      </w:r>
      <w:r w:rsidR="00205105">
        <w:rPr>
          <w:rFonts w:asciiTheme="minorHAnsi" w:hAnsiTheme="minorHAnsi" w:cstheme="minorHAnsi"/>
          <w:sz w:val="24"/>
          <w:szCs w:val="24"/>
        </w:rPr>
        <w:t>xxxx</w:t>
      </w:r>
    </w:p>
    <w:sectPr w:rsidR="000D53EE" w:rsidRPr="00214DB2">
      <w:pgSz w:w="11906" w:h="16838"/>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F2D6E" w14:textId="77777777" w:rsidR="00214DB2" w:rsidRDefault="00214DB2" w:rsidP="00214DB2">
      <w:pPr>
        <w:spacing w:after="0" w:line="240" w:lineRule="auto"/>
      </w:pPr>
      <w:r>
        <w:separator/>
      </w:r>
    </w:p>
  </w:endnote>
  <w:endnote w:type="continuationSeparator" w:id="0">
    <w:p w14:paraId="704D9AC3" w14:textId="77777777" w:rsidR="00214DB2" w:rsidRDefault="00214DB2" w:rsidP="00214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66DBA81-7133-44D8-9A2A-5AC4CE83666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E88EC28-F1EE-4B31-8097-53844237DCC4}"/>
    <w:embedBold r:id="rId3" w:fontKey="{526E4E88-53EA-49D9-9225-4A4E2FA6CEC8}"/>
    <w:embedItalic r:id="rId4" w:fontKey="{9A8FE2FE-8B4A-4BE3-AFF5-90D1AA9B2D94}"/>
    <w:embedBoldItalic r:id="rId5" w:fontKey="{997576DC-C5EC-4781-BC2B-6FCA508AAB7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0782E8D6-B524-4330-9ACA-1B29AE604454}"/>
  </w:font>
  <w:font w:name="Calibri Light">
    <w:panose1 w:val="020F0302020204030204"/>
    <w:charset w:val="00"/>
    <w:family w:val="swiss"/>
    <w:pitch w:val="variable"/>
    <w:sig w:usb0="E4002EFF" w:usb1="C200247B" w:usb2="00000009" w:usb3="00000000" w:csb0="000001FF" w:csb1="00000000"/>
    <w:embedRegular r:id="rId7" w:fontKey="{ABEAC0BC-BD5A-4250-A630-78CA4EF7EE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9B804" w14:textId="77777777" w:rsidR="00214DB2" w:rsidRDefault="00214DB2" w:rsidP="00214DB2">
      <w:pPr>
        <w:spacing w:after="0" w:line="240" w:lineRule="auto"/>
      </w:pPr>
      <w:r>
        <w:separator/>
      </w:r>
    </w:p>
  </w:footnote>
  <w:footnote w:type="continuationSeparator" w:id="0">
    <w:p w14:paraId="5745DDF5" w14:textId="77777777" w:rsidR="00214DB2" w:rsidRDefault="00214DB2" w:rsidP="00214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B7841"/>
    <w:multiLevelType w:val="multilevel"/>
    <w:tmpl w:val="40626C48"/>
    <w:lvl w:ilvl="0">
      <w:start w:val="1"/>
      <w:numFmt w:val="bullet"/>
      <w:lvlText w:val="●"/>
      <w:lvlJc w:val="left"/>
      <w:pPr>
        <w:ind w:left="1350" w:hanging="360"/>
      </w:pPr>
      <w:rPr>
        <w:rFonts w:ascii="Noto Sans Symbols" w:eastAsia="Noto Sans Symbols" w:hAnsi="Noto Sans Symbols" w:cs="Noto Sans Symbols"/>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1" w15:restartNumberingAfterBreak="0">
    <w:nsid w:val="61931D38"/>
    <w:multiLevelType w:val="multilevel"/>
    <w:tmpl w:val="399C85D0"/>
    <w:lvl w:ilvl="0">
      <w:start w:val="1"/>
      <w:numFmt w:val="bullet"/>
      <w:lvlText w:val="●"/>
      <w:lvlJc w:val="left"/>
      <w:pPr>
        <w:ind w:left="1770" w:hanging="360"/>
      </w:pPr>
      <w:rPr>
        <w:rFonts w:ascii="Noto Sans Symbols" w:eastAsia="Noto Sans Symbols" w:hAnsi="Noto Sans Symbols" w:cs="Noto Sans Symbols"/>
      </w:rPr>
    </w:lvl>
    <w:lvl w:ilvl="1">
      <w:start w:val="1"/>
      <w:numFmt w:val="bullet"/>
      <w:lvlText w:val="o"/>
      <w:lvlJc w:val="left"/>
      <w:pPr>
        <w:ind w:left="2490" w:hanging="360"/>
      </w:pPr>
      <w:rPr>
        <w:rFonts w:ascii="Courier New" w:eastAsia="Courier New" w:hAnsi="Courier New" w:cs="Courier New"/>
      </w:rPr>
    </w:lvl>
    <w:lvl w:ilvl="2">
      <w:start w:val="1"/>
      <w:numFmt w:val="bullet"/>
      <w:lvlText w:val="▪"/>
      <w:lvlJc w:val="left"/>
      <w:pPr>
        <w:ind w:left="3210" w:hanging="360"/>
      </w:pPr>
      <w:rPr>
        <w:rFonts w:ascii="Noto Sans Symbols" w:eastAsia="Noto Sans Symbols" w:hAnsi="Noto Sans Symbols" w:cs="Noto Sans Symbols"/>
      </w:rPr>
    </w:lvl>
    <w:lvl w:ilvl="3">
      <w:start w:val="1"/>
      <w:numFmt w:val="bullet"/>
      <w:lvlText w:val="●"/>
      <w:lvlJc w:val="left"/>
      <w:pPr>
        <w:ind w:left="3930" w:hanging="360"/>
      </w:pPr>
      <w:rPr>
        <w:rFonts w:ascii="Noto Sans Symbols" w:eastAsia="Noto Sans Symbols" w:hAnsi="Noto Sans Symbols" w:cs="Noto Sans Symbols"/>
      </w:rPr>
    </w:lvl>
    <w:lvl w:ilvl="4">
      <w:start w:val="1"/>
      <w:numFmt w:val="bullet"/>
      <w:lvlText w:val="o"/>
      <w:lvlJc w:val="left"/>
      <w:pPr>
        <w:ind w:left="4650" w:hanging="360"/>
      </w:pPr>
      <w:rPr>
        <w:rFonts w:ascii="Courier New" w:eastAsia="Courier New" w:hAnsi="Courier New" w:cs="Courier New"/>
      </w:rPr>
    </w:lvl>
    <w:lvl w:ilvl="5">
      <w:start w:val="1"/>
      <w:numFmt w:val="bullet"/>
      <w:lvlText w:val="▪"/>
      <w:lvlJc w:val="left"/>
      <w:pPr>
        <w:ind w:left="5370" w:hanging="360"/>
      </w:pPr>
      <w:rPr>
        <w:rFonts w:ascii="Noto Sans Symbols" w:eastAsia="Noto Sans Symbols" w:hAnsi="Noto Sans Symbols" w:cs="Noto Sans Symbols"/>
      </w:rPr>
    </w:lvl>
    <w:lvl w:ilvl="6">
      <w:start w:val="1"/>
      <w:numFmt w:val="bullet"/>
      <w:lvlText w:val="●"/>
      <w:lvlJc w:val="left"/>
      <w:pPr>
        <w:ind w:left="6090" w:hanging="360"/>
      </w:pPr>
      <w:rPr>
        <w:rFonts w:ascii="Noto Sans Symbols" w:eastAsia="Noto Sans Symbols" w:hAnsi="Noto Sans Symbols" w:cs="Noto Sans Symbols"/>
      </w:rPr>
    </w:lvl>
    <w:lvl w:ilvl="7">
      <w:start w:val="1"/>
      <w:numFmt w:val="bullet"/>
      <w:lvlText w:val="o"/>
      <w:lvlJc w:val="left"/>
      <w:pPr>
        <w:ind w:left="6810" w:hanging="360"/>
      </w:pPr>
      <w:rPr>
        <w:rFonts w:ascii="Courier New" w:eastAsia="Courier New" w:hAnsi="Courier New" w:cs="Courier New"/>
      </w:rPr>
    </w:lvl>
    <w:lvl w:ilvl="8">
      <w:start w:val="1"/>
      <w:numFmt w:val="bullet"/>
      <w:lvlText w:val="▪"/>
      <w:lvlJc w:val="left"/>
      <w:pPr>
        <w:ind w:left="7530" w:hanging="360"/>
      </w:pPr>
      <w:rPr>
        <w:rFonts w:ascii="Noto Sans Symbols" w:eastAsia="Noto Sans Symbols" w:hAnsi="Noto Sans Symbols" w:cs="Noto Sans Symbols"/>
      </w:rPr>
    </w:lvl>
  </w:abstractNum>
  <w:num w:numId="1" w16cid:durableId="1286110619">
    <w:abstractNumId w:val="1"/>
  </w:num>
  <w:num w:numId="2" w16cid:durableId="1729188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3EE"/>
    <w:rsid w:val="000D3C50"/>
    <w:rsid w:val="000D53EE"/>
    <w:rsid w:val="000F28FB"/>
    <w:rsid w:val="00205105"/>
    <w:rsid w:val="00214DB2"/>
    <w:rsid w:val="00293FBC"/>
    <w:rsid w:val="005046BF"/>
    <w:rsid w:val="00630CB0"/>
    <w:rsid w:val="00E65F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34A73"/>
  <w15:docId w15:val="{45A7EBFE-2916-4D16-B3BD-294CCA395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after="0" w:line="276" w:lineRule="auto"/>
      <w:jc w:val="center"/>
      <w:outlineLvl w:val="0"/>
    </w:pPr>
    <w:rPr>
      <w:rFonts w:ascii="Times New Roman" w:eastAsia="Times New Roman" w:hAnsi="Times New Roman" w:cs="Times New Roman"/>
      <w:b/>
      <w:sz w:val="24"/>
      <w:szCs w:val="24"/>
    </w:rPr>
  </w:style>
  <w:style w:type="paragraph" w:styleId="Ttulo2">
    <w:name w:val="heading 2"/>
    <w:basedOn w:val="Normal"/>
    <w:next w:val="Normal"/>
    <w:uiPriority w:val="9"/>
    <w:unhideWhenUsed/>
    <w:qFormat/>
    <w:pPr>
      <w:spacing w:after="0" w:line="276" w:lineRule="auto"/>
      <w:jc w:val="center"/>
      <w:outlineLvl w:val="1"/>
    </w:pPr>
    <w:rPr>
      <w:rFonts w:ascii="Times New Roman" w:eastAsia="Times New Roman" w:hAnsi="Times New Roman" w:cs="Times New Roman"/>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balo">
    <w:name w:val="Balloon Text"/>
    <w:basedOn w:val="Normal"/>
    <w:link w:val="TextodebaloChar"/>
    <w:uiPriority w:val="99"/>
    <w:semiHidden/>
    <w:unhideWhenUsed/>
    <w:rsid w:val="003A148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148E"/>
    <w:rPr>
      <w:rFonts w:ascii="Segoe UI" w:hAnsi="Segoe UI" w:cs="Segoe UI"/>
      <w:sz w:val="18"/>
      <w:szCs w:val="18"/>
    </w:rPr>
  </w:style>
  <w:style w:type="character" w:customStyle="1" w:styleId="Ttulo1Char">
    <w:name w:val="Título 1 Char"/>
    <w:basedOn w:val="Fontepargpadro"/>
    <w:uiPriority w:val="9"/>
    <w:rsid w:val="00A06366"/>
    <w:rPr>
      <w:rFonts w:ascii="Times New Roman" w:hAnsi="Times New Roman" w:cs="Times New Roman"/>
      <w:b/>
      <w:sz w:val="24"/>
    </w:rPr>
  </w:style>
  <w:style w:type="character" w:customStyle="1" w:styleId="Ttulo2Char">
    <w:name w:val="Título 2 Char"/>
    <w:basedOn w:val="Fontepargpadro"/>
    <w:uiPriority w:val="9"/>
    <w:rsid w:val="00A06366"/>
    <w:rPr>
      <w:rFonts w:ascii="Times New Roman" w:hAnsi="Times New Roman" w:cs="Times New Roman"/>
      <w:b/>
      <w:sz w:val="24"/>
    </w:rPr>
  </w:style>
  <w:style w:type="character" w:customStyle="1" w:styleId="SubttuloChar">
    <w:name w:val="Subtítulo Char"/>
    <w:basedOn w:val="Fontepargpadro"/>
    <w:uiPriority w:val="11"/>
    <w:rsid w:val="00A06366"/>
    <w:rPr>
      <w:rFonts w:ascii="Times New Roman" w:hAnsi="Times New Roman" w:cs="Times New Roman"/>
      <w:b/>
      <w:sz w:val="24"/>
    </w:rPr>
  </w:style>
  <w:style w:type="paragraph" w:styleId="PargrafodaLista">
    <w:name w:val="List Paragraph"/>
    <w:basedOn w:val="Normal"/>
    <w:uiPriority w:val="34"/>
    <w:qFormat/>
    <w:rsid w:val="008358E5"/>
    <w:pPr>
      <w:ind w:left="720"/>
      <w:contextualSpacing/>
    </w:pPr>
  </w:style>
  <w:style w:type="character" w:styleId="Refdecomentrio">
    <w:name w:val="annotation reference"/>
    <w:basedOn w:val="Fontepargpadro"/>
    <w:uiPriority w:val="99"/>
    <w:semiHidden/>
    <w:unhideWhenUsed/>
    <w:rsid w:val="00F00926"/>
    <w:rPr>
      <w:sz w:val="16"/>
      <w:szCs w:val="16"/>
    </w:rPr>
  </w:style>
  <w:style w:type="paragraph" w:styleId="Textodecomentrio">
    <w:name w:val="annotation text"/>
    <w:basedOn w:val="Normal"/>
    <w:link w:val="TextodecomentrioChar"/>
    <w:uiPriority w:val="99"/>
    <w:unhideWhenUsed/>
    <w:rsid w:val="00F00926"/>
    <w:pPr>
      <w:spacing w:line="240" w:lineRule="auto"/>
    </w:pPr>
    <w:rPr>
      <w:sz w:val="20"/>
      <w:szCs w:val="20"/>
    </w:rPr>
  </w:style>
  <w:style w:type="character" w:customStyle="1" w:styleId="TextodecomentrioChar">
    <w:name w:val="Texto de comentário Char"/>
    <w:basedOn w:val="Fontepargpadro"/>
    <w:link w:val="Textodecomentrio"/>
    <w:uiPriority w:val="99"/>
    <w:rsid w:val="00F00926"/>
    <w:rPr>
      <w:sz w:val="20"/>
      <w:szCs w:val="20"/>
    </w:rPr>
  </w:style>
  <w:style w:type="paragraph" w:styleId="Assuntodocomentrio">
    <w:name w:val="annotation subject"/>
    <w:basedOn w:val="Textodecomentrio"/>
    <w:next w:val="Textodecomentrio"/>
    <w:link w:val="AssuntodocomentrioChar"/>
    <w:uiPriority w:val="99"/>
    <w:semiHidden/>
    <w:unhideWhenUsed/>
    <w:rsid w:val="00F00926"/>
    <w:rPr>
      <w:b/>
      <w:bCs/>
    </w:rPr>
  </w:style>
  <w:style w:type="character" w:customStyle="1" w:styleId="AssuntodocomentrioChar">
    <w:name w:val="Assunto do comentário Char"/>
    <w:basedOn w:val="TextodecomentrioChar"/>
    <w:link w:val="Assuntodocomentrio"/>
    <w:uiPriority w:val="99"/>
    <w:semiHidden/>
    <w:rsid w:val="00F00926"/>
    <w:rPr>
      <w:b/>
      <w:bCs/>
      <w:sz w:val="20"/>
      <w:szCs w:val="20"/>
    </w:rPr>
  </w:style>
  <w:style w:type="paragraph" w:styleId="Reviso">
    <w:name w:val="Revision"/>
    <w:hidden/>
    <w:uiPriority w:val="99"/>
    <w:semiHidden/>
    <w:rsid w:val="00DB190B"/>
    <w:pPr>
      <w:spacing w:after="0" w:line="240" w:lineRule="auto"/>
    </w:pPr>
  </w:style>
  <w:style w:type="paragraph" w:styleId="Recuodecorpodetexto2">
    <w:name w:val="Body Text Indent 2"/>
    <w:basedOn w:val="Normal"/>
    <w:link w:val="Recuodecorpodetexto2Char"/>
    <w:rsid w:val="006A0CBF"/>
    <w:pPr>
      <w:autoSpaceDE w:val="0"/>
      <w:autoSpaceDN w:val="0"/>
      <w:spacing w:after="0" w:line="240" w:lineRule="auto"/>
      <w:ind w:left="1906" w:hanging="1906"/>
      <w:jc w:val="both"/>
    </w:pPr>
    <w:rPr>
      <w:rFonts w:ascii="Times New Roman" w:eastAsia="Times New Roman" w:hAnsi="Times New Roman" w:cs="Times New Roman"/>
      <w:sz w:val="16"/>
      <w:szCs w:val="16"/>
    </w:rPr>
  </w:style>
  <w:style w:type="character" w:customStyle="1" w:styleId="Recuodecorpodetexto2Char">
    <w:name w:val="Recuo de corpo de texto 2 Char"/>
    <w:basedOn w:val="Fontepargpadro"/>
    <w:link w:val="Recuodecorpodetexto2"/>
    <w:rsid w:val="006A0CBF"/>
    <w:rPr>
      <w:rFonts w:ascii="Times New Roman" w:eastAsia="Times New Roman" w:hAnsi="Times New Roman" w:cs="Times New Roman"/>
      <w:sz w:val="16"/>
      <w:szCs w:val="16"/>
      <w:lang w:eastAsia="pt-BR"/>
    </w:rPr>
  </w:style>
  <w:style w:type="paragraph" w:styleId="Pr-formataoHTML">
    <w:name w:val="HTML Preformatted"/>
    <w:basedOn w:val="Normal"/>
    <w:link w:val="Pr-formataoHTMLChar"/>
    <w:uiPriority w:val="99"/>
    <w:rsid w:val="006A0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Pr-formataoHTMLChar">
    <w:name w:val="Pré-formatação HTML Char"/>
    <w:basedOn w:val="Fontepargpadro"/>
    <w:link w:val="Pr-formataoHTML"/>
    <w:uiPriority w:val="99"/>
    <w:rsid w:val="006A0CBF"/>
    <w:rPr>
      <w:rFonts w:ascii="Courier New" w:eastAsia="Times New Roman" w:hAnsi="Courier New" w:cs="Times New Roman"/>
      <w:sz w:val="20"/>
      <w:szCs w:val="20"/>
    </w:rPr>
  </w:style>
  <w:style w:type="character" w:customStyle="1" w:styleId="shorttext">
    <w:name w:val="short_text"/>
    <w:basedOn w:val="Fontepargpadro"/>
    <w:rsid w:val="008B024A"/>
  </w:style>
  <w:style w:type="paragraph" w:styleId="Cabealho">
    <w:name w:val="header"/>
    <w:basedOn w:val="Normal"/>
    <w:link w:val="CabealhoChar"/>
    <w:uiPriority w:val="99"/>
    <w:unhideWhenUsed/>
    <w:rsid w:val="000566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56605"/>
  </w:style>
  <w:style w:type="paragraph" w:styleId="Rodap">
    <w:name w:val="footer"/>
    <w:basedOn w:val="Normal"/>
    <w:link w:val="RodapChar"/>
    <w:uiPriority w:val="99"/>
    <w:unhideWhenUsed/>
    <w:rsid w:val="00056605"/>
    <w:pPr>
      <w:tabs>
        <w:tab w:val="center" w:pos="4252"/>
        <w:tab w:val="right" w:pos="8504"/>
      </w:tabs>
      <w:spacing w:after="0" w:line="240" w:lineRule="auto"/>
    </w:pPr>
  </w:style>
  <w:style w:type="character" w:customStyle="1" w:styleId="RodapChar">
    <w:name w:val="Rodapé Char"/>
    <w:basedOn w:val="Fontepargpadro"/>
    <w:link w:val="Rodap"/>
    <w:uiPriority w:val="99"/>
    <w:rsid w:val="00056605"/>
  </w:style>
  <w:style w:type="paragraph" w:styleId="Textodenotaderodap">
    <w:name w:val="footnote text"/>
    <w:basedOn w:val="Normal"/>
    <w:link w:val="TextodenotaderodapChar"/>
    <w:uiPriority w:val="99"/>
    <w:semiHidden/>
    <w:unhideWhenUsed/>
    <w:rsid w:val="008D1F8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D1F85"/>
    <w:rPr>
      <w:sz w:val="20"/>
      <w:szCs w:val="20"/>
    </w:rPr>
  </w:style>
  <w:style w:type="character" w:styleId="Refdenotaderodap">
    <w:name w:val="footnote reference"/>
    <w:basedOn w:val="Fontepargpadro"/>
    <w:uiPriority w:val="99"/>
    <w:semiHidden/>
    <w:unhideWhenUsed/>
    <w:rsid w:val="008D1F85"/>
    <w:rPr>
      <w:vertAlign w:val="superscript"/>
    </w:rPr>
  </w:style>
  <w:style w:type="paragraph" w:styleId="NormalWeb">
    <w:name w:val="Normal (Web)"/>
    <w:basedOn w:val="Normal"/>
    <w:uiPriority w:val="99"/>
    <w:semiHidden/>
    <w:unhideWhenUsed/>
    <w:rsid w:val="00B41B0A"/>
    <w:rPr>
      <w:rFonts w:ascii="Times New Roman" w:hAnsi="Times New Roman" w:cs="Times New Roman"/>
      <w:sz w:val="24"/>
      <w:szCs w:val="24"/>
    </w:rPr>
  </w:style>
  <w:style w:type="paragraph" w:styleId="Subttulo">
    <w:name w:val="Subtitle"/>
    <w:basedOn w:val="Normal"/>
    <w:next w:val="Normal"/>
    <w:uiPriority w:val="11"/>
    <w:qFormat/>
    <w:pPr>
      <w:spacing w:after="0" w:line="276" w:lineRule="auto"/>
    </w:pPr>
    <w:rPr>
      <w:rFonts w:ascii="Times New Roman" w:eastAsia="Times New Roman" w:hAnsi="Times New Roman" w:cs="Times New Roman"/>
      <w:b/>
      <w:sz w:val="24"/>
      <w:szCs w:val="24"/>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VB4PBhUsgE+LnNuLI4Y2IKtAA==">CgMxLjA4AHIhMVhFeHFfM1R3WUZ1Y1htYm9tUWdwdVJZVFRWX3lpaEJF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13991</Words>
  <Characters>75552</Characters>
  <Application>Microsoft Office Word</Application>
  <DocSecurity>0</DocSecurity>
  <Lines>629</Lines>
  <Paragraphs>178</Paragraphs>
  <ScaleCrop>false</ScaleCrop>
  <Company/>
  <LinksUpToDate>false</LinksUpToDate>
  <CharactersWithSpaces>89365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Freire</dc:creator>
  <cp:lastModifiedBy>Pedro Henrique Santos de Freitas</cp:lastModifiedBy>
  <cp:revision>6</cp:revision>
  <dcterms:created xsi:type="dcterms:W3CDTF">2025-08-06T11:11:00Z</dcterms:created>
  <dcterms:modified xsi:type="dcterms:W3CDTF">2025-08-25T17:19:00Z</dcterms:modified>
</cp:coreProperties>
</file>