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F26C" w14:textId="2EB6C910" w:rsidR="00E92161" w:rsidRDefault="00A06B25" w:rsidP="00A06B25">
      <w:pPr>
        <w:tabs>
          <w:tab w:val="left" w:pos="7513"/>
        </w:tabs>
        <w:spacing w:after="0" w:line="360" w:lineRule="auto"/>
        <w:jc w:val="center"/>
        <w:rPr>
          <w:rFonts w:ascii="Calibri" w:hAnsi="Calibri" w:cs="Calibri"/>
          <w:b/>
          <w:bCs/>
          <w:sz w:val="24"/>
          <w:szCs w:val="24"/>
        </w:rPr>
      </w:pPr>
      <w:r w:rsidRPr="00A06B25">
        <w:rPr>
          <w:rFonts w:ascii="Calibri" w:hAnsi="Calibri" w:cs="Calibri"/>
          <w:b/>
          <w:bCs/>
          <w:sz w:val="24"/>
          <w:szCs w:val="24"/>
        </w:rPr>
        <w:t xml:space="preserve">NORMA BRASILEIRA DE CONTABILIDADE, NBC TSP </w:t>
      </w:r>
      <w:r>
        <w:rPr>
          <w:rFonts w:ascii="Calibri" w:hAnsi="Calibri" w:cs="Calibri"/>
          <w:b/>
          <w:bCs/>
          <w:sz w:val="24"/>
          <w:szCs w:val="24"/>
        </w:rPr>
        <w:t>05</w:t>
      </w:r>
      <w:r w:rsidRPr="00A06B25">
        <w:rPr>
          <w:rFonts w:ascii="Calibri" w:hAnsi="Calibri" w:cs="Calibri"/>
          <w:b/>
          <w:bCs/>
          <w:sz w:val="24"/>
          <w:szCs w:val="24"/>
        </w:rPr>
        <w:t xml:space="preserve"> (R1), </w:t>
      </w:r>
      <w:r w:rsidR="000C02E7" w:rsidRPr="000C02E7">
        <w:rPr>
          <w:rFonts w:ascii="Calibri" w:hAnsi="Calibri" w:cs="Calibri"/>
          <w:b/>
          <w:bCs/>
          <w:sz w:val="24"/>
          <w:szCs w:val="24"/>
        </w:rPr>
        <w:t>DE XX DE XXXXX DE 2025</w:t>
      </w:r>
    </w:p>
    <w:p w14:paraId="32D55978" w14:textId="77777777" w:rsidR="00A06B25" w:rsidRDefault="00A06B25" w:rsidP="00ED6320">
      <w:pPr>
        <w:tabs>
          <w:tab w:val="left" w:pos="7513"/>
        </w:tabs>
        <w:spacing w:after="0" w:line="240" w:lineRule="auto"/>
        <w:ind w:left="4956"/>
        <w:jc w:val="both"/>
        <w:rPr>
          <w:rFonts w:ascii="Calibri" w:hAnsi="Calibri" w:cs="Calibri"/>
          <w:b/>
          <w:bCs/>
          <w:i/>
          <w:iCs/>
          <w:sz w:val="24"/>
          <w:szCs w:val="24"/>
        </w:rPr>
      </w:pPr>
    </w:p>
    <w:p w14:paraId="2475F290" w14:textId="27EFBA93" w:rsidR="001214AA" w:rsidRPr="00A06B25" w:rsidRDefault="001F5482" w:rsidP="00ED6320">
      <w:pPr>
        <w:tabs>
          <w:tab w:val="left" w:pos="7513"/>
        </w:tabs>
        <w:spacing w:after="0" w:line="240" w:lineRule="auto"/>
        <w:ind w:left="4956"/>
        <w:jc w:val="both"/>
        <w:rPr>
          <w:rFonts w:ascii="Calibri" w:hAnsi="Calibri" w:cs="Calibri"/>
          <w:b/>
          <w:i/>
          <w:iCs/>
          <w:sz w:val="24"/>
          <w:szCs w:val="24"/>
        </w:rPr>
      </w:pPr>
      <w:r w:rsidRPr="00A06B25">
        <w:rPr>
          <w:rFonts w:ascii="Calibri" w:hAnsi="Calibri" w:cs="Calibri"/>
          <w:b/>
          <w:bCs/>
          <w:i/>
          <w:iCs/>
          <w:sz w:val="24"/>
          <w:szCs w:val="24"/>
        </w:rPr>
        <w:t>Aprova a NBC TSP 0</w:t>
      </w:r>
      <w:r w:rsidR="0045776E" w:rsidRPr="00A06B25">
        <w:rPr>
          <w:rFonts w:ascii="Calibri" w:hAnsi="Calibri" w:cs="Calibri"/>
          <w:b/>
          <w:bCs/>
          <w:i/>
          <w:iCs/>
          <w:sz w:val="24"/>
          <w:szCs w:val="24"/>
        </w:rPr>
        <w:t>5</w:t>
      </w:r>
      <w:r w:rsidRPr="00A06B25">
        <w:rPr>
          <w:rFonts w:ascii="Calibri" w:hAnsi="Calibri" w:cs="Calibri"/>
          <w:b/>
          <w:bCs/>
          <w:i/>
          <w:iCs/>
          <w:sz w:val="24"/>
          <w:szCs w:val="24"/>
        </w:rPr>
        <w:t xml:space="preserve"> (R1</w:t>
      </w:r>
      <w:r w:rsidR="004D2FE6" w:rsidRPr="00A06B25">
        <w:rPr>
          <w:rFonts w:ascii="Calibri" w:hAnsi="Calibri" w:cs="Calibri"/>
          <w:b/>
          <w:bCs/>
          <w:i/>
          <w:iCs/>
          <w:sz w:val="24"/>
          <w:szCs w:val="24"/>
        </w:rPr>
        <w:t>) Contratos</w:t>
      </w:r>
      <w:r w:rsidR="00ED6320" w:rsidRPr="00A06B25">
        <w:rPr>
          <w:rFonts w:ascii="Calibri" w:hAnsi="Calibri" w:cs="Calibri"/>
          <w:b/>
          <w:i/>
          <w:iCs/>
          <w:sz w:val="24"/>
          <w:szCs w:val="24"/>
        </w:rPr>
        <w:t xml:space="preserve"> de Concessão</w:t>
      </w:r>
      <w:r w:rsidR="000832E3" w:rsidRPr="00A06B25">
        <w:rPr>
          <w:rFonts w:ascii="Calibri" w:hAnsi="Calibri" w:cs="Calibri"/>
          <w:b/>
          <w:i/>
          <w:iCs/>
          <w:sz w:val="24"/>
          <w:szCs w:val="24"/>
        </w:rPr>
        <w:t xml:space="preserve"> </w:t>
      </w:r>
      <w:r w:rsidR="00ED6320" w:rsidRPr="00A06B25">
        <w:rPr>
          <w:rFonts w:ascii="Calibri" w:hAnsi="Calibri" w:cs="Calibri"/>
          <w:b/>
          <w:i/>
          <w:iCs/>
          <w:sz w:val="24"/>
          <w:szCs w:val="24"/>
        </w:rPr>
        <w:t>de Serviços Públicos: Concedente</w:t>
      </w:r>
      <w:r w:rsidR="00B12705" w:rsidRPr="00A06B25">
        <w:rPr>
          <w:rFonts w:ascii="Calibri" w:hAnsi="Calibri" w:cs="Calibri"/>
          <w:b/>
          <w:i/>
          <w:iCs/>
          <w:sz w:val="24"/>
          <w:szCs w:val="24"/>
        </w:rPr>
        <w:t>.</w:t>
      </w:r>
      <w:r w:rsidR="00ED6320" w:rsidRPr="00A06B25">
        <w:rPr>
          <w:rFonts w:ascii="Calibri" w:hAnsi="Calibri" w:cs="Calibri"/>
          <w:b/>
          <w:i/>
          <w:iCs/>
          <w:sz w:val="24"/>
          <w:szCs w:val="24"/>
        </w:rPr>
        <w:t xml:space="preserve">                                          </w:t>
      </w:r>
    </w:p>
    <w:p w14:paraId="6FE10212" w14:textId="77777777" w:rsidR="00E92161" w:rsidRPr="00A06B25" w:rsidRDefault="00E92161" w:rsidP="00E92161">
      <w:pPr>
        <w:spacing w:line="240" w:lineRule="auto"/>
        <w:jc w:val="both"/>
        <w:rPr>
          <w:rFonts w:ascii="Calibri" w:hAnsi="Calibri" w:cs="Calibri"/>
          <w:sz w:val="24"/>
          <w:szCs w:val="24"/>
        </w:rPr>
      </w:pPr>
    </w:p>
    <w:p w14:paraId="30BD4F61" w14:textId="37122DEE" w:rsidR="001F5482" w:rsidRPr="00A06B25" w:rsidRDefault="001F5482" w:rsidP="00A06B25">
      <w:pPr>
        <w:ind w:firstLine="708"/>
        <w:jc w:val="both"/>
        <w:rPr>
          <w:rFonts w:ascii="Calibri" w:hAnsi="Calibri" w:cs="Calibri"/>
          <w:sz w:val="24"/>
          <w:szCs w:val="24"/>
        </w:rPr>
      </w:pPr>
      <w:r w:rsidRPr="00A06B25">
        <w:rPr>
          <w:rFonts w:ascii="Calibri" w:hAnsi="Calibri" w:cs="Calibri"/>
          <w:sz w:val="24"/>
          <w:szCs w:val="24"/>
        </w:rPr>
        <w:t xml:space="preserve">O </w:t>
      </w:r>
      <w:r w:rsidRPr="00A06B25">
        <w:rPr>
          <w:rFonts w:ascii="Calibri" w:hAnsi="Calibri" w:cs="Calibri"/>
          <w:b/>
          <w:bCs/>
          <w:sz w:val="24"/>
          <w:szCs w:val="24"/>
        </w:rPr>
        <w:t>CONSELHO FEDERAL DE CONTABILIDADE</w:t>
      </w:r>
      <w:r w:rsidRPr="00A06B25">
        <w:rPr>
          <w:rFonts w:ascii="Calibri" w:hAnsi="Calibri" w:cs="Calibri"/>
          <w:sz w:val="24"/>
          <w:szCs w:val="24"/>
        </w:rPr>
        <w:t xml:space="preserve">, no exercício de suas atribuições legais e regimentais e com fundamento no disposto na alínea “f” do Art. 6º do Decreto-Lei n.º 9.295/1946, alterado pela Lei n.º 12.249/2010, alinhado com o processo de convergência das Normas Brasileiras de Contabilidade e conforme acordo firmado com a </w:t>
      </w:r>
      <w:proofErr w:type="spellStart"/>
      <w:r w:rsidRPr="00A06B25">
        <w:rPr>
          <w:rFonts w:ascii="Calibri" w:hAnsi="Calibri" w:cs="Calibri"/>
          <w:i/>
          <w:iCs/>
          <w:sz w:val="24"/>
          <w:szCs w:val="24"/>
        </w:rPr>
        <w:t>International</w:t>
      </w:r>
      <w:proofErr w:type="spellEnd"/>
      <w:r w:rsidRPr="00A06B25">
        <w:rPr>
          <w:rFonts w:ascii="Calibri" w:hAnsi="Calibri" w:cs="Calibri"/>
          <w:i/>
          <w:iCs/>
          <w:sz w:val="24"/>
          <w:szCs w:val="24"/>
        </w:rPr>
        <w:t xml:space="preserve"> Federation </w:t>
      </w:r>
      <w:proofErr w:type="spellStart"/>
      <w:r w:rsidRPr="00A06B25">
        <w:rPr>
          <w:rFonts w:ascii="Calibri" w:hAnsi="Calibri" w:cs="Calibri"/>
          <w:i/>
          <w:iCs/>
          <w:sz w:val="24"/>
          <w:szCs w:val="24"/>
        </w:rPr>
        <w:t>of</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Accountants</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Ifac</w:t>
      </w:r>
      <w:proofErr w:type="spellEnd"/>
      <w:r w:rsidRPr="00A06B25">
        <w:rPr>
          <w:rFonts w:ascii="Calibri" w:hAnsi="Calibri" w:cs="Calibri"/>
          <w:sz w:val="24"/>
          <w:szCs w:val="24"/>
        </w:rPr>
        <w:t xml:space="preserve">) autorizando o CFC a traduzir, reproduzir e publicar as normas internacionais em formato eletrônico, faz saber que foi aprovada em seu Plenário a seguinte Norma Brasileira de Contabilidade (NBC), em consonância com a </w:t>
      </w:r>
      <w:r w:rsidR="00A06B25">
        <w:rPr>
          <w:rFonts w:ascii="Calibri" w:hAnsi="Calibri" w:cs="Calibri"/>
          <w:sz w:val="24"/>
          <w:szCs w:val="24"/>
        </w:rPr>
        <w:t>IPSAS</w:t>
      </w:r>
      <w:r w:rsidRPr="00A06B25">
        <w:rPr>
          <w:rFonts w:ascii="Calibri" w:hAnsi="Calibri" w:cs="Calibri"/>
          <w:sz w:val="24"/>
          <w:szCs w:val="24"/>
        </w:rPr>
        <w:t xml:space="preserve"> 3</w:t>
      </w:r>
      <w:r w:rsidR="00141FCC">
        <w:rPr>
          <w:rFonts w:ascii="Calibri" w:hAnsi="Calibri" w:cs="Calibri"/>
          <w:sz w:val="24"/>
          <w:szCs w:val="24"/>
        </w:rPr>
        <w:t>2</w:t>
      </w:r>
      <w:r w:rsidRPr="00A06B25">
        <w:rPr>
          <w:rFonts w:ascii="Calibri" w:hAnsi="Calibri" w:cs="Calibri"/>
          <w:sz w:val="24"/>
          <w:szCs w:val="24"/>
        </w:rPr>
        <w:t xml:space="preserve"> – </w:t>
      </w:r>
      <w:proofErr w:type="spellStart"/>
      <w:r w:rsidRPr="00A06B25">
        <w:rPr>
          <w:rFonts w:ascii="Calibri" w:hAnsi="Calibri" w:cs="Calibri"/>
          <w:i/>
          <w:iCs/>
          <w:sz w:val="24"/>
          <w:szCs w:val="24"/>
        </w:rPr>
        <w:t>Accounting</w:t>
      </w:r>
      <w:proofErr w:type="spellEnd"/>
      <w:r w:rsidRPr="00A06B25">
        <w:rPr>
          <w:rFonts w:ascii="Calibri" w:hAnsi="Calibri" w:cs="Calibri"/>
          <w:i/>
          <w:iCs/>
          <w:sz w:val="24"/>
          <w:szCs w:val="24"/>
        </w:rPr>
        <w:t xml:space="preserve"> Policies, </w:t>
      </w:r>
      <w:proofErr w:type="spellStart"/>
      <w:r w:rsidRPr="00A06B25">
        <w:rPr>
          <w:rFonts w:ascii="Calibri" w:hAnsi="Calibri" w:cs="Calibri"/>
          <w:i/>
          <w:iCs/>
          <w:sz w:val="24"/>
          <w:szCs w:val="24"/>
        </w:rPr>
        <w:t>Changes</w:t>
      </w:r>
      <w:proofErr w:type="spellEnd"/>
      <w:r w:rsidRPr="00A06B25">
        <w:rPr>
          <w:rFonts w:ascii="Calibri" w:hAnsi="Calibri" w:cs="Calibri"/>
          <w:i/>
          <w:iCs/>
          <w:sz w:val="24"/>
          <w:szCs w:val="24"/>
        </w:rPr>
        <w:t xml:space="preserve"> in </w:t>
      </w:r>
      <w:proofErr w:type="spellStart"/>
      <w:r w:rsidRPr="00A06B25">
        <w:rPr>
          <w:rFonts w:ascii="Calibri" w:hAnsi="Calibri" w:cs="Calibri"/>
          <w:i/>
          <w:iCs/>
          <w:sz w:val="24"/>
          <w:szCs w:val="24"/>
        </w:rPr>
        <w:t>Accounting</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Estimates</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and</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Errors</w:t>
      </w:r>
      <w:proofErr w:type="spellEnd"/>
      <w:r w:rsidRPr="00A06B25">
        <w:rPr>
          <w:rFonts w:ascii="Calibri" w:hAnsi="Calibri" w:cs="Calibri"/>
          <w:i/>
          <w:iCs/>
          <w:sz w:val="24"/>
          <w:szCs w:val="24"/>
        </w:rPr>
        <w:t xml:space="preserve">, editada pelo </w:t>
      </w:r>
      <w:proofErr w:type="spellStart"/>
      <w:r w:rsidRPr="00A06B25">
        <w:rPr>
          <w:rFonts w:ascii="Calibri" w:hAnsi="Calibri" w:cs="Calibri"/>
          <w:i/>
          <w:iCs/>
          <w:sz w:val="24"/>
          <w:szCs w:val="24"/>
        </w:rPr>
        <w:t>International</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Public</w:t>
      </w:r>
      <w:proofErr w:type="spellEnd"/>
      <w:r w:rsidRPr="00A06B25">
        <w:rPr>
          <w:rFonts w:ascii="Calibri" w:hAnsi="Calibri" w:cs="Calibri"/>
          <w:i/>
          <w:iCs/>
          <w:sz w:val="24"/>
          <w:szCs w:val="24"/>
        </w:rPr>
        <w:t xml:space="preserve"> Sector </w:t>
      </w:r>
      <w:proofErr w:type="spellStart"/>
      <w:r w:rsidRPr="00A06B25">
        <w:rPr>
          <w:rFonts w:ascii="Calibri" w:hAnsi="Calibri" w:cs="Calibri"/>
          <w:i/>
          <w:iCs/>
          <w:sz w:val="24"/>
          <w:szCs w:val="24"/>
        </w:rPr>
        <w:t>Accounting</w:t>
      </w:r>
      <w:proofErr w:type="spellEnd"/>
      <w:r w:rsidRPr="00A06B25">
        <w:rPr>
          <w:rFonts w:ascii="Calibri" w:hAnsi="Calibri" w:cs="Calibri"/>
          <w:i/>
          <w:iCs/>
          <w:sz w:val="24"/>
          <w:szCs w:val="24"/>
        </w:rPr>
        <w:t xml:space="preserve"> Standards Board da </w:t>
      </w:r>
      <w:proofErr w:type="spellStart"/>
      <w:r w:rsidRPr="00A06B25">
        <w:rPr>
          <w:rFonts w:ascii="Calibri" w:hAnsi="Calibri" w:cs="Calibri"/>
          <w:i/>
          <w:iCs/>
          <w:sz w:val="24"/>
          <w:szCs w:val="24"/>
        </w:rPr>
        <w:t>International</w:t>
      </w:r>
      <w:proofErr w:type="spellEnd"/>
      <w:r w:rsidRPr="00A06B25">
        <w:rPr>
          <w:rFonts w:ascii="Calibri" w:hAnsi="Calibri" w:cs="Calibri"/>
          <w:i/>
          <w:iCs/>
          <w:sz w:val="24"/>
          <w:szCs w:val="24"/>
        </w:rPr>
        <w:t xml:space="preserve"> Federation </w:t>
      </w:r>
      <w:proofErr w:type="spellStart"/>
      <w:r w:rsidRPr="00A06B25">
        <w:rPr>
          <w:rFonts w:ascii="Calibri" w:hAnsi="Calibri" w:cs="Calibri"/>
          <w:i/>
          <w:iCs/>
          <w:sz w:val="24"/>
          <w:szCs w:val="24"/>
        </w:rPr>
        <w:t>of</w:t>
      </w:r>
      <w:proofErr w:type="spellEnd"/>
      <w:r w:rsidRPr="00A06B25">
        <w:rPr>
          <w:rFonts w:ascii="Calibri" w:hAnsi="Calibri" w:cs="Calibri"/>
          <w:i/>
          <w:iCs/>
          <w:sz w:val="24"/>
          <w:szCs w:val="24"/>
        </w:rPr>
        <w:t xml:space="preserve"> </w:t>
      </w:r>
      <w:proofErr w:type="spellStart"/>
      <w:r w:rsidRPr="00A06B25">
        <w:rPr>
          <w:rFonts w:ascii="Calibri" w:hAnsi="Calibri" w:cs="Calibri"/>
          <w:i/>
          <w:iCs/>
          <w:sz w:val="24"/>
          <w:szCs w:val="24"/>
        </w:rPr>
        <w:t>Accountants</w:t>
      </w:r>
      <w:proofErr w:type="spellEnd"/>
      <w:r w:rsidRPr="00A06B25">
        <w:rPr>
          <w:rFonts w:ascii="Calibri" w:hAnsi="Calibri" w:cs="Calibri"/>
          <w:sz w:val="24"/>
          <w:szCs w:val="24"/>
        </w:rPr>
        <w:t xml:space="preserve"> (IPSASB/</w:t>
      </w:r>
      <w:proofErr w:type="spellStart"/>
      <w:r w:rsidRPr="00A06B25">
        <w:rPr>
          <w:rFonts w:ascii="Calibri" w:hAnsi="Calibri" w:cs="Calibri"/>
          <w:sz w:val="24"/>
          <w:szCs w:val="24"/>
        </w:rPr>
        <w:t>Ifac</w:t>
      </w:r>
      <w:proofErr w:type="spellEnd"/>
      <w:r w:rsidRPr="00A06B25">
        <w:rPr>
          <w:rFonts w:ascii="Calibri" w:hAnsi="Calibri" w:cs="Calibri"/>
          <w:sz w:val="24"/>
          <w:szCs w:val="24"/>
        </w:rPr>
        <w:t>):</w:t>
      </w:r>
    </w:p>
    <w:p w14:paraId="3E664680" w14:textId="77777777" w:rsidR="00FD6BB8" w:rsidRPr="00A06B25" w:rsidRDefault="00FD6BB8" w:rsidP="000832E3">
      <w:pPr>
        <w:tabs>
          <w:tab w:val="left" w:pos="7513"/>
        </w:tabs>
        <w:spacing w:after="0" w:line="360" w:lineRule="auto"/>
        <w:jc w:val="both"/>
        <w:rPr>
          <w:rFonts w:ascii="Calibri" w:hAnsi="Calibri" w:cs="Calibri"/>
          <w:b/>
          <w:sz w:val="24"/>
          <w:szCs w:val="24"/>
        </w:rPr>
      </w:pPr>
    </w:p>
    <w:p w14:paraId="72DBE2C6" w14:textId="032CA2E0" w:rsidR="00FD6BB8" w:rsidRPr="00A06B25" w:rsidRDefault="000832E3" w:rsidP="00FD6BB8">
      <w:pPr>
        <w:tabs>
          <w:tab w:val="left" w:pos="7513"/>
        </w:tabs>
        <w:spacing w:after="0" w:line="360" w:lineRule="auto"/>
        <w:jc w:val="center"/>
        <w:rPr>
          <w:rFonts w:ascii="Calibri" w:hAnsi="Calibri" w:cs="Calibri"/>
          <w:b/>
          <w:sz w:val="24"/>
          <w:szCs w:val="24"/>
        </w:rPr>
      </w:pPr>
      <w:r w:rsidRPr="00A06B25">
        <w:rPr>
          <w:rFonts w:ascii="Calibri" w:hAnsi="Calibri" w:cs="Calibri"/>
          <w:b/>
          <w:sz w:val="24"/>
          <w:szCs w:val="24"/>
        </w:rPr>
        <w:t>NBC TSP 05</w:t>
      </w:r>
      <w:r w:rsidR="00A06B25">
        <w:rPr>
          <w:rFonts w:ascii="Calibri" w:hAnsi="Calibri" w:cs="Calibri"/>
          <w:b/>
          <w:sz w:val="24"/>
          <w:szCs w:val="24"/>
        </w:rPr>
        <w:t xml:space="preserve"> (R1)</w:t>
      </w:r>
      <w:r w:rsidRPr="00A06B25">
        <w:rPr>
          <w:rFonts w:ascii="Calibri" w:hAnsi="Calibri" w:cs="Calibri"/>
          <w:b/>
          <w:sz w:val="24"/>
          <w:szCs w:val="24"/>
        </w:rPr>
        <w:t xml:space="preserve"> – CONTRATOS DE CONCESSÃO DE SERVIÇOS PÚBLICOS: CONCEDENTE</w:t>
      </w:r>
    </w:p>
    <w:p w14:paraId="0BB1EC53" w14:textId="4BDD3C33" w:rsidR="00637FB9" w:rsidRPr="00A06B25" w:rsidRDefault="000832E3" w:rsidP="000832E3">
      <w:pPr>
        <w:tabs>
          <w:tab w:val="left" w:pos="7513"/>
        </w:tabs>
        <w:spacing w:after="0" w:line="360" w:lineRule="auto"/>
        <w:jc w:val="both"/>
        <w:rPr>
          <w:rFonts w:ascii="Calibri" w:hAnsi="Calibri" w:cs="Calibri"/>
          <w:b/>
          <w:sz w:val="24"/>
          <w:szCs w:val="24"/>
        </w:rPr>
      </w:pPr>
      <w:r w:rsidRPr="00A06B25">
        <w:rPr>
          <w:rFonts w:ascii="Calibri" w:hAnsi="Calibri" w:cs="Calibri"/>
          <w:b/>
          <w:sz w:val="24"/>
          <w:szCs w:val="24"/>
        </w:rPr>
        <w:t xml:space="preserve">                                    </w:t>
      </w:r>
    </w:p>
    <w:tbl>
      <w:tblPr>
        <w:tblW w:w="9567" w:type="dxa"/>
        <w:tblInd w:w="-436" w:type="dxa"/>
        <w:tblLayout w:type="fixed"/>
        <w:tblCellMar>
          <w:top w:w="15" w:type="dxa"/>
          <w:left w:w="15" w:type="dxa"/>
          <w:bottom w:w="15" w:type="dxa"/>
          <w:right w:w="15" w:type="dxa"/>
        </w:tblCellMar>
        <w:tblLook w:val="04A0" w:firstRow="1" w:lastRow="0" w:firstColumn="1" w:lastColumn="0" w:noHBand="0" w:noVBand="1"/>
      </w:tblPr>
      <w:tblGrid>
        <w:gridCol w:w="253"/>
        <w:gridCol w:w="50"/>
        <w:gridCol w:w="50"/>
        <w:gridCol w:w="50"/>
        <w:gridCol w:w="7971"/>
        <w:gridCol w:w="1193"/>
      </w:tblGrid>
      <w:tr w:rsidR="00637FB9" w:rsidRPr="00A06B25" w14:paraId="16B47BC1" w14:textId="77777777" w:rsidTr="001F664B">
        <w:trPr>
          <w:trHeight w:val="421"/>
        </w:trPr>
        <w:tc>
          <w:tcPr>
            <w:tcW w:w="253" w:type="dxa"/>
            <w:tcMar>
              <w:top w:w="0" w:type="dxa"/>
              <w:left w:w="115" w:type="dxa"/>
              <w:bottom w:w="0" w:type="dxa"/>
              <w:right w:w="115" w:type="dxa"/>
            </w:tcMar>
            <w:vAlign w:val="bottom"/>
            <w:hideMark/>
          </w:tcPr>
          <w:p w14:paraId="636818D3"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2B8D32D1" w14:textId="77777777" w:rsidR="00637FB9" w:rsidRPr="00A06B25" w:rsidRDefault="00637FB9" w:rsidP="00B02E1C">
            <w:pPr>
              <w:pStyle w:val="SemEspaamento"/>
              <w:rPr>
                <w:rFonts w:ascii="Calibri" w:hAnsi="Calibri" w:cs="Calibri"/>
                <w:b/>
                <w:bCs/>
                <w:sz w:val="24"/>
                <w:szCs w:val="24"/>
              </w:rPr>
            </w:pPr>
          </w:p>
        </w:tc>
        <w:tc>
          <w:tcPr>
            <w:tcW w:w="50" w:type="dxa"/>
          </w:tcPr>
          <w:p w14:paraId="62E33F6F" w14:textId="77777777" w:rsidR="00637FB9" w:rsidRPr="00A06B25"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4305786A" w14:textId="77777777" w:rsidR="00637FB9" w:rsidRPr="00A06B25"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3E95459" w14:textId="4CE77D3C" w:rsidR="00637FB9" w:rsidRPr="00A06B25" w:rsidRDefault="00B37EC5" w:rsidP="00B02E1C">
            <w:pPr>
              <w:pStyle w:val="SemEspaamento"/>
              <w:rPr>
                <w:rFonts w:ascii="Calibri" w:hAnsi="Calibri" w:cs="Calibri"/>
                <w:b/>
                <w:bCs/>
                <w:sz w:val="24"/>
                <w:szCs w:val="24"/>
              </w:rPr>
            </w:pPr>
            <w:r w:rsidRPr="00A06B25">
              <w:rPr>
                <w:rFonts w:ascii="Calibri" w:hAnsi="Calibri" w:cs="Calibri"/>
                <w:b/>
                <w:bCs/>
                <w:sz w:val="24"/>
                <w:szCs w:val="24"/>
              </w:rPr>
              <w:t xml:space="preserve">Sumário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55AC00" w14:textId="16518471"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Item</w:t>
            </w:r>
          </w:p>
        </w:tc>
      </w:tr>
      <w:tr w:rsidR="00637FB9" w:rsidRPr="00A06B25" w14:paraId="455CE75A" w14:textId="77777777" w:rsidTr="001F664B">
        <w:trPr>
          <w:trHeight w:val="225"/>
        </w:trPr>
        <w:tc>
          <w:tcPr>
            <w:tcW w:w="253" w:type="dxa"/>
            <w:tcMar>
              <w:top w:w="0" w:type="dxa"/>
              <w:left w:w="115" w:type="dxa"/>
              <w:bottom w:w="0" w:type="dxa"/>
              <w:right w:w="115" w:type="dxa"/>
            </w:tcMar>
            <w:vAlign w:val="bottom"/>
          </w:tcPr>
          <w:p w14:paraId="24FC6957"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0261FA5D" w14:textId="77777777" w:rsidR="00637FB9" w:rsidRPr="00A06B25" w:rsidRDefault="00637FB9" w:rsidP="00B02E1C">
            <w:pPr>
              <w:pStyle w:val="SemEspaamento"/>
              <w:rPr>
                <w:rFonts w:ascii="Calibri" w:hAnsi="Calibri" w:cs="Calibri"/>
                <w:b/>
                <w:bCs/>
                <w:sz w:val="24"/>
                <w:szCs w:val="24"/>
              </w:rPr>
            </w:pPr>
          </w:p>
        </w:tc>
        <w:tc>
          <w:tcPr>
            <w:tcW w:w="50" w:type="dxa"/>
          </w:tcPr>
          <w:p w14:paraId="03CE6767" w14:textId="77777777" w:rsidR="00637FB9" w:rsidRPr="00A06B25"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206194F1" w14:textId="77777777" w:rsidR="00637FB9" w:rsidRPr="00A06B25"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9BA6B3" w14:textId="043ED9E8" w:rsidR="00637FB9" w:rsidRPr="00A06B25" w:rsidRDefault="00B37EC5" w:rsidP="007A4EBE">
            <w:pPr>
              <w:pStyle w:val="SemEspaamento"/>
              <w:rPr>
                <w:rFonts w:ascii="Calibri" w:hAnsi="Calibri" w:cs="Calibri"/>
                <w:b/>
                <w:bCs/>
                <w:sz w:val="24"/>
                <w:szCs w:val="24"/>
              </w:rPr>
            </w:pPr>
            <w:r w:rsidRPr="00A06B25">
              <w:rPr>
                <w:rFonts w:ascii="Calibri" w:hAnsi="Calibri" w:cs="Calibri"/>
                <w:b/>
                <w:bCs/>
                <w:sz w:val="24"/>
                <w:szCs w:val="24"/>
              </w:rPr>
              <w:t xml:space="preserve">Objetivo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05704B9" w14:textId="67BC54B7"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1</w:t>
            </w:r>
          </w:p>
        </w:tc>
      </w:tr>
      <w:tr w:rsidR="00637FB9" w:rsidRPr="00A06B25" w14:paraId="2AD7BAEB" w14:textId="77777777" w:rsidTr="001F664B">
        <w:trPr>
          <w:trHeight w:val="388"/>
        </w:trPr>
        <w:tc>
          <w:tcPr>
            <w:tcW w:w="253" w:type="dxa"/>
            <w:tcMar>
              <w:top w:w="0" w:type="dxa"/>
              <w:left w:w="115" w:type="dxa"/>
              <w:bottom w:w="0" w:type="dxa"/>
              <w:right w:w="115" w:type="dxa"/>
            </w:tcMar>
            <w:vAlign w:val="bottom"/>
            <w:hideMark/>
          </w:tcPr>
          <w:p w14:paraId="18243FBD"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41ADF98C" w14:textId="77777777" w:rsidR="00637FB9" w:rsidRPr="00A06B25" w:rsidRDefault="00637FB9" w:rsidP="00B02E1C">
            <w:pPr>
              <w:pStyle w:val="SemEspaamento"/>
              <w:rPr>
                <w:rFonts w:ascii="Calibri" w:hAnsi="Calibri" w:cs="Calibri"/>
                <w:b/>
                <w:bCs/>
                <w:sz w:val="24"/>
                <w:szCs w:val="24"/>
              </w:rPr>
            </w:pPr>
          </w:p>
        </w:tc>
        <w:tc>
          <w:tcPr>
            <w:tcW w:w="50" w:type="dxa"/>
          </w:tcPr>
          <w:p w14:paraId="4A4B3910" w14:textId="77777777" w:rsidR="00637FB9" w:rsidRPr="00A06B25"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42D90669" w14:textId="77777777" w:rsidR="00637FB9" w:rsidRPr="00A06B25"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AD7BDB1" w14:textId="17E939E7" w:rsidR="00637FB9" w:rsidRPr="00A06B25" w:rsidRDefault="00B37EC5" w:rsidP="007A4EBE">
            <w:pPr>
              <w:pStyle w:val="SemEspaamento"/>
              <w:rPr>
                <w:rFonts w:ascii="Calibri" w:hAnsi="Calibri" w:cs="Calibri"/>
                <w:b/>
                <w:bCs/>
                <w:sz w:val="24"/>
                <w:szCs w:val="24"/>
              </w:rPr>
            </w:pPr>
            <w:r w:rsidRPr="00A06B25">
              <w:rPr>
                <w:rFonts w:ascii="Calibri" w:hAnsi="Calibri" w:cs="Calibri"/>
                <w:b/>
                <w:bCs/>
                <w:sz w:val="24"/>
                <w:szCs w:val="24"/>
              </w:rPr>
              <w:t xml:space="preserve">Alcance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194F715" w14:textId="3AAA2F3B"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2 – 7</w:t>
            </w:r>
          </w:p>
        </w:tc>
      </w:tr>
      <w:tr w:rsidR="00637FB9" w:rsidRPr="00A06B25" w14:paraId="268B8ECA" w14:textId="77777777" w:rsidTr="001F664B">
        <w:trPr>
          <w:trHeight w:val="406"/>
        </w:trPr>
        <w:tc>
          <w:tcPr>
            <w:tcW w:w="253" w:type="dxa"/>
            <w:tcMar>
              <w:top w:w="0" w:type="dxa"/>
              <w:left w:w="115" w:type="dxa"/>
              <w:bottom w:w="0" w:type="dxa"/>
              <w:right w:w="115" w:type="dxa"/>
            </w:tcMar>
            <w:vAlign w:val="bottom"/>
            <w:hideMark/>
          </w:tcPr>
          <w:p w14:paraId="312A9E7E"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4B0F0870" w14:textId="77777777" w:rsidR="00637FB9" w:rsidRPr="00A06B25" w:rsidRDefault="00637FB9" w:rsidP="00B02E1C">
            <w:pPr>
              <w:pStyle w:val="SemEspaamento"/>
              <w:rPr>
                <w:rFonts w:ascii="Calibri" w:hAnsi="Calibri" w:cs="Calibri"/>
                <w:sz w:val="24"/>
                <w:szCs w:val="24"/>
              </w:rPr>
            </w:pPr>
          </w:p>
        </w:tc>
        <w:tc>
          <w:tcPr>
            <w:tcW w:w="50" w:type="dxa"/>
          </w:tcPr>
          <w:p w14:paraId="1AC3812A"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593EDEE1"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BF94789" w14:textId="07D853F9" w:rsidR="00637FB9" w:rsidRPr="00A06B25" w:rsidRDefault="00B37EC5" w:rsidP="007A4EBE">
            <w:pPr>
              <w:pStyle w:val="SemEspaamento"/>
              <w:rPr>
                <w:rFonts w:ascii="Calibri" w:hAnsi="Calibri" w:cs="Calibri"/>
                <w:sz w:val="24"/>
                <w:szCs w:val="24"/>
              </w:rPr>
            </w:pPr>
            <w:r w:rsidRPr="00A06B25">
              <w:rPr>
                <w:rFonts w:ascii="Calibri" w:hAnsi="Calibri" w:cs="Calibri"/>
                <w:b/>
                <w:bCs/>
                <w:sz w:val="24"/>
                <w:szCs w:val="24"/>
              </w:rPr>
              <w:t xml:space="preserve">Definições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3A3EE5" w14:textId="111A2C0F"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8</w:t>
            </w:r>
          </w:p>
        </w:tc>
      </w:tr>
      <w:tr w:rsidR="00637FB9" w:rsidRPr="00A06B25" w14:paraId="6C0B7934" w14:textId="77777777" w:rsidTr="001F664B">
        <w:trPr>
          <w:trHeight w:val="385"/>
        </w:trPr>
        <w:tc>
          <w:tcPr>
            <w:tcW w:w="253" w:type="dxa"/>
            <w:tcMar>
              <w:top w:w="0" w:type="dxa"/>
              <w:left w:w="115" w:type="dxa"/>
              <w:bottom w:w="0" w:type="dxa"/>
              <w:right w:w="115" w:type="dxa"/>
            </w:tcMar>
            <w:vAlign w:val="bottom"/>
            <w:hideMark/>
          </w:tcPr>
          <w:p w14:paraId="52F1ACAE"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1C7A6C20" w14:textId="77777777" w:rsidR="00637FB9" w:rsidRPr="00A06B25" w:rsidRDefault="00637FB9" w:rsidP="00B02E1C">
            <w:pPr>
              <w:pStyle w:val="SemEspaamento"/>
              <w:rPr>
                <w:rFonts w:ascii="Calibri" w:hAnsi="Calibri" w:cs="Calibri"/>
                <w:sz w:val="24"/>
                <w:szCs w:val="24"/>
              </w:rPr>
            </w:pPr>
          </w:p>
        </w:tc>
        <w:tc>
          <w:tcPr>
            <w:tcW w:w="50" w:type="dxa"/>
          </w:tcPr>
          <w:p w14:paraId="1F92C418"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5C799699"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F93492B" w14:textId="0248086C" w:rsidR="00637FB9" w:rsidRPr="00A06B25" w:rsidRDefault="00B37EC5" w:rsidP="007A4EBE">
            <w:pPr>
              <w:pStyle w:val="SemEspaamento"/>
              <w:rPr>
                <w:rFonts w:ascii="Calibri" w:hAnsi="Calibri" w:cs="Calibri"/>
                <w:sz w:val="24"/>
                <w:szCs w:val="24"/>
              </w:rPr>
            </w:pPr>
            <w:r w:rsidRPr="00A06B25">
              <w:rPr>
                <w:rFonts w:ascii="Calibri" w:hAnsi="Calibri" w:cs="Calibri"/>
                <w:b/>
                <w:bCs/>
                <w:sz w:val="24"/>
                <w:szCs w:val="24"/>
              </w:rPr>
              <w:t xml:space="preserve">Reconhecimento e mensuração de ativo da concessão de serviço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6ACB71" w14:textId="2077D9B3"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9 – 13</w:t>
            </w:r>
          </w:p>
        </w:tc>
      </w:tr>
      <w:tr w:rsidR="00637FB9" w:rsidRPr="00A06B25" w14:paraId="549DCFFE" w14:textId="77777777" w:rsidTr="001F664B">
        <w:trPr>
          <w:trHeight w:val="405"/>
        </w:trPr>
        <w:tc>
          <w:tcPr>
            <w:tcW w:w="253" w:type="dxa"/>
            <w:tcMar>
              <w:top w:w="0" w:type="dxa"/>
              <w:left w:w="115" w:type="dxa"/>
              <w:bottom w:w="0" w:type="dxa"/>
              <w:right w:w="115" w:type="dxa"/>
            </w:tcMar>
            <w:vAlign w:val="bottom"/>
            <w:hideMark/>
          </w:tcPr>
          <w:p w14:paraId="0F35A0DA"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17688079" w14:textId="77777777" w:rsidR="00637FB9" w:rsidRPr="00A06B25" w:rsidRDefault="00637FB9" w:rsidP="00B02E1C">
            <w:pPr>
              <w:pStyle w:val="SemEspaamento"/>
              <w:rPr>
                <w:rFonts w:ascii="Calibri" w:hAnsi="Calibri" w:cs="Calibri"/>
                <w:b/>
                <w:bCs/>
                <w:sz w:val="24"/>
                <w:szCs w:val="24"/>
              </w:rPr>
            </w:pPr>
          </w:p>
        </w:tc>
        <w:tc>
          <w:tcPr>
            <w:tcW w:w="50" w:type="dxa"/>
          </w:tcPr>
          <w:p w14:paraId="1F155B0E" w14:textId="77777777" w:rsidR="00637FB9" w:rsidRPr="00A06B25"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1152EB4D" w14:textId="77777777" w:rsidR="00637FB9" w:rsidRPr="00A06B25"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51999D4" w14:textId="5B102E70" w:rsidR="00637FB9" w:rsidRPr="00A06B25" w:rsidRDefault="00B37EC5" w:rsidP="007A4EBE">
            <w:pPr>
              <w:pStyle w:val="SemEspaamento"/>
              <w:rPr>
                <w:rFonts w:ascii="Calibri" w:hAnsi="Calibri" w:cs="Calibri"/>
                <w:b/>
                <w:bCs/>
                <w:sz w:val="24"/>
                <w:szCs w:val="24"/>
              </w:rPr>
            </w:pPr>
            <w:r w:rsidRPr="00A06B25">
              <w:rPr>
                <w:rFonts w:ascii="Calibri" w:hAnsi="Calibri" w:cs="Calibri"/>
                <w:b/>
                <w:bCs/>
                <w:sz w:val="24"/>
                <w:szCs w:val="24"/>
              </w:rPr>
              <w:t xml:space="preserve">Reconhecimento e mensuração de passivos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22F1DFA" w14:textId="16D259BA"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14 – 28</w:t>
            </w:r>
          </w:p>
        </w:tc>
      </w:tr>
      <w:tr w:rsidR="00637FB9" w:rsidRPr="00A06B25" w14:paraId="053AC670" w14:textId="77777777" w:rsidTr="001F664B">
        <w:trPr>
          <w:trHeight w:val="397"/>
        </w:trPr>
        <w:tc>
          <w:tcPr>
            <w:tcW w:w="253" w:type="dxa"/>
            <w:tcMar>
              <w:top w:w="0" w:type="dxa"/>
              <w:left w:w="115" w:type="dxa"/>
              <w:bottom w:w="0" w:type="dxa"/>
              <w:right w:w="115" w:type="dxa"/>
            </w:tcMar>
            <w:vAlign w:val="bottom"/>
            <w:hideMark/>
          </w:tcPr>
          <w:p w14:paraId="45412AC0"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7011DBAB" w14:textId="77777777" w:rsidR="00637FB9" w:rsidRPr="00A06B25" w:rsidRDefault="00637FB9" w:rsidP="00B02E1C">
            <w:pPr>
              <w:pStyle w:val="SemEspaamento"/>
              <w:rPr>
                <w:rFonts w:ascii="Calibri" w:hAnsi="Calibri" w:cs="Calibri"/>
                <w:sz w:val="24"/>
                <w:szCs w:val="24"/>
              </w:rPr>
            </w:pPr>
          </w:p>
        </w:tc>
        <w:tc>
          <w:tcPr>
            <w:tcW w:w="50" w:type="dxa"/>
          </w:tcPr>
          <w:p w14:paraId="782519BE"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42597A25"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AFBB79" w14:textId="493A6C30" w:rsidR="00637FB9" w:rsidRPr="00A06B25" w:rsidRDefault="0007167A" w:rsidP="007A4EBE">
            <w:pPr>
              <w:pStyle w:val="SemEspaamento"/>
              <w:rPr>
                <w:rFonts w:ascii="Calibri" w:hAnsi="Calibri" w:cs="Calibri"/>
                <w:sz w:val="24"/>
                <w:szCs w:val="24"/>
              </w:rPr>
            </w:pPr>
            <w:r w:rsidRPr="00A06B25">
              <w:rPr>
                <w:rFonts w:ascii="Calibri" w:hAnsi="Calibri" w:cs="Calibri"/>
                <w:b/>
                <w:bCs/>
                <w:sz w:val="24"/>
                <w:szCs w:val="24"/>
              </w:rPr>
              <w:t xml:space="preserve">       </w:t>
            </w:r>
            <w:r w:rsidR="00B37EC5" w:rsidRPr="00A06B25">
              <w:rPr>
                <w:rFonts w:ascii="Calibri" w:hAnsi="Calibri" w:cs="Calibri"/>
                <w:b/>
                <w:bCs/>
                <w:sz w:val="24"/>
                <w:szCs w:val="24"/>
              </w:rPr>
              <w:t xml:space="preserve">Modelo de financiamento de passivos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9B80F96" w14:textId="2AC0881C"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18 – 23</w:t>
            </w:r>
          </w:p>
        </w:tc>
      </w:tr>
      <w:tr w:rsidR="00637FB9" w:rsidRPr="00A06B25" w14:paraId="1C501132" w14:textId="77777777" w:rsidTr="001F664B">
        <w:trPr>
          <w:trHeight w:val="390"/>
        </w:trPr>
        <w:tc>
          <w:tcPr>
            <w:tcW w:w="253" w:type="dxa"/>
            <w:tcMar>
              <w:top w:w="0" w:type="dxa"/>
              <w:left w:w="115" w:type="dxa"/>
              <w:bottom w:w="0" w:type="dxa"/>
              <w:right w:w="115" w:type="dxa"/>
            </w:tcMar>
            <w:vAlign w:val="bottom"/>
            <w:hideMark/>
          </w:tcPr>
          <w:p w14:paraId="3ADB5B1A"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0C42D8ED" w14:textId="77777777" w:rsidR="00637FB9" w:rsidRPr="00A06B25" w:rsidRDefault="00637FB9" w:rsidP="00B02E1C">
            <w:pPr>
              <w:pStyle w:val="SemEspaamento"/>
              <w:rPr>
                <w:rFonts w:ascii="Calibri" w:hAnsi="Calibri" w:cs="Calibri"/>
                <w:sz w:val="24"/>
                <w:szCs w:val="24"/>
              </w:rPr>
            </w:pPr>
          </w:p>
        </w:tc>
        <w:tc>
          <w:tcPr>
            <w:tcW w:w="50" w:type="dxa"/>
          </w:tcPr>
          <w:p w14:paraId="7B88C5D3"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491A25AA"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23C7E6" w14:textId="0022CEEE" w:rsidR="00637FB9" w:rsidRPr="00A06B25" w:rsidRDefault="0007167A" w:rsidP="007A4EBE">
            <w:pPr>
              <w:pStyle w:val="SemEspaamento"/>
              <w:rPr>
                <w:rFonts w:ascii="Calibri" w:hAnsi="Calibri" w:cs="Calibri"/>
                <w:sz w:val="24"/>
                <w:szCs w:val="24"/>
              </w:rPr>
            </w:pPr>
            <w:r w:rsidRPr="00A06B25">
              <w:rPr>
                <w:rFonts w:ascii="Calibri" w:hAnsi="Calibri" w:cs="Calibri"/>
                <w:b/>
                <w:bCs/>
                <w:sz w:val="24"/>
                <w:szCs w:val="24"/>
              </w:rPr>
              <w:t xml:space="preserve">       </w:t>
            </w:r>
            <w:r w:rsidR="00B37EC5" w:rsidRPr="00A06B25">
              <w:rPr>
                <w:rFonts w:ascii="Calibri" w:hAnsi="Calibri" w:cs="Calibri"/>
                <w:b/>
                <w:bCs/>
                <w:sz w:val="24"/>
                <w:szCs w:val="24"/>
              </w:rPr>
              <w:t xml:space="preserve">Modelo de concessão de direitos à concessionária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6B86D8F" w14:textId="7FE80809"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24 – 26</w:t>
            </w:r>
          </w:p>
        </w:tc>
      </w:tr>
      <w:tr w:rsidR="00637FB9" w:rsidRPr="00A06B25" w14:paraId="79CB60A8" w14:textId="77777777" w:rsidTr="001F664B">
        <w:trPr>
          <w:trHeight w:val="408"/>
        </w:trPr>
        <w:tc>
          <w:tcPr>
            <w:tcW w:w="253" w:type="dxa"/>
            <w:tcMar>
              <w:top w:w="0" w:type="dxa"/>
              <w:left w:w="115" w:type="dxa"/>
              <w:bottom w:w="0" w:type="dxa"/>
              <w:right w:w="115" w:type="dxa"/>
            </w:tcMar>
            <w:vAlign w:val="bottom"/>
            <w:hideMark/>
          </w:tcPr>
          <w:p w14:paraId="46B06396"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77E942B6" w14:textId="77777777" w:rsidR="00637FB9" w:rsidRPr="00A06B25" w:rsidRDefault="00637FB9" w:rsidP="00B02E1C">
            <w:pPr>
              <w:pStyle w:val="SemEspaamento"/>
              <w:rPr>
                <w:rFonts w:ascii="Calibri" w:hAnsi="Calibri" w:cs="Calibri"/>
                <w:b/>
                <w:bCs/>
                <w:sz w:val="24"/>
                <w:szCs w:val="24"/>
              </w:rPr>
            </w:pPr>
          </w:p>
        </w:tc>
        <w:tc>
          <w:tcPr>
            <w:tcW w:w="50" w:type="dxa"/>
          </w:tcPr>
          <w:p w14:paraId="4AB13C6C" w14:textId="77777777" w:rsidR="00637FB9" w:rsidRPr="00A06B25" w:rsidRDefault="00637FB9" w:rsidP="00B02E1C">
            <w:pPr>
              <w:pStyle w:val="SemEspaamento"/>
              <w:rPr>
                <w:rFonts w:ascii="Calibri" w:hAnsi="Calibri" w:cs="Calibri"/>
                <w:b/>
                <w:bCs/>
                <w:sz w:val="24"/>
                <w:szCs w:val="24"/>
              </w:rPr>
            </w:pPr>
          </w:p>
        </w:tc>
        <w:tc>
          <w:tcPr>
            <w:tcW w:w="50" w:type="dxa"/>
            <w:tcBorders>
              <w:right w:val="single" w:sz="4" w:space="0" w:color="000000"/>
            </w:tcBorders>
          </w:tcPr>
          <w:p w14:paraId="0C67E244" w14:textId="77777777" w:rsidR="00637FB9" w:rsidRPr="00A06B25" w:rsidRDefault="00637FB9" w:rsidP="00B02E1C">
            <w:pPr>
              <w:pStyle w:val="SemEspaamento"/>
              <w:rPr>
                <w:rFonts w:ascii="Calibri" w:hAnsi="Calibri" w:cs="Calibri"/>
                <w:b/>
                <w:bCs/>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85FF4D1" w14:textId="76537577" w:rsidR="00637FB9" w:rsidRPr="00A06B25" w:rsidRDefault="0007167A" w:rsidP="007A4EBE">
            <w:pPr>
              <w:pStyle w:val="SemEspaamento"/>
              <w:rPr>
                <w:rFonts w:ascii="Calibri" w:hAnsi="Calibri" w:cs="Calibri"/>
                <w:b/>
                <w:bCs/>
                <w:sz w:val="24"/>
                <w:szCs w:val="24"/>
              </w:rPr>
            </w:pPr>
            <w:r w:rsidRPr="00A06B25">
              <w:rPr>
                <w:rFonts w:ascii="Calibri" w:hAnsi="Calibri" w:cs="Calibri"/>
                <w:b/>
                <w:bCs/>
                <w:sz w:val="24"/>
                <w:szCs w:val="24"/>
              </w:rPr>
              <w:t xml:space="preserve">       </w:t>
            </w:r>
            <w:r w:rsidR="00B37EC5" w:rsidRPr="00A06B25">
              <w:rPr>
                <w:rFonts w:ascii="Calibri" w:hAnsi="Calibri" w:cs="Calibri"/>
                <w:b/>
                <w:bCs/>
                <w:sz w:val="24"/>
                <w:szCs w:val="24"/>
              </w:rPr>
              <w:t xml:space="preserve">Modelo bifurcado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43FAC8C" w14:textId="3EE7DD44" w:rsidR="00637FB9" w:rsidRPr="00A06B25" w:rsidRDefault="00B37EC5" w:rsidP="00326B53">
            <w:pPr>
              <w:pStyle w:val="SemEspaamento"/>
              <w:jc w:val="center"/>
              <w:rPr>
                <w:rFonts w:ascii="Calibri" w:hAnsi="Calibri" w:cs="Calibri"/>
                <w:b/>
                <w:bCs/>
                <w:sz w:val="24"/>
                <w:szCs w:val="24"/>
              </w:rPr>
            </w:pPr>
            <w:r w:rsidRPr="00A06B25">
              <w:rPr>
                <w:rFonts w:ascii="Calibri" w:hAnsi="Calibri" w:cs="Calibri"/>
                <w:b/>
                <w:bCs/>
                <w:sz w:val="24"/>
                <w:szCs w:val="24"/>
              </w:rPr>
              <w:t>27 – 28</w:t>
            </w:r>
          </w:p>
        </w:tc>
      </w:tr>
      <w:tr w:rsidR="00637FB9" w:rsidRPr="00A06B25" w14:paraId="56762CB1" w14:textId="77777777" w:rsidTr="001F664B">
        <w:trPr>
          <w:trHeight w:val="388"/>
        </w:trPr>
        <w:tc>
          <w:tcPr>
            <w:tcW w:w="253" w:type="dxa"/>
            <w:tcMar>
              <w:top w:w="0" w:type="dxa"/>
              <w:left w:w="115" w:type="dxa"/>
              <w:bottom w:w="0" w:type="dxa"/>
              <w:right w:w="115" w:type="dxa"/>
            </w:tcMar>
            <w:vAlign w:val="bottom"/>
            <w:hideMark/>
          </w:tcPr>
          <w:p w14:paraId="0A47F928"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062E2B35" w14:textId="77777777" w:rsidR="00637FB9" w:rsidRPr="00A06B25" w:rsidRDefault="00637FB9" w:rsidP="00B02E1C">
            <w:pPr>
              <w:pStyle w:val="SemEspaamento"/>
              <w:rPr>
                <w:rFonts w:ascii="Calibri" w:hAnsi="Calibri" w:cs="Calibri"/>
                <w:sz w:val="24"/>
                <w:szCs w:val="24"/>
              </w:rPr>
            </w:pPr>
          </w:p>
        </w:tc>
        <w:tc>
          <w:tcPr>
            <w:tcW w:w="50" w:type="dxa"/>
          </w:tcPr>
          <w:p w14:paraId="343C4228"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06C2D153"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AE519FE" w14:textId="335ABC25" w:rsidR="00637FB9" w:rsidRPr="00A06B25" w:rsidRDefault="00917C3E" w:rsidP="007A4EBE">
            <w:pPr>
              <w:pStyle w:val="SemEspaamento"/>
              <w:rPr>
                <w:rFonts w:ascii="Calibri" w:hAnsi="Calibri" w:cs="Calibri"/>
                <w:sz w:val="24"/>
                <w:szCs w:val="24"/>
              </w:rPr>
            </w:pPr>
            <w:r w:rsidRPr="00A06B25">
              <w:rPr>
                <w:rFonts w:ascii="Calibri" w:hAnsi="Calibri" w:cs="Calibri"/>
                <w:b/>
                <w:bCs/>
                <w:sz w:val="24"/>
                <w:szCs w:val="24"/>
              </w:rPr>
              <w:t xml:space="preserve">Outros passivos, compromissos, passivos contingentes e ativos contingentes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22311FF" w14:textId="6479DE72" w:rsidR="00637FB9" w:rsidRPr="00A06B25" w:rsidRDefault="00917C3E" w:rsidP="00326B53">
            <w:pPr>
              <w:pStyle w:val="SemEspaamento"/>
              <w:jc w:val="center"/>
              <w:rPr>
                <w:rFonts w:ascii="Calibri" w:hAnsi="Calibri" w:cs="Calibri"/>
                <w:b/>
                <w:bCs/>
                <w:sz w:val="24"/>
                <w:szCs w:val="24"/>
              </w:rPr>
            </w:pPr>
            <w:r w:rsidRPr="00A06B25">
              <w:rPr>
                <w:rFonts w:ascii="Calibri" w:hAnsi="Calibri" w:cs="Calibri"/>
                <w:b/>
                <w:bCs/>
                <w:sz w:val="24"/>
                <w:szCs w:val="24"/>
              </w:rPr>
              <w:t>29</w:t>
            </w:r>
          </w:p>
        </w:tc>
      </w:tr>
      <w:tr w:rsidR="00637FB9" w:rsidRPr="00A06B25" w14:paraId="07E48FA4" w14:textId="77777777" w:rsidTr="001F664B">
        <w:trPr>
          <w:trHeight w:val="394"/>
        </w:trPr>
        <w:tc>
          <w:tcPr>
            <w:tcW w:w="253" w:type="dxa"/>
            <w:tcMar>
              <w:top w:w="0" w:type="dxa"/>
              <w:left w:w="115" w:type="dxa"/>
              <w:bottom w:w="0" w:type="dxa"/>
              <w:right w:w="115" w:type="dxa"/>
            </w:tcMar>
            <w:vAlign w:val="bottom"/>
            <w:hideMark/>
          </w:tcPr>
          <w:p w14:paraId="0E9D5FF7"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46773C27" w14:textId="77777777" w:rsidR="00637FB9" w:rsidRPr="00A06B25" w:rsidRDefault="00637FB9" w:rsidP="00B02E1C">
            <w:pPr>
              <w:pStyle w:val="SemEspaamento"/>
              <w:rPr>
                <w:rFonts w:ascii="Calibri" w:hAnsi="Calibri" w:cs="Calibri"/>
                <w:sz w:val="24"/>
                <w:szCs w:val="24"/>
              </w:rPr>
            </w:pPr>
          </w:p>
        </w:tc>
        <w:tc>
          <w:tcPr>
            <w:tcW w:w="50" w:type="dxa"/>
          </w:tcPr>
          <w:p w14:paraId="674B9190"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591C22A5"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769EBE9" w14:textId="532A0221" w:rsidR="00637FB9" w:rsidRPr="00A06B25" w:rsidRDefault="00917C3E" w:rsidP="007A4EBE">
            <w:pPr>
              <w:pStyle w:val="SemEspaamento"/>
              <w:rPr>
                <w:rFonts w:ascii="Calibri" w:hAnsi="Calibri" w:cs="Calibri"/>
                <w:sz w:val="24"/>
                <w:szCs w:val="24"/>
              </w:rPr>
            </w:pPr>
            <w:r w:rsidRPr="00A06B25">
              <w:rPr>
                <w:rFonts w:ascii="Calibri" w:hAnsi="Calibri" w:cs="Calibri"/>
                <w:b/>
                <w:bCs/>
                <w:sz w:val="24"/>
                <w:szCs w:val="24"/>
              </w:rPr>
              <w:t xml:space="preserve">Outras receitas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8C0690" w14:textId="346ACD96" w:rsidR="00637FB9" w:rsidRPr="00A06B25" w:rsidRDefault="00917C3E" w:rsidP="00326B53">
            <w:pPr>
              <w:pStyle w:val="SemEspaamento"/>
              <w:jc w:val="center"/>
              <w:rPr>
                <w:rFonts w:ascii="Calibri" w:hAnsi="Calibri" w:cs="Calibri"/>
                <w:b/>
                <w:bCs/>
                <w:sz w:val="24"/>
                <w:szCs w:val="24"/>
              </w:rPr>
            </w:pPr>
            <w:r w:rsidRPr="00A06B25">
              <w:rPr>
                <w:rFonts w:ascii="Calibri" w:hAnsi="Calibri" w:cs="Calibri"/>
                <w:b/>
                <w:bCs/>
                <w:sz w:val="24"/>
                <w:szCs w:val="24"/>
              </w:rPr>
              <w:t>30</w:t>
            </w:r>
          </w:p>
        </w:tc>
      </w:tr>
      <w:tr w:rsidR="00637FB9" w:rsidRPr="00A06B25" w14:paraId="672A1751" w14:textId="77777777" w:rsidTr="001F664B">
        <w:trPr>
          <w:trHeight w:val="398"/>
        </w:trPr>
        <w:tc>
          <w:tcPr>
            <w:tcW w:w="253" w:type="dxa"/>
            <w:tcMar>
              <w:top w:w="0" w:type="dxa"/>
              <w:left w:w="115" w:type="dxa"/>
              <w:bottom w:w="0" w:type="dxa"/>
              <w:right w:w="115" w:type="dxa"/>
            </w:tcMar>
            <w:vAlign w:val="bottom"/>
            <w:hideMark/>
          </w:tcPr>
          <w:p w14:paraId="66674B6F"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23C5DEC2" w14:textId="77777777" w:rsidR="00637FB9" w:rsidRPr="00A06B25" w:rsidRDefault="00637FB9" w:rsidP="00B02E1C">
            <w:pPr>
              <w:pStyle w:val="SemEspaamento"/>
              <w:rPr>
                <w:rFonts w:ascii="Calibri" w:hAnsi="Calibri" w:cs="Calibri"/>
                <w:sz w:val="24"/>
                <w:szCs w:val="24"/>
              </w:rPr>
            </w:pPr>
          </w:p>
        </w:tc>
        <w:tc>
          <w:tcPr>
            <w:tcW w:w="50" w:type="dxa"/>
          </w:tcPr>
          <w:p w14:paraId="78FF6E7F"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7A3EFCEA"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7983BC" w14:textId="185960A2" w:rsidR="00637FB9" w:rsidRPr="00A06B25" w:rsidRDefault="00917C3E" w:rsidP="007A4EBE">
            <w:pPr>
              <w:pStyle w:val="SemEspaamento"/>
              <w:rPr>
                <w:rFonts w:ascii="Calibri" w:hAnsi="Calibri" w:cs="Calibri"/>
                <w:sz w:val="24"/>
                <w:szCs w:val="24"/>
              </w:rPr>
            </w:pPr>
            <w:r w:rsidRPr="00A06B25">
              <w:rPr>
                <w:rFonts w:ascii="Calibri" w:hAnsi="Calibri" w:cs="Calibri"/>
                <w:b/>
                <w:bCs/>
                <w:sz w:val="24"/>
                <w:szCs w:val="24"/>
              </w:rPr>
              <w:t xml:space="preserve">Apresentação e divulgação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9BF9E56" w14:textId="54CBDE76" w:rsidR="00637FB9" w:rsidRPr="00A06B25" w:rsidRDefault="00917C3E" w:rsidP="00326B53">
            <w:pPr>
              <w:pStyle w:val="SemEspaamento"/>
              <w:jc w:val="center"/>
              <w:rPr>
                <w:rFonts w:ascii="Calibri" w:hAnsi="Calibri" w:cs="Calibri"/>
                <w:b/>
                <w:bCs/>
                <w:sz w:val="24"/>
                <w:szCs w:val="24"/>
              </w:rPr>
            </w:pPr>
            <w:r w:rsidRPr="00A06B25">
              <w:rPr>
                <w:rFonts w:ascii="Calibri" w:hAnsi="Calibri" w:cs="Calibri"/>
                <w:b/>
                <w:bCs/>
                <w:sz w:val="24"/>
                <w:szCs w:val="24"/>
              </w:rPr>
              <w:t>31 – 33</w:t>
            </w:r>
          </w:p>
        </w:tc>
      </w:tr>
      <w:tr w:rsidR="00637FB9" w:rsidRPr="00A06B25" w14:paraId="301B7C34" w14:textId="77777777" w:rsidTr="001F664B">
        <w:trPr>
          <w:trHeight w:val="385"/>
        </w:trPr>
        <w:tc>
          <w:tcPr>
            <w:tcW w:w="253" w:type="dxa"/>
            <w:tcMar>
              <w:top w:w="0" w:type="dxa"/>
              <w:left w:w="115" w:type="dxa"/>
              <w:bottom w:w="0" w:type="dxa"/>
              <w:right w:w="115" w:type="dxa"/>
            </w:tcMar>
            <w:vAlign w:val="bottom"/>
            <w:hideMark/>
          </w:tcPr>
          <w:p w14:paraId="54CD629B"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664CA887" w14:textId="77777777" w:rsidR="00637FB9" w:rsidRPr="00A06B25" w:rsidRDefault="00637FB9" w:rsidP="00B02E1C">
            <w:pPr>
              <w:pStyle w:val="SemEspaamento"/>
              <w:rPr>
                <w:rFonts w:ascii="Calibri" w:hAnsi="Calibri" w:cs="Calibri"/>
                <w:sz w:val="24"/>
                <w:szCs w:val="24"/>
              </w:rPr>
            </w:pPr>
          </w:p>
        </w:tc>
        <w:tc>
          <w:tcPr>
            <w:tcW w:w="50" w:type="dxa"/>
          </w:tcPr>
          <w:p w14:paraId="25EA232E"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225450EA"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B0D323" w14:textId="2185F850" w:rsidR="00637FB9" w:rsidRPr="00A06B25" w:rsidRDefault="00917C3E" w:rsidP="007A4EBE">
            <w:pPr>
              <w:pStyle w:val="SemEspaamento"/>
              <w:rPr>
                <w:rFonts w:ascii="Calibri" w:hAnsi="Calibri" w:cs="Calibri"/>
                <w:sz w:val="24"/>
                <w:szCs w:val="24"/>
              </w:rPr>
            </w:pPr>
            <w:r w:rsidRPr="00A06B25">
              <w:rPr>
                <w:rFonts w:ascii="Calibri" w:hAnsi="Calibri" w:cs="Calibri"/>
                <w:b/>
                <w:bCs/>
                <w:sz w:val="24"/>
                <w:szCs w:val="24"/>
              </w:rPr>
              <w:t xml:space="preserve">Transição </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A0AD0B" w14:textId="094076DA" w:rsidR="00637FB9" w:rsidRPr="00A06B25" w:rsidRDefault="00917C3E" w:rsidP="00326B53">
            <w:pPr>
              <w:pStyle w:val="SemEspaamento"/>
              <w:jc w:val="center"/>
              <w:rPr>
                <w:rFonts w:ascii="Calibri" w:hAnsi="Calibri" w:cs="Calibri"/>
                <w:b/>
                <w:bCs/>
                <w:sz w:val="24"/>
                <w:szCs w:val="24"/>
              </w:rPr>
            </w:pPr>
            <w:r w:rsidRPr="00A06B25">
              <w:rPr>
                <w:rFonts w:ascii="Calibri" w:hAnsi="Calibri" w:cs="Calibri"/>
                <w:b/>
                <w:bCs/>
                <w:sz w:val="24"/>
                <w:szCs w:val="24"/>
              </w:rPr>
              <w:t>34 – 37</w:t>
            </w:r>
          </w:p>
        </w:tc>
      </w:tr>
      <w:tr w:rsidR="00637FB9" w:rsidRPr="00A06B25" w14:paraId="4D9414D2" w14:textId="77777777" w:rsidTr="001F664B">
        <w:trPr>
          <w:trHeight w:val="400"/>
        </w:trPr>
        <w:tc>
          <w:tcPr>
            <w:tcW w:w="253" w:type="dxa"/>
            <w:tcMar>
              <w:top w:w="0" w:type="dxa"/>
              <w:left w:w="115" w:type="dxa"/>
              <w:bottom w:w="0" w:type="dxa"/>
              <w:right w:w="115" w:type="dxa"/>
            </w:tcMar>
            <w:vAlign w:val="bottom"/>
            <w:hideMark/>
          </w:tcPr>
          <w:p w14:paraId="29789E73" w14:textId="77777777" w:rsidR="00637FB9" w:rsidRPr="00A06B25" w:rsidRDefault="00637FB9" w:rsidP="00B02E1C">
            <w:pPr>
              <w:pStyle w:val="SemEspaamento"/>
              <w:rPr>
                <w:rFonts w:ascii="Calibri" w:hAnsi="Calibri" w:cs="Calibri"/>
                <w:sz w:val="24"/>
                <w:szCs w:val="24"/>
              </w:rPr>
            </w:pPr>
          </w:p>
        </w:tc>
        <w:tc>
          <w:tcPr>
            <w:tcW w:w="50" w:type="dxa"/>
            <w:tcBorders>
              <w:left w:val="nil"/>
            </w:tcBorders>
          </w:tcPr>
          <w:p w14:paraId="1363672A" w14:textId="77777777" w:rsidR="00637FB9" w:rsidRPr="00A06B25" w:rsidRDefault="00637FB9" w:rsidP="00B02E1C">
            <w:pPr>
              <w:pStyle w:val="SemEspaamento"/>
              <w:rPr>
                <w:rFonts w:ascii="Calibri" w:hAnsi="Calibri" w:cs="Calibri"/>
                <w:sz w:val="24"/>
                <w:szCs w:val="24"/>
              </w:rPr>
            </w:pPr>
          </w:p>
        </w:tc>
        <w:tc>
          <w:tcPr>
            <w:tcW w:w="50" w:type="dxa"/>
          </w:tcPr>
          <w:p w14:paraId="67797160" w14:textId="77777777" w:rsidR="00637FB9" w:rsidRPr="00A06B25" w:rsidRDefault="00637FB9" w:rsidP="00B02E1C">
            <w:pPr>
              <w:pStyle w:val="SemEspaamento"/>
              <w:rPr>
                <w:rFonts w:ascii="Calibri" w:hAnsi="Calibri" w:cs="Calibri"/>
                <w:sz w:val="24"/>
                <w:szCs w:val="24"/>
              </w:rPr>
            </w:pPr>
          </w:p>
        </w:tc>
        <w:tc>
          <w:tcPr>
            <w:tcW w:w="50" w:type="dxa"/>
            <w:tcBorders>
              <w:right w:val="single" w:sz="4" w:space="0" w:color="000000"/>
            </w:tcBorders>
          </w:tcPr>
          <w:p w14:paraId="38FF55C7" w14:textId="77777777" w:rsidR="00637FB9" w:rsidRPr="00A06B25" w:rsidRDefault="00637FB9" w:rsidP="00B02E1C">
            <w:pPr>
              <w:pStyle w:val="SemEspaamento"/>
              <w:rPr>
                <w:rFonts w:ascii="Calibri" w:hAnsi="Calibri" w:cs="Calibri"/>
                <w:sz w:val="24"/>
                <w:szCs w:val="24"/>
              </w:rPr>
            </w:pPr>
          </w:p>
        </w:tc>
        <w:tc>
          <w:tcPr>
            <w:tcW w:w="7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8A8E55" w14:textId="37DCDAB4" w:rsidR="00637FB9" w:rsidRPr="00A06B25" w:rsidRDefault="00917C3E" w:rsidP="007A4EBE">
            <w:pPr>
              <w:pStyle w:val="SemEspaamento"/>
              <w:rPr>
                <w:rFonts w:ascii="Calibri" w:hAnsi="Calibri" w:cs="Calibri"/>
                <w:sz w:val="24"/>
                <w:szCs w:val="24"/>
              </w:rPr>
            </w:pPr>
            <w:r w:rsidRPr="00A06B25">
              <w:rPr>
                <w:rFonts w:ascii="Calibri" w:hAnsi="Calibri" w:cs="Calibri"/>
                <w:b/>
                <w:bCs/>
                <w:sz w:val="24"/>
                <w:szCs w:val="24"/>
              </w:rPr>
              <w:t>Vigência</w:t>
            </w:r>
          </w:p>
        </w:tc>
        <w:tc>
          <w:tcPr>
            <w:tcW w:w="1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8320F3" w14:textId="65730981" w:rsidR="00637FB9" w:rsidRPr="00A06B25" w:rsidRDefault="00637FB9" w:rsidP="00326B53">
            <w:pPr>
              <w:pStyle w:val="SemEspaamento"/>
              <w:jc w:val="center"/>
              <w:rPr>
                <w:rFonts w:ascii="Calibri" w:hAnsi="Calibri" w:cs="Calibri"/>
                <w:b/>
                <w:bCs/>
                <w:sz w:val="24"/>
                <w:szCs w:val="24"/>
              </w:rPr>
            </w:pPr>
          </w:p>
        </w:tc>
      </w:tr>
    </w:tbl>
    <w:p w14:paraId="4F1E95DD" w14:textId="77777777" w:rsidR="00637FB9" w:rsidRPr="00A06B25" w:rsidRDefault="00637FB9" w:rsidP="00637FB9">
      <w:pPr>
        <w:tabs>
          <w:tab w:val="left" w:pos="7513"/>
        </w:tabs>
        <w:spacing w:after="0" w:line="360" w:lineRule="auto"/>
        <w:rPr>
          <w:rFonts w:ascii="Calibri" w:hAnsi="Calibri" w:cs="Calibri"/>
          <w:b/>
          <w:sz w:val="24"/>
          <w:szCs w:val="24"/>
        </w:rPr>
      </w:pPr>
    </w:p>
    <w:p w14:paraId="31DDECF5"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Objetivo </w:t>
      </w:r>
    </w:p>
    <w:p w14:paraId="29D83192" w14:textId="77777777" w:rsidR="000F414D" w:rsidRPr="00A06B25" w:rsidRDefault="000F414D" w:rsidP="00296E5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O objetivo desta norma é determinar a forma de contabilização dos contratos de concessão pela ótica da concedente, uma entidade do setor público. </w:t>
      </w:r>
    </w:p>
    <w:p w14:paraId="65F27B37"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Alcance </w:t>
      </w:r>
    </w:p>
    <w:p w14:paraId="226DCA45" w14:textId="77777777" w:rsidR="000F414D" w:rsidRPr="00A06B25" w:rsidRDefault="000F414D" w:rsidP="00296E5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lastRenderedPageBreak/>
        <w:t xml:space="preserve">A entidade que elabore e apresente suas demonstrações contábeis de acordo com o regime de competência deve aplicar esta norma na contabilização dos contratos de concessão. </w:t>
      </w:r>
    </w:p>
    <w:p w14:paraId="68F57202" w14:textId="77777777" w:rsidR="000F414D" w:rsidRPr="00A06B25" w:rsidRDefault="000F414D" w:rsidP="00296E50">
      <w:pPr>
        <w:autoSpaceDE w:val="0"/>
        <w:autoSpaceDN w:val="0"/>
        <w:adjustRightInd w:val="0"/>
        <w:spacing w:after="0" w:line="240" w:lineRule="auto"/>
        <w:jc w:val="both"/>
        <w:rPr>
          <w:rFonts w:ascii="Calibri" w:hAnsi="Calibri" w:cs="Calibri"/>
          <w:sz w:val="24"/>
          <w:szCs w:val="24"/>
        </w:rPr>
      </w:pPr>
    </w:p>
    <w:p w14:paraId="2B23B8BB" w14:textId="77777777" w:rsidR="000F414D" w:rsidRPr="00A06B25" w:rsidRDefault="000F414D" w:rsidP="00296E5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(Eliminado).</w:t>
      </w:r>
    </w:p>
    <w:p w14:paraId="14729708" w14:textId="77777777" w:rsidR="000F414D" w:rsidRPr="00A06B25" w:rsidRDefault="000F414D" w:rsidP="00296E50">
      <w:pPr>
        <w:autoSpaceDE w:val="0"/>
        <w:autoSpaceDN w:val="0"/>
        <w:adjustRightInd w:val="0"/>
        <w:spacing w:after="0"/>
        <w:jc w:val="both"/>
        <w:rPr>
          <w:rFonts w:ascii="Calibri" w:hAnsi="Calibri" w:cs="Calibri"/>
          <w:sz w:val="24"/>
          <w:szCs w:val="24"/>
        </w:rPr>
      </w:pPr>
    </w:p>
    <w:p w14:paraId="0B18D11F" w14:textId="77777777" w:rsidR="000F414D" w:rsidRPr="00A06B25" w:rsidRDefault="000F414D" w:rsidP="00296E5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(Eliminado) </w:t>
      </w:r>
    </w:p>
    <w:p w14:paraId="521B431D" w14:textId="77777777" w:rsidR="000F414D" w:rsidRPr="00A06B25" w:rsidRDefault="000F414D" w:rsidP="00296E50">
      <w:pPr>
        <w:autoSpaceDE w:val="0"/>
        <w:autoSpaceDN w:val="0"/>
        <w:adjustRightInd w:val="0"/>
        <w:spacing w:after="0"/>
        <w:jc w:val="both"/>
        <w:rPr>
          <w:rFonts w:ascii="Calibri" w:hAnsi="Calibri" w:cs="Calibri"/>
          <w:sz w:val="24"/>
          <w:szCs w:val="24"/>
        </w:rPr>
      </w:pPr>
    </w:p>
    <w:p w14:paraId="7AEA99DB" w14:textId="77777777" w:rsidR="000F414D" w:rsidRPr="00A06B25" w:rsidRDefault="000F414D" w:rsidP="0007167A">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No alcance desta norma, as concessões envolvem a prestação de serviços relacionados aos ativos das concessões por parte da concessionária em nome da concedente. </w:t>
      </w:r>
    </w:p>
    <w:p w14:paraId="151D5D19" w14:textId="77777777" w:rsidR="000F414D" w:rsidRPr="00A06B25" w:rsidRDefault="000F414D" w:rsidP="0007167A">
      <w:pPr>
        <w:pStyle w:val="PargrafodaLista"/>
        <w:rPr>
          <w:rFonts w:ascii="Calibri" w:hAnsi="Calibri" w:cs="Calibri"/>
          <w:sz w:val="24"/>
          <w:szCs w:val="24"/>
        </w:rPr>
      </w:pPr>
    </w:p>
    <w:p w14:paraId="22894959" w14:textId="77777777" w:rsidR="000F414D" w:rsidRPr="00A06B25" w:rsidRDefault="000F414D" w:rsidP="0007167A">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Concessões fora do alcance desta norma são aquelas que não envolvem a prestação de serviços públicos e acordos que envolvam tanto a gestão quanto a prestação de serviços nos casos em que o ativo não é controlado pela concedente (por exemplo, terceirização, contratos de serviço ou privatização). </w:t>
      </w:r>
    </w:p>
    <w:p w14:paraId="07CF96D4" w14:textId="77777777" w:rsidR="000F414D" w:rsidRPr="00A06B25" w:rsidRDefault="000F414D" w:rsidP="0007167A">
      <w:pPr>
        <w:pStyle w:val="PargrafodaLista"/>
        <w:rPr>
          <w:rFonts w:ascii="Calibri" w:hAnsi="Calibri" w:cs="Calibri"/>
          <w:sz w:val="24"/>
          <w:szCs w:val="24"/>
        </w:rPr>
      </w:pPr>
    </w:p>
    <w:p w14:paraId="41D9FF09" w14:textId="77777777" w:rsidR="000F414D" w:rsidRPr="00A06B25" w:rsidRDefault="000F414D" w:rsidP="0007167A">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Esta norma não apresenta a contabilização pela ótica das concessionárias. </w:t>
      </w:r>
    </w:p>
    <w:p w14:paraId="6319C2B3" w14:textId="77777777" w:rsidR="000F414D" w:rsidRPr="00A06B25" w:rsidRDefault="000F414D" w:rsidP="0007167A">
      <w:pPr>
        <w:autoSpaceDE w:val="0"/>
        <w:autoSpaceDN w:val="0"/>
        <w:adjustRightInd w:val="0"/>
        <w:spacing w:after="0" w:line="240" w:lineRule="auto"/>
        <w:jc w:val="both"/>
        <w:rPr>
          <w:rFonts w:ascii="Calibri" w:hAnsi="Calibri" w:cs="Calibri"/>
          <w:sz w:val="24"/>
          <w:szCs w:val="24"/>
        </w:rPr>
      </w:pPr>
    </w:p>
    <w:p w14:paraId="6E4F4356"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Definições </w:t>
      </w:r>
      <w:r w:rsidRPr="00A06B25">
        <w:rPr>
          <w:rStyle w:val="Refdenotaderodap"/>
          <w:rFonts w:ascii="Calibri" w:hAnsi="Calibri" w:cs="Calibri"/>
          <w:b/>
          <w:bCs/>
          <w:sz w:val="24"/>
          <w:szCs w:val="24"/>
        </w:rPr>
        <w:footnoteReference w:id="1"/>
      </w:r>
    </w:p>
    <w:p w14:paraId="71D7332C" w14:textId="77777777" w:rsidR="000F414D" w:rsidRPr="00A06B25" w:rsidRDefault="000F414D" w:rsidP="0007167A">
      <w:pPr>
        <w:pStyle w:val="PargrafodaLista"/>
        <w:numPr>
          <w:ilvl w:val="0"/>
          <w:numId w:val="17"/>
        </w:numPr>
        <w:autoSpaceDE w:val="0"/>
        <w:autoSpaceDN w:val="0"/>
        <w:adjustRightInd w:val="0"/>
        <w:spacing w:before="240"/>
        <w:jc w:val="both"/>
        <w:rPr>
          <w:rFonts w:ascii="Calibri" w:hAnsi="Calibri" w:cs="Calibri"/>
          <w:sz w:val="24"/>
          <w:szCs w:val="24"/>
        </w:rPr>
      </w:pPr>
      <w:r w:rsidRPr="00A06B25">
        <w:rPr>
          <w:rFonts w:ascii="Calibri" w:hAnsi="Calibri" w:cs="Calibri"/>
          <w:sz w:val="24"/>
          <w:szCs w:val="24"/>
        </w:rPr>
        <w:t xml:space="preserve">Os seguintes termos são usados nesta norma com os significados abaixo: Acordo vinculante corresponde a contrato ou outros acordos que conferem às partes direitos e obrigações tal como se estivessem na forma de contrato. Concedente é a entidade que confere à concessionária o direito de exploração dos serviços providos pelo ativo da concessão. Concessionária corresponde à entidade que usa o ativo da concessão, sujeito ao controle da concedente, para fornecer serviços públicos. Acordo de concessão de serviços corresponde a um acordo vinculante entre uma entidade concedente e uma concessionária em que: </w:t>
      </w:r>
    </w:p>
    <w:p w14:paraId="67D325C7"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(a) a concessionária usa o ativo da concessão, por prazo determinado, para prover serviços públicos em nome da concedente; e </w:t>
      </w:r>
    </w:p>
    <w:p w14:paraId="2A5D3ACE"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(b) a concessionária é compensada por seus serviços durante o período da concessão. </w:t>
      </w:r>
    </w:p>
    <w:p w14:paraId="55A5BFCF" w14:textId="77777777" w:rsidR="000F414D" w:rsidRPr="00A06B25" w:rsidRDefault="000F414D" w:rsidP="00AE1DFD">
      <w:pPr>
        <w:tabs>
          <w:tab w:val="left" w:pos="750"/>
        </w:tabs>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Ativo da concessão de serviços é o ativo usado para prover serviços públicos no acordo de concessão de serviços que: </w:t>
      </w:r>
    </w:p>
    <w:p w14:paraId="52BC5345"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(a) é fornecido pela concessionária, sendo que:</w:t>
      </w:r>
    </w:p>
    <w:p w14:paraId="1DD36D90" w14:textId="77777777" w:rsidR="000F414D" w:rsidRPr="00A06B25" w:rsidRDefault="000F414D" w:rsidP="00AE1DFD">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 (i) constrói, desenvolve ou adquire o ativo de terceiro; ou</w:t>
      </w:r>
    </w:p>
    <w:p w14:paraId="531EEB94" w14:textId="77777777" w:rsidR="000F414D" w:rsidRPr="00A06B25" w:rsidRDefault="000F414D" w:rsidP="00AE1DFD">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 (</w:t>
      </w:r>
      <w:proofErr w:type="spellStart"/>
      <w:r w:rsidRPr="00A06B25">
        <w:rPr>
          <w:rFonts w:ascii="Calibri" w:hAnsi="Calibri" w:cs="Calibri"/>
          <w:sz w:val="24"/>
          <w:szCs w:val="24"/>
        </w:rPr>
        <w:t>ii</w:t>
      </w:r>
      <w:proofErr w:type="spellEnd"/>
      <w:r w:rsidRPr="00A06B25">
        <w:rPr>
          <w:rFonts w:ascii="Calibri" w:hAnsi="Calibri" w:cs="Calibri"/>
          <w:sz w:val="24"/>
          <w:szCs w:val="24"/>
        </w:rPr>
        <w:t xml:space="preserve">) é um ativo preexistente da concessionária; </w:t>
      </w:r>
    </w:p>
    <w:p w14:paraId="6440646E"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(b) é fornecido pela concedente, sendo que: </w:t>
      </w:r>
    </w:p>
    <w:p w14:paraId="1559BDBC" w14:textId="77777777" w:rsidR="000F414D" w:rsidRPr="00A06B25" w:rsidRDefault="000F414D" w:rsidP="00AE1DFD">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lastRenderedPageBreak/>
        <w:t>(i) é um ativo preexistente da concedente; ou (</w:t>
      </w:r>
      <w:proofErr w:type="spellStart"/>
      <w:r w:rsidRPr="00A06B25">
        <w:rPr>
          <w:rFonts w:ascii="Calibri" w:hAnsi="Calibri" w:cs="Calibri"/>
          <w:sz w:val="24"/>
          <w:szCs w:val="24"/>
        </w:rPr>
        <w:t>ii</w:t>
      </w:r>
      <w:proofErr w:type="spellEnd"/>
      <w:r w:rsidRPr="00A06B25">
        <w:rPr>
          <w:rFonts w:ascii="Calibri" w:hAnsi="Calibri" w:cs="Calibri"/>
          <w:sz w:val="24"/>
          <w:szCs w:val="24"/>
        </w:rPr>
        <w:t xml:space="preserve">) corresponde a uma melhoria em ativo preexistente da concedente. Reconhecimento e mensuração de ativo da concessão de serviço </w:t>
      </w:r>
    </w:p>
    <w:p w14:paraId="2ED08CBF" w14:textId="77777777" w:rsidR="000F414D" w:rsidRPr="00A06B25" w:rsidRDefault="000F414D" w:rsidP="00AE1DFD">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A entidade concedente deve reconhecer um ativo fornecido pela concessionária e/ou uma melhoria em seus ativos preexistentes como ativo da concessão de serviços se:</w:t>
      </w:r>
    </w:p>
    <w:p w14:paraId="11B43EC0"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(a) a concedente controla ou regula os serviços que a concessionária deve fornecer com o ativo, a quem ela deve entregar os serviços e por qual preço; e</w:t>
      </w:r>
    </w:p>
    <w:p w14:paraId="4AD80A8A" w14:textId="77777777" w:rsidR="000F414D" w:rsidRPr="00A06B25" w:rsidRDefault="000F414D" w:rsidP="00AE1DFD">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 (b) a concedente controla – por meio da propriedade, usufruto ou de alguma outra forma– qualquer participação residual significativa no ativo ao final do prazo da concessão. </w:t>
      </w:r>
    </w:p>
    <w:p w14:paraId="5D193236" w14:textId="77777777" w:rsidR="000F414D" w:rsidRPr="00A06B25" w:rsidRDefault="000F414D" w:rsidP="00AE1DFD">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Esta norma se aplica a ativo usado em acordo de concessão de serviços por toda a sua vida útil </w:t>
      </w:r>
    </w:p>
    <w:p w14:paraId="2AA838E8" w14:textId="77777777" w:rsidR="000F414D" w:rsidRPr="00A06B25" w:rsidRDefault="000F414D" w:rsidP="005D3554">
      <w:pPr>
        <w:pStyle w:val="PargrafodaLista"/>
        <w:autoSpaceDE w:val="0"/>
        <w:autoSpaceDN w:val="0"/>
        <w:adjustRightInd w:val="0"/>
        <w:ind w:left="360"/>
        <w:jc w:val="both"/>
        <w:rPr>
          <w:rFonts w:ascii="Calibri" w:hAnsi="Calibri" w:cs="Calibri"/>
          <w:sz w:val="24"/>
          <w:szCs w:val="24"/>
        </w:rPr>
      </w:pPr>
    </w:p>
    <w:p w14:paraId="129BD65B" w14:textId="77777777" w:rsidR="000F414D" w:rsidRPr="00A06B25" w:rsidRDefault="000F414D" w:rsidP="005D355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concedente deve mensurar inicialmente os ativos da concessão de serviços reconhecidos conforme o item 9 pelo valor justo, exceto quando se enquadrarem nas condições do item 12. </w:t>
      </w:r>
    </w:p>
    <w:p w14:paraId="7F7B0BC4" w14:textId="77777777" w:rsidR="000F414D" w:rsidRPr="00A06B25" w:rsidRDefault="000F414D" w:rsidP="005D3554">
      <w:pPr>
        <w:pStyle w:val="PargrafodaLista"/>
        <w:rPr>
          <w:rFonts w:ascii="Calibri" w:hAnsi="Calibri" w:cs="Calibri"/>
          <w:sz w:val="24"/>
          <w:szCs w:val="24"/>
        </w:rPr>
      </w:pPr>
    </w:p>
    <w:p w14:paraId="2E7F4C93" w14:textId="77777777" w:rsidR="000F414D" w:rsidRPr="00A06B25" w:rsidRDefault="000F414D" w:rsidP="005D355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Quando um ativo existente da concedente atende às condições especificadas no parágrafo 9(a) e 9(b) (ou parágrafo 10 para um ativo de vida útil), a concedente deve reclassificar o ativo existente como um ativo de concessão de serviço. O ativo de concessão de serviço reclassificado deve ser contabilizado de acordo com a NBCTSP 08, Ativos Intangíveis ou NBCTSP 37 – Ativos Imobilizados Propriedades, Instalações e equipamentos,</w:t>
      </w:r>
    </w:p>
    <w:p w14:paraId="64A96C4E" w14:textId="77777777" w:rsidR="000F414D" w:rsidRPr="00A06B25" w:rsidRDefault="000F414D" w:rsidP="005D3554">
      <w:pPr>
        <w:pStyle w:val="PargrafodaLista"/>
        <w:rPr>
          <w:rFonts w:ascii="Calibri" w:hAnsi="Calibri" w:cs="Calibri"/>
          <w:sz w:val="24"/>
          <w:szCs w:val="24"/>
        </w:rPr>
      </w:pPr>
    </w:p>
    <w:p w14:paraId="52ACE26C" w14:textId="77777777" w:rsidR="000F414D" w:rsidRPr="00A06B25" w:rsidRDefault="000F414D" w:rsidP="005D355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Após o reconhecimento p inicial ou reclassificação, os ativos de concessão de serviços devem ser contabilizados de acordo com a NBCTSP 08 ou NBCTSP 37, conforme o caso. </w:t>
      </w:r>
    </w:p>
    <w:p w14:paraId="4D772D43"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Reconhecimento e mensuração de passivos </w:t>
      </w:r>
      <w:r w:rsidRPr="00A06B25">
        <w:rPr>
          <w:rStyle w:val="Refdenotaderodap"/>
          <w:rFonts w:ascii="Calibri" w:hAnsi="Calibri" w:cs="Calibri"/>
          <w:b/>
          <w:bCs/>
          <w:sz w:val="24"/>
          <w:szCs w:val="24"/>
        </w:rPr>
        <w:footnoteReference w:id="2"/>
      </w:r>
    </w:p>
    <w:p w14:paraId="70104FFC" w14:textId="77777777" w:rsidR="000F414D" w:rsidRPr="00A06B25" w:rsidRDefault="000F414D" w:rsidP="005D355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Sempre que a concedente reconhecer o ativo da concessão de serviços em conformidade com os itens 9 ou 10, também deve ser reconhecido um passivo. A concedente não deve reconhecer o passivo quando o ativo seu preexistente for reclassificado como ativo de concessão de serviço em conformidade com o item 12, exceto em circunstâncias em que considerações adicionais sejam fornecidas pela concessionária, conforme destacado no item 15. </w:t>
      </w:r>
    </w:p>
    <w:p w14:paraId="3CD95EEC" w14:textId="77777777" w:rsidR="000F414D" w:rsidRPr="00A06B25" w:rsidRDefault="000F414D" w:rsidP="005D3554">
      <w:pPr>
        <w:pStyle w:val="PargrafodaLista"/>
        <w:autoSpaceDE w:val="0"/>
        <w:autoSpaceDN w:val="0"/>
        <w:adjustRightInd w:val="0"/>
        <w:ind w:left="360"/>
        <w:jc w:val="both"/>
        <w:rPr>
          <w:rFonts w:ascii="Calibri" w:hAnsi="Calibri" w:cs="Calibri"/>
          <w:sz w:val="24"/>
          <w:szCs w:val="24"/>
        </w:rPr>
      </w:pPr>
    </w:p>
    <w:p w14:paraId="7A1B5E9F" w14:textId="77777777" w:rsidR="000F414D" w:rsidRPr="00A06B25" w:rsidRDefault="000F414D" w:rsidP="005D4306">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O passivo reconhecido de acordo com o item 14 deve ser inicialmente mensurado pelo mesmo valor que o ativo da concessão de serviço mensurado de acordo com o item 11, ajustado por qualquer outro valor transferido da concedente à concessionária, ou da concessionária para a concedente.</w:t>
      </w:r>
    </w:p>
    <w:p w14:paraId="0709E044" w14:textId="77777777" w:rsidR="000F414D" w:rsidRPr="00A06B25" w:rsidRDefault="000F414D" w:rsidP="00A71241">
      <w:pPr>
        <w:pStyle w:val="PargrafodaLista"/>
        <w:rPr>
          <w:rFonts w:ascii="Calibri" w:hAnsi="Calibri" w:cs="Calibri"/>
          <w:sz w:val="24"/>
          <w:szCs w:val="24"/>
        </w:rPr>
      </w:pPr>
    </w:p>
    <w:p w14:paraId="20ED56C3" w14:textId="77777777" w:rsidR="000F414D" w:rsidRPr="00A06B25" w:rsidRDefault="000F414D" w:rsidP="00A71241">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natureza do passivo reconhecido é baseada na natureza da transação entre a concedente e a concessionária. A natureza do negócio entregue pela concedente à concessionária é determinada com referência nos termos do acordo vinculante e, quando relevante, do direito dos contratos. </w:t>
      </w:r>
    </w:p>
    <w:p w14:paraId="4C264A4F" w14:textId="77777777" w:rsidR="000F414D" w:rsidRPr="00A06B25" w:rsidRDefault="000F414D" w:rsidP="00A71241">
      <w:pPr>
        <w:pStyle w:val="PargrafodaLista"/>
        <w:rPr>
          <w:rFonts w:ascii="Calibri" w:hAnsi="Calibri" w:cs="Calibri"/>
          <w:sz w:val="24"/>
          <w:szCs w:val="24"/>
        </w:rPr>
      </w:pPr>
    </w:p>
    <w:p w14:paraId="73FD9FDF" w14:textId="77777777" w:rsidR="000F414D" w:rsidRPr="00A06B25" w:rsidRDefault="000F414D" w:rsidP="00A71241">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lastRenderedPageBreak/>
        <w:t xml:space="preserve">Na troca pelo ativo da concessão do serviço, a concedente pode compensar a concessionária pelo ativo da concessão do serviço por meio de qualquer combinação de: </w:t>
      </w:r>
    </w:p>
    <w:p w14:paraId="63EB32C8" w14:textId="77777777" w:rsidR="000F414D" w:rsidRPr="00A06B25" w:rsidRDefault="000F414D" w:rsidP="00A71241">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(a) realização de pagamentos à concessionária (modelo de "financiamento de passivos"); </w:t>
      </w:r>
    </w:p>
    <w:p w14:paraId="51081DC3" w14:textId="77777777" w:rsidR="000F414D" w:rsidRPr="00A06B25" w:rsidRDefault="000F414D" w:rsidP="00A71241">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(b) compensação à concessionária por quaisquer outros meios (modelo de "concessão de direitos à concessionária"), como: </w:t>
      </w:r>
    </w:p>
    <w:p w14:paraId="3F6AAC63" w14:textId="77777777" w:rsidR="000F414D" w:rsidRPr="00A06B25" w:rsidRDefault="000F414D" w:rsidP="00A71241">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(i) conceder à concessionária o direito de auferir receitas de usuários dos ativos da concessão; ou </w:t>
      </w:r>
    </w:p>
    <w:p w14:paraId="7A64370A" w14:textId="77777777" w:rsidR="000F414D" w:rsidRPr="00A06B25" w:rsidRDefault="000F414D" w:rsidP="00A71241">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w:t>
      </w:r>
      <w:proofErr w:type="spellStart"/>
      <w:r w:rsidRPr="00A06B25">
        <w:rPr>
          <w:rFonts w:ascii="Calibri" w:hAnsi="Calibri" w:cs="Calibri"/>
          <w:sz w:val="24"/>
          <w:szCs w:val="24"/>
        </w:rPr>
        <w:t>ii</w:t>
      </w:r>
      <w:proofErr w:type="spellEnd"/>
      <w:r w:rsidRPr="00A06B25">
        <w:rPr>
          <w:rFonts w:ascii="Calibri" w:hAnsi="Calibri" w:cs="Calibri"/>
          <w:sz w:val="24"/>
          <w:szCs w:val="24"/>
        </w:rPr>
        <w:t xml:space="preserve">) conceder à concessionária acesso para uso de outro ativo gerador de receita (por exemplo, ala de hospital em que as demais partes são usadas pela concedente para tratar pacientes, ou estacionamento adjacente ao lugar em que se prestam serviços públicos). Modelo de financiamento de passivos </w:t>
      </w:r>
    </w:p>
    <w:p w14:paraId="71A07C1B" w14:textId="77777777" w:rsidR="000F414D" w:rsidRPr="00A06B25" w:rsidRDefault="000F414D" w:rsidP="005D4306">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Sempre que a concedente tiver obrigação incondicional de pagamento à concessionária, em espécie ou por meio de qualquer outro ativo financeiro, decorrente da construção, desenvolvimento, aquisição ou melhoria do ativo da concessão do serviço, a concedente deve contabilizar o passivo reconhecido conforme o item 14 como passivo de financiamento. </w:t>
      </w:r>
    </w:p>
    <w:p w14:paraId="34C61337" w14:textId="77777777" w:rsidR="000F414D" w:rsidRPr="00A06B25" w:rsidRDefault="000F414D" w:rsidP="00422F03">
      <w:pPr>
        <w:pStyle w:val="PargrafodaLista"/>
        <w:autoSpaceDE w:val="0"/>
        <w:autoSpaceDN w:val="0"/>
        <w:adjustRightInd w:val="0"/>
        <w:ind w:left="360"/>
        <w:jc w:val="both"/>
        <w:rPr>
          <w:rFonts w:ascii="Calibri" w:hAnsi="Calibri" w:cs="Calibri"/>
          <w:sz w:val="24"/>
          <w:szCs w:val="24"/>
        </w:rPr>
      </w:pPr>
    </w:p>
    <w:p w14:paraId="2DDC051D" w14:textId="77777777" w:rsidR="000F414D" w:rsidRPr="00A06B25" w:rsidRDefault="000F414D" w:rsidP="00A71241">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A concedente tem obrigação incondicional de pagar em espécie se for garantido à concessionária:</w:t>
      </w:r>
    </w:p>
    <w:p w14:paraId="6CBD0518" w14:textId="77777777" w:rsidR="000F414D" w:rsidRPr="00A06B25" w:rsidRDefault="000F414D" w:rsidP="00422F03">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(a) valores especificados ou determinados; ou </w:t>
      </w:r>
    </w:p>
    <w:p w14:paraId="2A796893" w14:textId="77777777" w:rsidR="000F414D" w:rsidRPr="00A06B25" w:rsidRDefault="000F414D" w:rsidP="00422F03">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(b) a subvenção ao usuário, se houver, correspondendo à diferença entre os montantes recebidos pela concessionária dos usuários do serviço público e qualquer valor especificado ou determinado conforme o item 19(a), mesmo que o pagamento esteja dependente de que a concessionária assegure que o ativo da concessão de serviços atenda a certos requisitos de qualidade ou eficiência. </w:t>
      </w:r>
    </w:p>
    <w:p w14:paraId="0EAD96D0" w14:textId="77777777" w:rsidR="000F414D" w:rsidRPr="00A06B25" w:rsidRDefault="000F414D" w:rsidP="00422F03">
      <w:pPr>
        <w:autoSpaceDE w:val="0"/>
        <w:autoSpaceDN w:val="0"/>
        <w:adjustRightInd w:val="0"/>
        <w:spacing w:after="0"/>
        <w:ind w:left="360"/>
        <w:jc w:val="both"/>
        <w:rPr>
          <w:rFonts w:ascii="Calibri" w:hAnsi="Calibri" w:cs="Calibri"/>
          <w:sz w:val="24"/>
          <w:szCs w:val="24"/>
        </w:rPr>
      </w:pPr>
    </w:p>
    <w:p w14:paraId="347F6103" w14:textId="77777777" w:rsidR="000F414D" w:rsidRPr="00A06B25" w:rsidRDefault="000F414D" w:rsidP="00422F03">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Aplicam-se ao passivo financeiro reconhecido, de acordo com o parágrafo 14, as </w:t>
      </w:r>
      <w:proofErr w:type="spellStart"/>
      <w:r w:rsidRPr="00A06B25">
        <w:rPr>
          <w:rFonts w:ascii="Calibri" w:hAnsi="Calibri" w:cs="Calibri"/>
          <w:sz w:val="24"/>
          <w:szCs w:val="24"/>
        </w:rPr>
        <w:t>NBCs</w:t>
      </w:r>
      <w:proofErr w:type="spellEnd"/>
      <w:r w:rsidRPr="00A06B25">
        <w:rPr>
          <w:rFonts w:ascii="Calibri" w:hAnsi="Calibri" w:cs="Calibri"/>
          <w:sz w:val="24"/>
          <w:szCs w:val="24"/>
        </w:rPr>
        <w:t xml:space="preserve"> TSP 30, 31, e 33 - Instrumentos Financeiros, exceto quando esta Norma fornecer requisitos e orientações. </w:t>
      </w:r>
    </w:p>
    <w:p w14:paraId="15B97374" w14:textId="77777777" w:rsidR="000F414D" w:rsidRPr="00A06B25" w:rsidRDefault="000F414D" w:rsidP="00422F03">
      <w:pPr>
        <w:pStyle w:val="PargrafodaLista"/>
        <w:autoSpaceDE w:val="0"/>
        <w:autoSpaceDN w:val="0"/>
        <w:adjustRightInd w:val="0"/>
        <w:ind w:left="360"/>
        <w:jc w:val="both"/>
        <w:rPr>
          <w:rFonts w:ascii="Calibri" w:hAnsi="Calibri" w:cs="Calibri"/>
          <w:sz w:val="24"/>
          <w:szCs w:val="24"/>
        </w:rPr>
      </w:pPr>
    </w:p>
    <w:p w14:paraId="068EE7EF" w14:textId="77777777" w:rsidR="000F414D" w:rsidRPr="00A06B25" w:rsidRDefault="000F414D" w:rsidP="00422F03">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concedente deve separar e contabilizar os pagamentos à concessionária de acordo com sua substância, sendo parte como redução do passivo reconhecido em conformidade com o item 14, encargo financeiro, e tarifa por serviços prestados pela concessionária. </w:t>
      </w:r>
    </w:p>
    <w:p w14:paraId="3364778B" w14:textId="77777777" w:rsidR="000F414D" w:rsidRPr="00A06B25" w:rsidRDefault="000F414D" w:rsidP="00706D3C">
      <w:pPr>
        <w:pStyle w:val="PargrafodaLista"/>
        <w:autoSpaceDE w:val="0"/>
        <w:autoSpaceDN w:val="0"/>
        <w:adjustRightInd w:val="0"/>
        <w:ind w:left="360"/>
        <w:jc w:val="both"/>
        <w:rPr>
          <w:rFonts w:ascii="Calibri" w:hAnsi="Calibri" w:cs="Calibri"/>
          <w:sz w:val="24"/>
          <w:szCs w:val="24"/>
        </w:rPr>
      </w:pPr>
    </w:p>
    <w:p w14:paraId="304AE06C" w14:textId="77777777" w:rsidR="000F414D" w:rsidRPr="00A06B25" w:rsidRDefault="000F414D" w:rsidP="00706D3C">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O encargo financeiro e a tarifa pelos serviços prestados pela concessionária em acordo de concessão de serviços determinados conforme o item 21 devem ser contabilizados como despesa.</w:t>
      </w:r>
    </w:p>
    <w:p w14:paraId="4390494E" w14:textId="77777777" w:rsidR="000F414D" w:rsidRPr="00A06B25" w:rsidRDefault="000F414D" w:rsidP="00706D3C">
      <w:pPr>
        <w:pStyle w:val="PargrafodaLista"/>
        <w:rPr>
          <w:rFonts w:ascii="Calibri" w:hAnsi="Calibri" w:cs="Calibri"/>
          <w:sz w:val="24"/>
          <w:szCs w:val="24"/>
        </w:rPr>
      </w:pPr>
    </w:p>
    <w:p w14:paraId="11590669" w14:textId="77777777" w:rsidR="000F414D" w:rsidRPr="00A06B25" w:rsidRDefault="000F414D" w:rsidP="00706D3C">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 Quando o ativo e o componente do serviço de acordo de concessão dos serviços forem identificáveis separadamente, a parcela dos pagamentos recebidos pela concessionária relacionada aos componentes de serviço deve ser alocada usando o valor justo. Quando o ativo </w:t>
      </w:r>
      <w:r w:rsidRPr="00A06B25">
        <w:rPr>
          <w:rFonts w:ascii="Calibri" w:hAnsi="Calibri" w:cs="Calibri"/>
          <w:sz w:val="24"/>
          <w:szCs w:val="24"/>
        </w:rPr>
        <w:lastRenderedPageBreak/>
        <w:t xml:space="preserve">e os componentes de serviço não forem identificáveis separadamente, a parcela dos pagamentos da concedente à concessionária relacionada aos serviços deve ser determinada por meio de técnicas de estimação. </w:t>
      </w:r>
    </w:p>
    <w:p w14:paraId="1F57B227"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Modelo de concessão de direitos à concessionária.</w:t>
      </w:r>
      <w:r w:rsidRPr="00A06B25">
        <w:rPr>
          <w:rStyle w:val="Refdenotaderodap"/>
          <w:rFonts w:ascii="Calibri" w:hAnsi="Calibri" w:cs="Calibri"/>
          <w:b/>
          <w:bCs/>
          <w:sz w:val="24"/>
          <w:szCs w:val="24"/>
        </w:rPr>
        <w:footnoteReference w:id="3"/>
      </w:r>
    </w:p>
    <w:p w14:paraId="025A4B01" w14:textId="77777777" w:rsidR="000F414D" w:rsidRPr="00A06B25" w:rsidRDefault="000F414D" w:rsidP="004D159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Quando a concedente não tem obrigação incondicional de pagar em espécie ou por meio de qualquer outro ativo financeiro à concessionária pela construção, desenvolvimento, aquisição, ou melhoria do ativo da concessão de serviços, e concede à concessionária o direito de obter receita dos usuários ou outro ativo gerador de caixa, a concedente deve contabilizar o passivo reconhecido de acordo com o item 14 como o montante não realizado das receitas decorrentes da troca de ativos entre a concedente e a concessionária. </w:t>
      </w:r>
    </w:p>
    <w:p w14:paraId="5CFC07C1" w14:textId="77777777" w:rsidR="000F414D" w:rsidRPr="00A06B25" w:rsidRDefault="000F414D" w:rsidP="004D1594">
      <w:pPr>
        <w:pStyle w:val="PargrafodaLista"/>
        <w:autoSpaceDE w:val="0"/>
        <w:autoSpaceDN w:val="0"/>
        <w:adjustRightInd w:val="0"/>
        <w:ind w:left="360"/>
        <w:jc w:val="both"/>
        <w:rPr>
          <w:rFonts w:ascii="Calibri" w:hAnsi="Calibri" w:cs="Calibri"/>
          <w:sz w:val="24"/>
          <w:szCs w:val="24"/>
        </w:rPr>
      </w:pPr>
    </w:p>
    <w:p w14:paraId="4BC25F44" w14:textId="77777777" w:rsidR="000F414D" w:rsidRPr="00A06B25" w:rsidRDefault="000F414D" w:rsidP="004D159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A concedente deve reconhecer a receita e reduzir o passivo reconhecido conforme o item 24 de acordo com a substância econômica do acordo da concessão de serviços.</w:t>
      </w:r>
    </w:p>
    <w:p w14:paraId="7ACD909C" w14:textId="77777777" w:rsidR="000F414D" w:rsidRPr="00A06B25" w:rsidRDefault="000F414D" w:rsidP="004D1594">
      <w:pPr>
        <w:pStyle w:val="PargrafodaLista"/>
        <w:rPr>
          <w:rFonts w:ascii="Calibri" w:hAnsi="Calibri" w:cs="Calibri"/>
          <w:sz w:val="24"/>
          <w:szCs w:val="24"/>
        </w:rPr>
      </w:pPr>
    </w:p>
    <w:p w14:paraId="3B31B9DE" w14:textId="77777777" w:rsidR="000F414D" w:rsidRPr="00A06B25" w:rsidRDefault="000F414D" w:rsidP="004D1594">
      <w:pPr>
        <w:pStyle w:val="PargrafodaLista"/>
        <w:autoSpaceDE w:val="0"/>
        <w:autoSpaceDN w:val="0"/>
        <w:adjustRightInd w:val="0"/>
        <w:ind w:left="360"/>
        <w:jc w:val="both"/>
        <w:rPr>
          <w:rFonts w:ascii="Calibri" w:hAnsi="Calibri" w:cs="Calibri"/>
          <w:sz w:val="24"/>
          <w:szCs w:val="24"/>
        </w:rPr>
      </w:pPr>
    </w:p>
    <w:p w14:paraId="7DB44399" w14:textId="77777777" w:rsidR="000F414D" w:rsidRPr="00A06B25" w:rsidRDefault="000F414D" w:rsidP="004D1594">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Quando a concedente compensa a concessionária por meio da entrega do direito de obter receitas dos usuários da concessão, a transação deve ser qualificada como transação que gera receita. Como o direito concedido à concessionária é efetivo para o período do acordo da concessão de serviço, a concedente não deve reconhecer a receita da transação imediatamente. Em vez disso, deve ser reconhecido um passivo para qualquer parcela da receita ainda não realizada. A receita deve ser realizada de acordo com a substância econômica do acordo de concessão de serviço, e o passivo deve ser reduzido concomitantemente ao reconhecimento da receita. </w:t>
      </w:r>
    </w:p>
    <w:p w14:paraId="07924F81" w14:textId="77777777" w:rsidR="000F414D" w:rsidRPr="00A06B25" w:rsidRDefault="000F414D" w:rsidP="00DC44F4">
      <w:pPr>
        <w:pStyle w:val="PargrafodaLista"/>
        <w:autoSpaceDE w:val="0"/>
        <w:autoSpaceDN w:val="0"/>
        <w:adjustRightInd w:val="0"/>
        <w:ind w:left="360"/>
        <w:jc w:val="both"/>
        <w:rPr>
          <w:rFonts w:ascii="Calibri" w:hAnsi="Calibri" w:cs="Calibri"/>
          <w:sz w:val="24"/>
          <w:szCs w:val="24"/>
        </w:rPr>
      </w:pPr>
    </w:p>
    <w:p w14:paraId="1300B25A" w14:textId="77777777" w:rsidR="000F414D" w:rsidRPr="00A06B25" w:rsidRDefault="000F414D" w:rsidP="00DC44F4">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Modelo bifurcado</w:t>
      </w:r>
      <w:r w:rsidRPr="00A06B25">
        <w:rPr>
          <w:rStyle w:val="Refdenotaderodap"/>
          <w:rFonts w:ascii="Calibri" w:hAnsi="Calibri" w:cs="Calibri"/>
          <w:b/>
          <w:bCs/>
          <w:sz w:val="24"/>
          <w:szCs w:val="24"/>
        </w:rPr>
        <w:footnoteReference w:id="4"/>
      </w:r>
    </w:p>
    <w:p w14:paraId="1CC6D9CD" w14:textId="77777777" w:rsidR="000F414D" w:rsidRPr="00A06B25" w:rsidRDefault="000F414D" w:rsidP="00412A5E">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Se a concedente paga pela construção, desenvolvimento, aquisição, ou melhoria de um ativo da concessão de serviço, em parte por meio da assunção de passivo financeiro e em parte pela concessão de direito à concessionária, deve ser contabilizada separadamente cada parte do passivo, conforme o item 14. O montante inicialmente reconhecido para o passivo total deve ser o mesmo que aquele especificado no item 15.</w:t>
      </w:r>
    </w:p>
    <w:p w14:paraId="139E3C4E" w14:textId="77777777" w:rsidR="000F414D" w:rsidRPr="00A06B25" w:rsidRDefault="000F414D" w:rsidP="002F7008">
      <w:pPr>
        <w:pStyle w:val="PargrafodaLista"/>
        <w:autoSpaceDE w:val="0"/>
        <w:autoSpaceDN w:val="0"/>
        <w:adjustRightInd w:val="0"/>
        <w:ind w:left="360"/>
        <w:jc w:val="both"/>
        <w:rPr>
          <w:rFonts w:ascii="Calibri" w:hAnsi="Calibri" w:cs="Calibri"/>
          <w:sz w:val="24"/>
          <w:szCs w:val="24"/>
        </w:rPr>
      </w:pPr>
    </w:p>
    <w:p w14:paraId="387C43F8" w14:textId="77777777" w:rsidR="000F414D" w:rsidRPr="00A06B25" w:rsidRDefault="000F414D" w:rsidP="002F7008">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concedente deve contabilizar cada parte do passivo referente ao item 27 de acordo com os itens 18 a 26. Outros passivos, compromissos, passivos contingentes e ativos contingentes </w:t>
      </w:r>
    </w:p>
    <w:p w14:paraId="12484D73" w14:textId="77777777" w:rsidR="000F414D" w:rsidRPr="00A06B25" w:rsidRDefault="000F414D" w:rsidP="002F7008">
      <w:pPr>
        <w:pStyle w:val="PargrafodaLista"/>
        <w:rPr>
          <w:rFonts w:ascii="Calibri" w:hAnsi="Calibri" w:cs="Calibri"/>
          <w:sz w:val="24"/>
          <w:szCs w:val="24"/>
        </w:rPr>
      </w:pPr>
    </w:p>
    <w:p w14:paraId="7ACFEBC5" w14:textId="77777777" w:rsidR="000F414D" w:rsidRPr="00A06B25" w:rsidRDefault="000F414D" w:rsidP="002F7008">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concedente deve contabilizar outros passivos, compromissos, passivos contingentes e ativos contingentes resultantes de um acordo da concessão de serviços em conformidade com a NBC TSP 03 – Provisões, Passivos Contingentes e Ativos Contingentes, NBCTSP 30 – Instrumentos Financeiros, NBCTSP 33 – Instrumentos Financeiros – Divulgações, NBCTSP 31 - Instrumentos Financeiros: Reconhecimento e Mensuração. </w:t>
      </w:r>
    </w:p>
    <w:p w14:paraId="1594F136" w14:textId="77777777" w:rsidR="000F414D" w:rsidRPr="00A06B25" w:rsidRDefault="000F414D" w:rsidP="00C676F7">
      <w:pPr>
        <w:pStyle w:val="PargrafodaLista"/>
        <w:autoSpaceDE w:val="0"/>
        <w:autoSpaceDN w:val="0"/>
        <w:adjustRightInd w:val="0"/>
        <w:spacing w:after="0" w:line="240" w:lineRule="auto"/>
        <w:ind w:left="360"/>
        <w:jc w:val="both"/>
        <w:rPr>
          <w:rFonts w:ascii="Calibri" w:hAnsi="Calibri" w:cs="Calibri"/>
          <w:sz w:val="24"/>
          <w:szCs w:val="24"/>
          <w:highlight w:val="yellow"/>
        </w:rPr>
      </w:pPr>
    </w:p>
    <w:p w14:paraId="0DF655D9" w14:textId="77777777" w:rsidR="000F414D" w:rsidRPr="00A06B25" w:rsidRDefault="000F414D" w:rsidP="00C676F7">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A concedente deverá contabilizar as receitas de um acordo de concessão de serviços, exceto aquelas especificadas nos parágrafos 24 a 26, de acordo com a NBCTSP 39 -      Receitas.</w:t>
      </w:r>
    </w:p>
    <w:p w14:paraId="3E482645"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sz w:val="24"/>
          <w:szCs w:val="24"/>
        </w:rPr>
        <w:t xml:space="preserve"> </w:t>
      </w:r>
      <w:r w:rsidRPr="00A06B25">
        <w:rPr>
          <w:rFonts w:ascii="Calibri" w:hAnsi="Calibri" w:cs="Calibri"/>
          <w:b/>
          <w:bCs/>
          <w:sz w:val="24"/>
          <w:szCs w:val="24"/>
        </w:rPr>
        <w:t>Apresentação e divulgação</w:t>
      </w:r>
      <w:r w:rsidRPr="00A06B25">
        <w:rPr>
          <w:rStyle w:val="Refdenotaderodap"/>
          <w:rFonts w:ascii="Calibri" w:hAnsi="Calibri" w:cs="Calibri"/>
          <w:b/>
          <w:bCs/>
          <w:sz w:val="24"/>
          <w:szCs w:val="24"/>
        </w:rPr>
        <w:footnoteReference w:id="5"/>
      </w:r>
    </w:p>
    <w:p w14:paraId="70F106FF" w14:textId="77777777" w:rsidR="000F414D" w:rsidRPr="00A06B25" w:rsidRDefault="000F414D" w:rsidP="00B41FB5">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concedente deve apresentar as informações contábeis de acordo com outras </w:t>
      </w:r>
      <w:proofErr w:type="spellStart"/>
      <w:r w:rsidRPr="00A06B25">
        <w:rPr>
          <w:rFonts w:ascii="Calibri" w:hAnsi="Calibri" w:cs="Calibri"/>
          <w:sz w:val="24"/>
          <w:szCs w:val="24"/>
        </w:rPr>
        <w:t>NBCs</w:t>
      </w:r>
      <w:proofErr w:type="spellEnd"/>
      <w:r w:rsidRPr="00A06B25">
        <w:rPr>
          <w:rFonts w:ascii="Calibri" w:hAnsi="Calibri" w:cs="Calibri"/>
          <w:sz w:val="24"/>
          <w:szCs w:val="24"/>
        </w:rPr>
        <w:t xml:space="preserve"> TSP. </w:t>
      </w:r>
    </w:p>
    <w:p w14:paraId="69A64DFC" w14:textId="77777777" w:rsidR="000F414D" w:rsidRPr="00A06B25" w:rsidRDefault="000F414D" w:rsidP="00B41FB5">
      <w:pPr>
        <w:pStyle w:val="PargrafodaLista"/>
        <w:autoSpaceDE w:val="0"/>
        <w:autoSpaceDN w:val="0"/>
        <w:adjustRightInd w:val="0"/>
        <w:ind w:left="360"/>
        <w:jc w:val="both"/>
        <w:rPr>
          <w:rFonts w:ascii="Calibri" w:hAnsi="Calibri" w:cs="Calibri"/>
          <w:sz w:val="24"/>
          <w:szCs w:val="24"/>
        </w:rPr>
      </w:pPr>
    </w:p>
    <w:p w14:paraId="2C0AA560" w14:textId="77777777" w:rsidR="000F414D" w:rsidRPr="00A06B25" w:rsidRDefault="000F414D" w:rsidP="00B41FB5">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Todos os aspectos de acordo de concessão de serviços devem ser considerados ao se determinar as divulgações adequadas nas notas explicativas. Em cada exercício, a concedente deve evidenciar as seguintes informações com relação aos acordos de concessão de serviços: </w:t>
      </w:r>
    </w:p>
    <w:p w14:paraId="2F770BC6" w14:textId="77777777" w:rsidR="000F414D" w:rsidRPr="00A06B25" w:rsidRDefault="000F414D" w:rsidP="000F4FB6">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(a) descrição do acordo; </w:t>
      </w:r>
    </w:p>
    <w:p w14:paraId="050B71BE" w14:textId="77777777" w:rsidR="000F414D" w:rsidRPr="00A06B25" w:rsidRDefault="000F414D" w:rsidP="000F4FB6">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(b) termos significativos do acordo que possam afetar seu montante, momento e segurança acerca dos seus fluxos de caixa futuros (por exemplo, prazo da concessão, datas de revisão/renegociação de valores e bases nas quais as revisões de valores e/ou renegociações serão determinadas); </w:t>
      </w:r>
    </w:p>
    <w:p w14:paraId="23172C17" w14:textId="77777777" w:rsidR="000F414D" w:rsidRPr="00A06B25" w:rsidRDefault="000F414D" w:rsidP="000F4FB6">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(c) a natureza e a extensão (por exemplo, quantidade, prazo ou montante, quando apropriado) de:</w:t>
      </w:r>
    </w:p>
    <w:p w14:paraId="4B032C52"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(i) direitos de uso de ativos específicos; </w:t>
      </w:r>
    </w:p>
    <w:p w14:paraId="53C827F2"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w:t>
      </w:r>
      <w:proofErr w:type="spellStart"/>
      <w:r w:rsidRPr="00A06B25">
        <w:rPr>
          <w:rFonts w:ascii="Calibri" w:hAnsi="Calibri" w:cs="Calibri"/>
          <w:sz w:val="24"/>
          <w:szCs w:val="24"/>
        </w:rPr>
        <w:t>ii</w:t>
      </w:r>
      <w:proofErr w:type="spellEnd"/>
      <w:r w:rsidRPr="00A06B25">
        <w:rPr>
          <w:rFonts w:ascii="Calibri" w:hAnsi="Calibri" w:cs="Calibri"/>
          <w:sz w:val="24"/>
          <w:szCs w:val="24"/>
        </w:rPr>
        <w:t xml:space="preserve">) direitos esperados de que a concessionária forneça serviços específicos em relação ao acordo de concessão de serviço; </w:t>
      </w:r>
    </w:p>
    <w:p w14:paraId="40B146CE"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w:t>
      </w:r>
      <w:proofErr w:type="spellStart"/>
      <w:r w:rsidRPr="00A06B25">
        <w:rPr>
          <w:rFonts w:ascii="Calibri" w:hAnsi="Calibri" w:cs="Calibri"/>
          <w:sz w:val="24"/>
          <w:szCs w:val="24"/>
        </w:rPr>
        <w:t>iii</w:t>
      </w:r>
      <w:proofErr w:type="spellEnd"/>
      <w:r w:rsidRPr="00A06B25">
        <w:rPr>
          <w:rFonts w:ascii="Calibri" w:hAnsi="Calibri" w:cs="Calibri"/>
          <w:sz w:val="24"/>
          <w:szCs w:val="24"/>
        </w:rPr>
        <w:t xml:space="preserve">) ativos de concessão de serviços reconhecidos como ativos no exercício, incluindo ativos existentes da concedente reclassificados como ativos da concessão de serviços; </w:t>
      </w:r>
    </w:p>
    <w:p w14:paraId="6BF62925"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w:t>
      </w:r>
      <w:proofErr w:type="spellStart"/>
      <w:r w:rsidRPr="00A06B25">
        <w:rPr>
          <w:rFonts w:ascii="Calibri" w:hAnsi="Calibri" w:cs="Calibri"/>
          <w:sz w:val="24"/>
          <w:szCs w:val="24"/>
        </w:rPr>
        <w:t>iv</w:t>
      </w:r>
      <w:proofErr w:type="spellEnd"/>
      <w:r w:rsidRPr="00A06B25">
        <w:rPr>
          <w:rFonts w:ascii="Calibri" w:hAnsi="Calibri" w:cs="Calibri"/>
          <w:sz w:val="24"/>
          <w:szCs w:val="24"/>
        </w:rPr>
        <w:t>) direitos de recebimento de ativos específicos ao final do acordo de concessão de serviços;</w:t>
      </w:r>
    </w:p>
    <w:p w14:paraId="5D956840"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 (v) opções de renovação e conclusão do acordo de concessão de serviços; </w:t>
      </w:r>
    </w:p>
    <w:p w14:paraId="47CD4A2C"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(vi) outros direitos e obrigações (por exemplo, reparação geral dos ativos da concessão de serviços); e</w:t>
      </w:r>
    </w:p>
    <w:p w14:paraId="29A35B8B" w14:textId="77777777" w:rsidR="000F414D" w:rsidRPr="00A06B25" w:rsidRDefault="000F414D" w:rsidP="000F4FB6">
      <w:pPr>
        <w:autoSpaceDE w:val="0"/>
        <w:autoSpaceDN w:val="0"/>
        <w:adjustRightInd w:val="0"/>
        <w:ind w:left="708"/>
        <w:jc w:val="both"/>
        <w:rPr>
          <w:rFonts w:ascii="Calibri" w:hAnsi="Calibri" w:cs="Calibri"/>
          <w:sz w:val="24"/>
          <w:szCs w:val="24"/>
        </w:rPr>
      </w:pPr>
      <w:r w:rsidRPr="00A06B25">
        <w:rPr>
          <w:rFonts w:ascii="Calibri" w:hAnsi="Calibri" w:cs="Calibri"/>
          <w:sz w:val="24"/>
          <w:szCs w:val="24"/>
        </w:rPr>
        <w:t xml:space="preserve"> (</w:t>
      </w:r>
      <w:proofErr w:type="spellStart"/>
      <w:r w:rsidRPr="00A06B25">
        <w:rPr>
          <w:rFonts w:ascii="Calibri" w:hAnsi="Calibri" w:cs="Calibri"/>
          <w:sz w:val="24"/>
          <w:szCs w:val="24"/>
        </w:rPr>
        <w:t>vii</w:t>
      </w:r>
      <w:proofErr w:type="spellEnd"/>
      <w:r w:rsidRPr="00A06B25">
        <w:rPr>
          <w:rFonts w:ascii="Calibri" w:hAnsi="Calibri" w:cs="Calibri"/>
          <w:sz w:val="24"/>
          <w:szCs w:val="24"/>
        </w:rPr>
        <w:t xml:space="preserve">) obrigações de fornecer à concessionária acesso a ativos de concessão de serviços ou outros ativos geradores de receitas; e </w:t>
      </w:r>
    </w:p>
    <w:p w14:paraId="7AFBAA00" w14:textId="77777777" w:rsidR="000F414D" w:rsidRPr="00A06B25" w:rsidRDefault="000F414D" w:rsidP="000F4FB6">
      <w:pPr>
        <w:autoSpaceDE w:val="0"/>
        <w:autoSpaceDN w:val="0"/>
        <w:adjustRightInd w:val="0"/>
        <w:ind w:left="360"/>
        <w:jc w:val="both"/>
        <w:rPr>
          <w:rFonts w:ascii="Calibri" w:hAnsi="Calibri" w:cs="Calibri"/>
          <w:sz w:val="24"/>
          <w:szCs w:val="24"/>
        </w:rPr>
      </w:pPr>
      <w:r w:rsidRPr="00A06B25">
        <w:rPr>
          <w:rFonts w:ascii="Calibri" w:hAnsi="Calibri" w:cs="Calibri"/>
          <w:sz w:val="24"/>
          <w:szCs w:val="24"/>
        </w:rPr>
        <w:t xml:space="preserve">(d) alterações no acordo ocorridas durante o exercício. </w:t>
      </w:r>
    </w:p>
    <w:p w14:paraId="23B5BF48" w14:textId="77777777" w:rsidR="000F414D" w:rsidRPr="00A06B25" w:rsidRDefault="000F414D" w:rsidP="0069329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As evidenciações exigidas conforme o item 32 devem ser fornecidas individualmente para cada acordo de concessão de serviços significativos, ou de modo agregado para cada classe de acordo de concessão de serviços. Uma classe é um agrupamento de acordos de concessão de serviços envolvendo serviços de natureza similar (por exemplo, serviços de pedágio, de telecomunicações ou de água e esgoto). Essa evidenciação por classe de ativos de concessão de serviços soma-se à segregação por classe de ativo, exigida no item 13. Por exemplo, para os </w:t>
      </w:r>
      <w:r w:rsidRPr="00A06B25">
        <w:rPr>
          <w:rFonts w:ascii="Calibri" w:hAnsi="Calibri" w:cs="Calibri"/>
          <w:sz w:val="24"/>
          <w:szCs w:val="24"/>
        </w:rPr>
        <w:lastRenderedPageBreak/>
        <w:t xml:space="preserve">propósitos do item 13, o pedágio em uma ponte pode estar agrupado com outras pontes. Para o propósito deste item, o pedágio na ponte deve estar agrupado com pedágios nas estradas. </w:t>
      </w:r>
    </w:p>
    <w:p w14:paraId="0E77FB9C" w14:textId="77777777" w:rsidR="000F414D" w:rsidRPr="00A06B25" w:rsidRDefault="000F414D" w:rsidP="00693290">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Transição </w:t>
      </w:r>
    </w:p>
    <w:p w14:paraId="2BFC49F8" w14:textId="77777777" w:rsidR="000F414D" w:rsidRPr="00A06B25" w:rsidRDefault="000F414D" w:rsidP="00693290">
      <w:pPr>
        <w:pStyle w:val="PargrafodaLista"/>
        <w:numPr>
          <w:ilvl w:val="0"/>
          <w:numId w:val="17"/>
        </w:num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A entidade concedente que reconheceu anteriormente o ativo da concessão de serviços e seus passivos, receitas e despesas correlatos deve aplicar esta norma retrospectivamente. </w:t>
      </w:r>
    </w:p>
    <w:p w14:paraId="08AE6EB6" w14:textId="77777777" w:rsidR="000F414D" w:rsidRPr="00A06B25" w:rsidRDefault="000F414D" w:rsidP="005D4306">
      <w:pPr>
        <w:autoSpaceDE w:val="0"/>
        <w:autoSpaceDN w:val="0"/>
        <w:adjustRightInd w:val="0"/>
        <w:jc w:val="both"/>
        <w:rPr>
          <w:rFonts w:ascii="Calibri" w:hAnsi="Calibri" w:cs="Calibri"/>
          <w:sz w:val="24"/>
          <w:szCs w:val="24"/>
        </w:rPr>
      </w:pPr>
      <w:r w:rsidRPr="00A06B25">
        <w:rPr>
          <w:rFonts w:ascii="Calibri" w:hAnsi="Calibri" w:cs="Calibri"/>
          <w:sz w:val="24"/>
          <w:szCs w:val="24"/>
        </w:rPr>
        <w:t xml:space="preserve">35 a 37 (Não convergidos). </w:t>
      </w:r>
    </w:p>
    <w:p w14:paraId="26D9F7C3" w14:textId="77777777" w:rsidR="000F414D" w:rsidRPr="00A06B25" w:rsidRDefault="000F414D" w:rsidP="00F077F6">
      <w:pPr>
        <w:autoSpaceDE w:val="0"/>
        <w:autoSpaceDN w:val="0"/>
        <w:adjustRightInd w:val="0"/>
        <w:jc w:val="both"/>
        <w:rPr>
          <w:rFonts w:ascii="Calibri" w:hAnsi="Calibri" w:cs="Calibri"/>
          <w:sz w:val="24"/>
          <w:szCs w:val="24"/>
        </w:rPr>
      </w:pPr>
      <w:r w:rsidRPr="00A06B25">
        <w:rPr>
          <w:rFonts w:ascii="Calibri" w:hAnsi="Calibri" w:cs="Calibri"/>
          <w:sz w:val="24"/>
          <w:szCs w:val="24"/>
        </w:rPr>
        <w:t>35A e 35B (Não convergidos).</w:t>
      </w:r>
    </w:p>
    <w:p w14:paraId="1302BDCC" w14:textId="77777777" w:rsidR="000F414D" w:rsidRPr="00A06B25" w:rsidRDefault="000F414D" w:rsidP="005D4306">
      <w:pPr>
        <w:autoSpaceDE w:val="0"/>
        <w:autoSpaceDN w:val="0"/>
        <w:adjustRightInd w:val="0"/>
        <w:jc w:val="both"/>
        <w:rPr>
          <w:rFonts w:ascii="Calibri" w:hAnsi="Calibri" w:cs="Calibri"/>
          <w:sz w:val="24"/>
          <w:szCs w:val="24"/>
        </w:rPr>
      </w:pPr>
      <w:r w:rsidRPr="00A06B25">
        <w:rPr>
          <w:rFonts w:ascii="Calibri" w:hAnsi="Calibri" w:cs="Calibri"/>
          <w:sz w:val="24"/>
          <w:szCs w:val="24"/>
        </w:rPr>
        <w:t>36A a 36G (Não convergido).</w:t>
      </w:r>
    </w:p>
    <w:p w14:paraId="6B37F94C" w14:textId="77777777" w:rsidR="000F414D" w:rsidRPr="00A06B25" w:rsidRDefault="000F414D" w:rsidP="005D4306">
      <w:pPr>
        <w:autoSpaceDE w:val="0"/>
        <w:autoSpaceDN w:val="0"/>
        <w:adjustRightInd w:val="0"/>
        <w:jc w:val="both"/>
        <w:rPr>
          <w:rFonts w:ascii="Calibri" w:hAnsi="Calibri" w:cs="Calibri"/>
          <w:b/>
          <w:bCs/>
          <w:sz w:val="24"/>
          <w:szCs w:val="24"/>
        </w:rPr>
      </w:pPr>
      <w:r w:rsidRPr="00A06B25">
        <w:rPr>
          <w:rFonts w:ascii="Calibri" w:hAnsi="Calibri" w:cs="Calibri"/>
          <w:b/>
          <w:bCs/>
          <w:sz w:val="24"/>
          <w:szCs w:val="24"/>
        </w:rPr>
        <w:t xml:space="preserve">Vigência </w:t>
      </w:r>
    </w:p>
    <w:p w14:paraId="5D63CFAB" w14:textId="77777777" w:rsidR="000F414D" w:rsidRPr="00A06B25" w:rsidRDefault="000F414D" w:rsidP="00A06B25">
      <w:pPr>
        <w:autoSpaceDE w:val="0"/>
        <w:autoSpaceDN w:val="0"/>
        <w:adjustRightInd w:val="0"/>
        <w:jc w:val="both"/>
        <w:rPr>
          <w:rFonts w:ascii="Calibri" w:hAnsi="Calibri" w:cs="Calibri"/>
          <w:noProof/>
          <w:sz w:val="24"/>
          <w:szCs w:val="24"/>
        </w:rPr>
      </w:pPr>
      <w:r w:rsidRPr="00A06B25">
        <w:rPr>
          <w:rFonts w:ascii="Calibri" w:eastAsiaTheme="minorHAnsi" w:hAnsi="Calibri" w:cs="Calibri"/>
          <w:sz w:val="24"/>
          <w:szCs w:val="24"/>
        </w:rPr>
        <w:t xml:space="preserve">Esta Norma entra em vigor na data de sua publicação, aplicando-se aos exercícios </w:t>
      </w:r>
      <w:r w:rsidRPr="00A06B25">
        <w:rPr>
          <w:rFonts w:ascii="Calibri" w:hAnsi="Calibri" w:cs="Calibri"/>
          <w:sz w:val="24"/>
          <w:szCs w:val="24"/>
        </w:rPr>
        <w:t>iniciados a</w:t>
      </w:r>
      <w:r w:rsidRPr="00A06B25">
        <w:rPr>
          <w:rFonts w:ascii="Calibri" w:eastAsiaTheme="minorHAnsi" w:hAnsi="Calibri" w:cs="Calibri"/>
          <w:sz w:val="24"/>
          <w:szCs w:val="24"/>
        </w:rPr>
        <w:t xml:space="preserve"> partir de 1º de janeiro de 2027, e revoga a NBC TSP 05, publicada no DOU, Seção I, de 06/12/2016, salvo na existência de algum normativo em âmbito nacional que </w:t>
      </w:r>
      <w:r w:rsidRPr="00A06B25">
        <w:rPr>
          <w:rFonts w:ascii="Calibri" w:hAnsi="Calibri" w:cs="Calibri"/>
          <w:sz w:val="24"/>
          <w:szCs w:val="24"/>
        </w:rPr>
        <w:t>estabeleça</w:t>
      </w:r>
      <w:r w:rsidRPr="00A06B25">
        <w:rPr>
          <w:rFonts w:ascii="Calibri" w:eastAsiaTheme="minorHAnsi" w:hAnsi="Calibri" w:cs="Calibri"/>
          <w:sz w:val="24"/>
          <w:szCs w:val="24"/>
        </w:rPr>
        <w:t xml:space="preserve"> prazos específicos – casos em que esses prevalecem.</w:t>
      </w:r>
    </w:p>
    <w:p w14:paraId="5922C516" w14:textId="77777777" w:rsidR="000F414D" w:rsidRDefault="000F414D" w:rsidP="00A06B25">
      <w:pPr>
        <w:pBdr>
          <w:top w:val="nil"/>
          <w:left w:val="nil"/>
          <w:bottom w:val="nil"/>
          <w:right w:val="nil"/>
          <w:between w:val="nil"/>
        </w:pBdr>
        <w:spacing w:after="0" w:line="240" w:lineRule="auto"/>
        <w:ind w:left="1906" w:hanging="1906"/>
        <w:jc w:val="right"/>
        <w:rPr>
          <w:rFonts w:eastAsia="Times New Roman" w:cstheme="minorHAnsi"/>
          <w:color w:val="000000"/>
          <w:sz w:val="24"/>
          <w:szCs w:val="24"/>
        </w:rPr>
      </w:pPr>
    </w:p>
    <w:p w14:paraId="25EFC166" w14:textId="4E49B84F" w:rsidR="000F414D" w:rsidRPr="00A06B25" w:rsidRDefault="000F414D" w:rsidP="00A06B25">
      <w:pPr>
        <w:pBdr>
          <w:top w:val="nil"/>
          <w:left w:val="nil"/>
          <w:bottom w:val="nil"/>
          <w:right w:val="nil"/>
          <w:between w:val="nil"/>
        </w:pBdr>
        <w:spacing w:after="0" w:line="240" w:lineRule="auto"/>
        <w:ind w:left="1906" w:hanging="1906"/>
        <w:jc w:val="right"/>
        <w:rPr>
          <w:rFonts w:ascii="Calibri" w:eastAsia="Times New Roman" w:hAnsi="Calibri" w:cs="Calibri"/>
          <w:color w:val="000000"/>
          <w:sz w:val="24"/>
          <w:szCs w:val="24"/>
        </w:rPr>
      </w:pPr>
      <w:r w:rsidRPr="00A06B25">
        <w:rPr>
          <w:rFonts w:ascii="Calibri" w:eastAsia="Times New Roman" w:hAnsi="Calibri" w:cs="Calibri"/>
          <w:color w:val="000000"/>
          <w:sz w:val="24"/>
          <w:szCs w:val="24"/>
        </w:rPr>
        <w:t xml:space="preserve">Brasília (DF), </w:t>
      </w:r>
      <w:proofErr w:type="spellStart"/>
      <w:r w:rsidR="000C02E7" w:rsidRPr="000C02E7">
        <w:rPr>
          <w:rFonts w:ascii="Calibri" w:eastAsia="Times New Roman" w:hAnsi="Calibri" w:cs="Calibri"/>
          <w:color w:val="000000"/>
          <w:sz w:val="24"/>
          <w:szCs w:val="24"/>
        </w:rPr>
        <w:t>xx</w:t>
      </w:r>
      <w:proofErr w:type="spellEnd"/>
      <w:r w:rsidR="000C02E7" w:rsidRPr="000C02E7">
        <w:rPr>
          <w:rFonts w:ascii="Calibri" w:eastAsia="Times New Roman" w:hAnsi="Calibri" w:cs="Calibri"/>
          <w:color w:val="000000"/>
          <w:sz w:val="24"/>
          <w:szCs w:val="24"/>
        </w:rPr>
        <w:t xml:space="preserve"> de </w:t>
      </w:r>
      <w:proofErr w:type="spellStart"/>
      <w:r w:rsidR="000C02E7" w:rsidRPr="000C02E7">
        <w:rPr>
          <w:rFonts w:ascii="Calibri" w:eastAsia="Times New Roman" w:hAnsi="Calibri" w:cs="Calibri"/>
          <w:color w:val="000000"/>
          <w:sz w:val="24"/>
          <w:szCs w:val="24"/>
        </w:rPr>
        <w:t>xxxxx</w:t>
      </w:r>
      <w:proofErr w:type="spellEnd"/>
      <w:r w:rsidR="000C02E7" w:rsidRPr="000C02E7">
        <w:rPr>
          <w:rFonts w:ascii="Calibri" w:eastAsia="Times New Roman" w:hAnsi="Calibri" w:cs="Calibri"/>
          <w:color w:val="000000"/>
          <w:sz w:val="24"/>
          <w:szCs w:val="24"/>
        </w:rPr>
        <w:t xml:space="preserve"> de 2025</w:t>
      </w:r>
      <w:r w:rsidRPr="00A06B25">
        <w:rPr>
          <w:rFonts w:ascii="Calibri" w:eastAsia="Times New Roman" w:hAnsi="Calibri" w:cs="Calibri"/>
          <w:color w:val="000000"/>
          <w:sz w:val="24"/>
          <w:szCs w:val="24"/>
        </w:rPr>
        <w:t>.</w:t>
      </w:r>
    </w:p>
    <w:p w14:paraId="79DB28D0" w14:textId="77777777" w:rsidR="000F414D" w:rsidRPr="00A06B25" w:rsidRDefault="000F414D" w:rsidP="00A06B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Calibri" w:eastAsia="Times New Roman" w:hAnsi="Calibri" w:cs="Calibri"/>
          <w:color w:val="000000"/>
          <w:sz w:val="24"/>
          <w:szCs w:val="24"/>
        </w:rPr>
      </w:pPr>
    </w:p>
    <w:p w14:paraId="67B9ADB2" w14:textId="77777777" w:rsidR="000F414D" w:rsidRPr="00A06B25" w:rsidRDefault="000F414D" w:rsidP="00A06B25">
      <w:pPr>
        <w:ind w:right="-142"/>
        <w:jc w:val="center"/>
        <w:rPr>
          <w:rFonts w:ascii="Calibri" w:hAnsi="Calibri" w:cs="Calibri"/>
          <w:sz w:val="24"/>
          <w:szCs w:val="24"/>
        </w:rPr>
      </w:pPr>
      <w:r w:rsidRPr="00A06B25">
        <w:rPr>
          <w:rFonts w:ascii="Calibri" w:hAnsi="Calibri" w:cs="Calibri"/>
          <w:sz w:val="24"/>
          <w:szCs w:val="24"/>
        </w:rPr>
        <w:t xml:space="preserve">CONTADOR AÉCIO PRADO DANTAS JÚNIOR </w:t>
      </w:r>
    </w:p>
    <w:p w14:paraId="59496280" w14:textId="77777777" w:rsidR="000F414D" w:rsidRPr="00A06B25" w:rsidRDefault="000F414D" w:rsidP="00A06B25">
      <w:pPr>
        <w:ind w:right="-142"/>
        <w:jc w:val="center"/>
        <w:rPr>
          <w:rFonts w:ascii="Calibri" w:hAnsi="Calibri" w:cs="Calibri"/>
          <w:sz w:val="24"/>
          <w:szCs w:val="24"/>
        </w:rPr>
      </w:pPr>
      <w:r w:rsidRPr="00A06B25">
        <w:rPr>
          <w:rFonts w:ascii="Calibri" w:hAnsi="Calibri" w:cs="Calibri"/>
          <w:sz w:val="24"/>
          <w:szCs w:val="24"/>
        </w:rPr>
        <w:t>Presidente</w:t>
      </w:r>
    </w:p>
    <w:p w14:paraId="6F54A45C" w14:textId="786C917A" w:rsidR="000F414D" w:rsidRPr="00A06B25" w:rsidRDefault="000F414D" w:rsidP="00A06B25">
      <w:pPr>
        <w:tabs>
          <w:tab w:val="left" w:pos="142"/>
          <w:tab w:val="left" w:pos="1418"/>
        </w:tabs>
        <w:ind w:right="-142"/>
        <w:rPr>
          <w:rFonts w:ascii="Calibri" w:eastAsia="Times New Roman" w:hAnsi="Calibri" w:cs="Calibri"/>
          <w:color w:val="000000"/>
          <w:sz w:val="24"/>
          <w:szCs w:val="24"/>
        </w:rPr>
      </w:pPr>
      <w:r w:rsidRPr="00A06B25">
        <w:rPr>
          <w:rFonts w:ascii="Calibri" w:hAnsi="Calibri" w:cs="Calibri"/>
          <w:sz w:val="24"/>
          <w:szCs w:val="24"/>
        </w:rPr>
        <w:t xml:space="preserve">Ata CFC nº </w:t>
      </w:r>
      <w:proofErr w:type="spellStart"/>
      <w:r w:rsidR="000C02E7">
        <w:rPr>
          <w:rFonts w:ascii="Calibri" w:hAnsi="Calibri" w:cs="Calibri"/>
          <w:sz w:val="24"/>
          <w:szCs w:val="24"/>
        </w:rPr>
        <w:t>xxxx</w:t>
      </w:r>
      <w:proofErr w:type="spellEnd"/>
    </w:p>
    <w:p w14:paraId="1D3251CA" w14:textId="77777777" w:rsidR="000F414D" w:rsidRPr="00A06B25" w:rsidRDefault="000F414D" w:rsidP="00524484">
      <w:pPr>
        <w:autoSpaceDE w:val="0"/>
        <w:autoSpaceDN w:val="0"/>
        <w:adjustRightInd w:val="0"/>
        <w:spacing w:line="360" w:lineRule="auto"/>
        <w:jc w:val="center"/>
        <w:rPr>
          <w:rFonts w:ascii="Calibri" w:hAnsi="Calibri" w:cs="Calibri"/>
          <w:bCs/>
          <w:sz w:val="24"/>
          <w:szCs w:val="24"/>
        </w:rPr>
      </w:pPr>
    </w:p>
    <w:tbl>
      <w:tblPr>
        <w:tblStyle w:val="Tabelacomgrade"/>
        <w:tblW w:w="5257" w:type="pct"/>
        <w:tblInd w:w="-5" w:type="dxa"/>
        <w:tblLayout w:type="fixed"/>
        <w:tblLook w:val="04A0" w:firstRow="1" w:lastRow="0" w:firstColumn="1" w:lastColumn="0" w:noHBand="0" w:noVBand="1"/>
      </w:tblPr>
      <w:tblGrid>
        <w:gridCol w:w="9985"/>
      </w:tblGrid>
      <w:tr w:rsidR="00BC09B1" w:rsidRPr="00A06B25" w14:paraId="2E1D3459" w14:textId="77777777" w:rsidTr="009D0873">
        <w:tc>
          <w:tcPr>
            <w:tcW w:w="5000" w:type="pct"/>
            <w:tcBorders>
              <w:top w:val="nil"/>
              <w:left w:val="nil"/>
              <w:bottom w:val="nil"/>
              <w:right w:val="nil"/>
            </w:tcBorders>
          </w:tcPr>
          <w:p w14:paraId="25D316C4" w14:textId="41C41438" w:rsidR="00BC09B1" w:rsidRPr="00A06B25" w:rsidRDefault="00BC09B1" w:rsidP="00D44530">
            <w:pPr>
              <w:autoSpaceDE w:val="0"/>
              <w:autoSpaceDN w:val="0"/>
              <w:adjustRightInd w:val="0"/>
              <w:spacing w:line="276" w:lineRule="auto"/>
              <w:ind w:left="510" w:hanging="510"/>
              <w:jc w:val="both"/>
              <w:rPr>
                <w:rFonts w:ascii="Calibri" w:hAnsi="Calibri" w:cs="Calibri"/>
                <w:bCs/>
                <w:sz w:val="24"/>
                <w:szCs w:val="24"/>
              </w:rPr>
            </w:pPr>
          </w:p>
        </w:tc>
      </w:tr>
    </w:tbl>
    <w:p w14:paraId="55BD3811" w14:textId="77777777" w:rsidR="00BC09B1" w:rsidRPr="00A06B25" w:rsidRDefault="00BC09B1" w:rsidP="006E65CF">
      <w:pPr>
        <w:tabs>
          <w:tab w:val="left" w:pos="7513"/>
        </w:tabs>
        <w:spacing w:after="0" w:line="360" w:lineRule="auto"/>
        <w:rPr>
          <w:rFonts w:ascii="Calibri" w:hAnsi="Calibri" w:cs="Calibri"/>
          <w:b/>
          <w:sz w:val="24"/>
          <w:szCs w:val="24"/>
        </w:rPr>
      </w:pPr>
    </w:p>
    <w:sectPr w:rsidR="00BC09B1" w:rsidRPr="00A06B25" w:rsidSect="00A06B25">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1B69" w14:textId="77777777" w:rsidR="0045776E" w:rsidRDefault="0045776E" w:rsidP="0045776E">
      <w:pPr>
        <w:spacing w:after="0" w:line="240" w:lineRule="auto"/>
      </w:pPr>
      <w:r>
        <w:separator/>
      </w:r>
    </w:p>
  </w:endnote>
  <w:endnote w:type="continuationSeparator" w:id="0">
    <w:p w14:paraId="6C39DE51" w14:textId="77777777" w:rsidR="0045776E" w:rsidRDefault="0045776E" w:rsidP="0045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4A5F" w14:textId="77777777" w:rsidR="0045776E" w:rsidRDefault="0045776E" w:rsidP="0045776E">
      <w:pPr>
        <w:spacing w:after="0" w:line="240" w:lineRule="auto"/>
      </w:pPr>
      <w:r>
        <w:separator/>
      </w:r>
    </w:p>
  </w:footnote>
  <w:footnote w:type="continuationSeparator" w:id="0">
    <w:p w14:paraId="37DE7DBA" w14:textId="77777777" w:rsidR="0045776E" w:rsidRDefault="0045776E" w:rsidP="0045776E">
      <w:pPr>
        <w:spacing w:after="0" w:line="240" w:lineRule="auto"/>
      </w:pPr>
      <w:r>
        <w:continuationSeparator/>
      </w:r>
    </w:p>
  </w:footnote>
  <w:footnote w:id="1">
    <w:p w14:paraId="2E78694F" w14:textId="77777777" w:rsidR="000F414D" w:rsidRDefault="000F414D" w:rsidP="0045776E">
      <w:pPr>
        <w:tabs>
          <w:tab w:val="left" w:pos="839"/>
        </w:tabs>
        <w:spacing w:before="106"/>
        <w:ind w:left="480"/>
        <w:rPr>
          <w:sz w:val="16"/>
        </w:rPr>
      </w:pPr>
      <w:r>
        <w:rPr>
          <w:rStyle w:val="Refdenotaderodap"/>
        </w:rPr>
        <w:footnoteRef/>
      </w:r>
      <w:r>
        <w:t xml:space="preserve"> Veja parágrafos AG3-AG4.</w:t>
      </w:r>
    </w:p>
    <w:p w14:paraId="5C6CB4A5" w14:textId="77777777" w:rsidR="000F414D" w:rsidRDefault="000F414D" w:rsidP="0045776E">
      <w:pPr>
        <w:pStyle w:val="Textodenotaderodap"/>
      </w:pPr>
    </w:p>
  </w:footnote>
  <w:footnote w:id="2">
    <w:p w14:paraId="515AF994" w14:textId="77777777" w:rsidR="000F414D" w:rsidRDefault="000F414D" w:rsidP="0045776E">
      <w:pPr>
        <w:pStyle w:val="Textodenotaderodap"/>
      </w:pPr>
      <w:r>
        <w:rPr>
          <w:rStyle w:val="Refdenotaderodap"/>
          <w:rFonts w:eastAsiaTheme="majorEastAsia"/>
        </w:rPr>
        <w:footnoteRef/>
      </w:r>
      <w:r>
        <w:t>Ver parágrafos AG 37 a 50.</w:t>
      </w:r>
    </w:p>
  </w:footnote>
  <w:footnote w:id="3">
    <w:p w14:paraId="2A25823A" w14:textId="77777777" w:rsidR="000F414D" w:rsidRDefault="000F414D" w:rsidP="0045776E">
      <w:pPr>
        <w:pStyle w:val="Textodenotaderodap"/>
        <w:tabs>
          <w:tab w:val="left" w:pos="3405"/>
        </w:tabs>
        <w:jc w:val="both"/>
      </w:pPr>
      <w:r>
        <w:rPr>
          <w:rStyle w:val="Refdenotaderodap"/>
          <w:rFonts w:eastAsiaTheme="majorEastAsia"/>
        </w:rPr>
        <w:footnoteRef/>
      </w:r>
      <w:r>
        <w:t xml:space="preserve"> Ver parágrafos AG7 a AG49</w:t>
      </w:r>
    </w:p>
  </w:footnote>
  <w:footnote w:id="4">
    <w:p w14:paraId="7C01AE47" w14:textId="77777777" w:rsidR="000F414D" w:rsidRDefault="000F414D" w:rsidP="0045776E">
      <w:pPr>
        <w:pStyle w:val="Textodenotaderodap"/>
      </w:pPr>
      <w:r>
        <w:rPr>
          <w:rStyle w:val="Refdenotaderodap"/>
          <w:rFonts w:eastAsiaTheme="majorEastAsia"/>
        </w:rPr>
        <w:footnoteRef/>
      </w:r>
      <w:r>
        <w:t xml:space="preserve"> V</w:t>
      </w:r>
      <w:r w:rsidRPr="008E2EBD">
        <w:t>er parágrafo AG50</w:t>
      </w:r>
      <w:r>
        <w:t>.</w:t>
      </w:r>
    </w:p>
  </w:footnote>
  <w:footnote w:id="5">
    <w:p w14:paraId="6787D75F" w14:textId="77777777" w:rsidR="000F414D" w:rsidRDefault="000F414D" w:rsidP="0045776E">
      <w:pPr>
        <w:pStyle w:val="Textodenotaderodap"/>
      </w:pPr>
      <w:r>
        <w:rPr>
          <w:rStyle w:val="Refdenotaderodap"/>
          <w:rFonts w:eastAsiaTheme="majorEastAsia"/>
        </w:rPr>
        <w:footnoteRef/>
      </w:r>
      <w:r>
        <w:t xml:space="preserve"> Ver parágrafos AG65 a AG67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450"/>
    <w:multiLevelType w:val="hybridMultilevel"/>
    <w:tmpl w:val="D4E84C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5C115C"/>
    <w:multiLevelType w:val="hybridMultilevel"/>
    <w:tmpl w:val="607276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52A98"/>
    <w:multiLevelType w:val="hybridMultilevel"/>
    <w:tmpl w:val="8BA834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516029"/>
    <w:multiLevelType w:val="hybridMultilevel"/>
    <w:tmpl w:val="11E4BBA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EC10322"/>
    <w:multiLevelType w:val="hybridMultilevel"/>
    <w:tmpl w:val="A75AB9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574BA1"/>
    <w:multiLevelType w:val="hybridMultilevel"/>
    <w:tmpl w:val="41945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600BEB"/>
    <w:multiLevelType w:val="hybridMultilevel"/>
    <w:tmpl w:val="C68C60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902D8C"/>
    <w:multiLevelType w:val="hybridMultilevel"/>
    <w:tmpl w:val="15F477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FF4D81"/>
    <w:multiLevelType w:val="hybridMultilevel"/>
    <w:tmpl w:val="1C7C4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71463"/>
    <w:multiLevelType w:val="hybridMultilevel"/>
    <w:tmpl w:val="79A2C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083CDD"/>
    <w:multiLevelType w:val="hybridMultilevel"/>
    <w:tmpl w:val="3E465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FCE76E1"/>
    <w:multiLevelType w:val="hybridMultilevel"/>
    <w:tmpl w:val="B7607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1563909"/>
    <w:multiLevelType w:val="hybridMultilevel"/>
    <w:tmpl w:val="A120B30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4C7B41AD"/>
    <w:multiLevelType w:val="hybridMultilevel"/>
    <w:tmpl w:val="A22AB7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D669CE"/>
    <w:multiLevelType w:val="hybridMultilevel"/>
    <w:tmpl w:val="8CC4C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7D608C"/>
    <w:multiLevelType w:val="hybridMultilevel"/>
    <w:tmpl w:val="43662C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1701C9"/>
    <w:multiLevelType w:val="hybridMultilevel"/>
    <w:tmpl w:val="445A8FA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58FF75F9"/>
    <w:multiLevelType w:val="hybridMultilevel"/>
    <w:tmpl w:val="392E2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1A4C9B"/>
    <w:multiLevelType w:val="hybridMultilevel"/>
    <w:tmpl w:val="2A4C2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302F1F"/>
    <w:multiLevelType w:val="hybridMultilevel"/>
    <w:tmpl w:val="03D69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2117509"/>
    <w:multiLevelType w:val="hybridMultilevel"/>
    <w:tmpl w:val="60981B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4CA58A5"/>
    <w:multiLevelType w:val="hybridMultilevel"/>
    <w:tmpl w:val="E6746C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AB71AF"/>
    <w:multiLevelType w:val="hybridMultilevel"/>
    <w:tmpl w:val="14B0F6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B15CA0"/>
    <w:multiLevelType w:val="hybridMultilevel"/>
    <w:tmpl w:val="3F588C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611038"/>
    <w:multiLevelType w:val="hybridMultilevel"/>
    <w:tmpl w:val="C62AB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094784"/>
    <w:multiLevelType w:val="hybridMultilevel"/>
    <w:tmpl w:val="364E9566"/>
    <w:lvl w:ilvl="0" w:tplc="3104D678">
      <w:start w:val="1"/>
      <w:numFmt w:val="lowerLetter"/>
      <w:lvlText w:val="(%1)"/>
      <w:lvlJc w:val="left"/>
      <w:pPr>
        <w:ind w:left="3600" w:hanging="360"/>
      </w:pPr>
      <w:rPr>
        <w:rFonts w:hint="default"/>
      </w:r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877808421">
    <w:abstractNumId w:val="20"/>
  </w:num>
  <w:num w:numId="2" w16cid:durableId="938946102">
    <w:abstractNumId w:val="25"/>
  </w:num>
  <w:num w:numId="3" w16cid:durableId="630407463">
    <w:abstractNumId w:val="11"/>
  </w:num>
  <w:num w:numId="4" w16cid:durableId="1829982588">
    <w:abstractNumId w:val="14"/>
  </w:num>
  <w:num w:numId="5" w16cid:durableId="2062361157">
    <w:abstractNumId w:val="24"/>
  </w:num>
  <w:num w:numId="6" w16cid:durableId="1568682971">
    <w:abstractNumId w:val="5"/>
  </w:num>
  <w:num w:numId="7" w16cid:durableId="9262648">
    <w:abstractNumId w:val="22"/>
  </w:num>
  <w:num w:numId="8" w16cid:durableId="1589772528">
    <w:abstractNumId w:val="9"/>
  </w:num>
  <w:num w:numId="9" w16cid:durableId="590818865">
    <w:abstractNumId w:val="16"/>
  </w:num>
  <w:num w:numId="10" w16cid:durableId="933444148">
    <w:abstractNumId w:val="8"/>
  </w:num>
  <w:num w:numId="11" w16cid:durableId="1327246945">
    <w:abstractNumId w:val="23"/>
  </w:num>
  <w:num w:numId="12" w16cid:durableId="483592868">
    <w:abstractNumId w:val="21"/>
  </w:num>
  <w:num w:numId="13" w16cid:durableId="1111705703">
    <w:abstractNumId w:val="17"/>
  </w:num>
  <w:num w:numId="14" w16cid:durableId="623314248">
    <w:abstractNumId w:val="18"/>
  </w:num>
  <w:num w:numId="15" w16cid:durableId="343291404">
    <w:abstractNumId w:val="4"/>
  </w:num>
  <w:num w:numId="16" w16cid:durableId="457453973">
    <w:abstractNumId w:val="19"/>
  </w:num>
  <w:num w:numId="17" w16cid:durableId="1632322271">
    <w:abstractNumId w:val="3"/>
  </w:num>
  <w:num w:numId="18" w16cid:durableId="710349820">
    <w:abstractNumId w:val="13"/>
  </w:num>
  <w:num w:numId="19" w16cid:durableId="313725563">
    <w:abstractNumId w:val="7"/>
  </w:num>
  <w:num w:numId="20" w16cid:durableId="1769890606">
    <w:abstractNumId w:val="6"/>
  </w:num>
  <w:num w:numId="21" w16cid:durableId="761872738">
    <w:abstractNumId w:val="0"/>
  </w:num>
  <w:num w:numId="22" w16cid:durableId="1027950811">
    <w:abstractNumId w:val="10"/>
  </w:num>
  <w:num w:numId="23" w16cid:durableId="20129098">
    <w:abstractNumId w:val="12"/>
  </w:num>
  <w:num w:numId="24" w16cid:durableId="1343698937">
    <w:abstractNumId w:val="1"/>
  </w:num>
  <w:num w:numId="25" w16cid:durableId="1241675649">
    <w:abstractNumId w:val="15"/>
  </w:num>
  <w:num w:numId="26" w16cid:durableId="1245531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AB"/>
    <w:rsid w:val="00044A06"/>
    <w:rsid w:val="0007167A"/>
    <w:rsid w:val="000832E3"/>
    <w:rsid w:val="000A3DEF"/>
    <w:rsid w:val="000C02E7"/>
    <w:rsid w:val="000C044E"/>
    <w:rsid w:val="000D57CB"/>
    <w:rsid w:val="000E0C38"/>
    <w:rsid w:val="000F414D"/>
    <w:rsid w:val="000F4FB6"/>
    <w:rsid w:val="0011211C"/>
    <w:rsid w:val="001214AA"/>
    <w:rsid w:val="00134551"/>
    <w:rsid w:val="00141FCC"/>
    <w:rsid w:val="00180A9E"/>
    <w:rsid w:val="001E054D"/>
    <w:rsid w:val="001E2A7E"/>
    <w:rsid w:val="001E5EBE"/>
    <w:rsid w:val="001F5482"/>
    <w:rsid w:val="001F664B"/>
    <w:rsid w:val="00205314"/>
    <w:rsid w:val="00214367"/>
    <w:rsid w:val="0021617B"/>
    <w:rsid w:val="00296E50"/>
    <w:rsid w:val="002A2A57"/>
    <w:rsid w:val="002A7C2A"/>
    <w:rsid w:val="002B4B9F"/>
    <w:rsid w:val="002C33B9"/>
    <w:rsid w:val="002F7008"/>
    <w:rsid w:val="00326B53"/>
    <w:rsid w:val="003725B0"/>
    <w:rsid w:val="003A4EDF"/>
    <w:rsid w:val="004073EB"/>
    <w:rsid w:val="0041199F"/>
    <w:rsid w:val="00412A5E"/>
    <w:rsid w:val="00422F03"/>
    <w:rsid w:val="004574A3"/>
    <w:rsid w:val="0045776E"/>
    <w:rsid w:val="0047584B"/>
    <w:rsid w:val="004D1594"/>
    <w:rsid w:val="004D2FE6"/>
    <w:rsid w:val="005046BF"/>
    <w:rsid w:val="00505CD0"/>
    <w:rsid w:val="00545C35"/>
    <w:rsid w:val="005706C1"/>
    <w:rsid w:val="00580DD8"/>
    <w:rsid w:val="00583168"/>
    <w:rsid w:val="005A2124"/>
    <w:rsid w:val="005B0ED6"/>
    <w:rsid w:val="005B6B5D"/>
    <w:rsid w:val="005C0F27"/>
    <w:rsid w:val="005C6377"/>
    <w:rsid w:val="005D3554"/>
    <w:rsid w:val="00611FB8"/>
    <w:rsid w:val="0061686D"/>
    <w:rsid w:val="00637FB9"/>
    <w:rsid w:val="00693290"/>
    <w:rsid w:val="006E65CF"/>
    <w:rsid w:val="00706D3C"/>
    <w:rsid w:val="007235EA"/>
    <w:rsid w:val="007414A3"/>
    <w:rsid w:val="007634E7"/>
    <w:rsid w:val="00786937"/>
    <w:rsid w:val="007A4EBE"/>
    <w:rsid w:val="007C03EE"/>
    <w:rsid w:val="007D371C"/>
    <w:rsid w:val="00800B2C"/>
    <w:rsid w:val="00841E01"/>
    <w:rsid w:val="00842AA6"/>
    <w:rsid w:val="008510E0"/>
    <w:rsid w:val="00867D57"/>
    <w:rsid w:val="008A07BF"/>
    <w:rsid w:val="00917C3E"/>
    <w:rsid w:val="009413AF"/>
    <w:rsid w:val="00943D38"/>
    <w:rsid w:val="00951E97"/>
    <w:rsid w:val="009A7F6C"/>
    <w:rsid w:val="009C3D51"/>
    <w:rsid w:val="009D0873"/>
    <w:rsid w:val="00A06B25"/>
    <w:rsid w:val="00A71241"/>
    <w:rsid w:val="00AE1DFD"/>
    <w:rsid w:val="00B02E1C"/>
    <w:rsid w:val="00B12705"/>
    <w:rsid w:val="00B334BF"/>
    <w:rsid w:val="00B37EC5"/>
    <w:rsid w:val="00B41FB5"/>
    <w:rsid w:val="00B436D6"/>
    <w:rsid w:val="00B9288B"/>
    <w:rsid w:val="00BC09B1"/>
    <w:rsid w:val="00BF504F"/>
    <w:rsid w:val="00C07699"/>
    <w:rsid w:val="00C14631"/>
    <w:rsid w:val="00C2231D"/>
    <w:rsid w:val="00C309B8"/>
    <w:rsid w:val="00C41DF1"/>
    <w:rsid w:val="00C676F7"/>
    <w:rsid w:val="00CB0EAB"/>
    <w:rsid w:val="00D2410A"/>
    <w:rsid w:val="00D44530"/>
    <w:rsid w:val="00D63C62"/>
    <w:rsid w:val="00D95EF0"/>
    <w:rsid w:val="00DC44F4"/>
    <w:rsid w:val="00DE518F"/>
    <w:rsid w:val="00DF38AB"/>
    <w:rsid w:val="00E02B9E"/>
    <w:rsid w:val="00E41FA1"/>
    <w:rsid w:val="00E878B1"/>
    <w:rsid w:val="00E92161"/>
    <w:rsid w:val="00ED6320"/>
    <w:rsid w:val="00EE41C8"/>
    <w:rsid w:val="00F077F6"/>
    <w:rsid w:val="00F17C77"/>
    <w:rsid w:val="00F32BE9"/>
    <w:rsid w:val="00F6197D"/>
    <w:rsid w:val="00FB5A09"/>
    <w:rsid w:val="00FD6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79AE"/>
  <w15:chartTrackingRefBased/>
  <w15:docId w15:val="{CB970C18-51D4-4200-B967-646CAFD4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82"/>
    <w:pPr>
      <w:spacing w:after="120" w:line="264" w:lineRule="auto"/>
    </w:pPr>
    <w:rPr>
      <w:rFonts w:eastAsiaTheme="minorEastAsia"/>
      <w:kern w:val="0"/>
      <w:sz w:val="20"/>
      <w:szCs w:val="20"/>
      <w14:ligatures w14:val="none"/>
    </w:rPr>
  </w:style>
  <w:style w:type="paragraph" w:styleId="Ttulo1">
    <w:name w:val="heading 1"/>
    <w:basedOn w:val="Normal"/>
    <w:next w:val="Normal"/>
    <w:link w:val="Ttulo1Char"/>
    <w:uiPriority w:val="9"/>
    <w:qFormat/>
    <w:rsid w:val="00CB0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0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0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0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0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0E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0E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0E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0EA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0EA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0EA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0EA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0EA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0EA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0E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0E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0E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0EAB"/>
    <w:rPr>
      <w:rFonts w:eastAsiaTheme="majorEastAsia" w:cstheme="majorBidi"/>
      <w:color w:val="272727" w:themeColor="text1" w:themeTint="D8"/>
    </w:rPr>
  </w:style>
  <w:style w:type="paragraph" w:styleId="Ttulo">
    <w:name w:val="Title"/>
    <w:basedOn w:val="Normal"/>
    <w:next w:val="Normal"/>
    <w:link w:val="TtuloChar"/>
    <w:uiPriority w:val="10"/>
    <w:qFormat/>
    <w:rsid w:val="00CB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0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0EA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0E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0EAB"/>
    <w:pPr>
      <w:spacing w:before="160"/>
      <w:jc w:val="center"/>
    </w:pPr>
    <w:rPr>
      <w:i/>
      <w:iCs/>
      <w:color w:val="404040" w:themeColor="text1" w:themeTint="BF"/>
    </w:rPr>
  </w:style>
  <w:style w:type="character" w:customStyle="1" w:styleId="CitaoChar">
    <w:name w:val="Citação Char"/>
    <w:basedOn w:val="Fontepargpadro"/>
    <w:link w:val="Citao"/>
    <w:uiPriority w:val="29"/>
    <w:rsid w:val="00CB0EAB"/>
    <w:rPr>
      <w:i/>
      <w:iCs/>
      <w:color w:val="404040" w:themeColor="text1" w:themeTint="BF"/>
    </w:rPr>
  </w:style>
  <w:style w:type="paragraph" w:styleId="PargrafodaLista">
    <w:name w:val="List Paragraph"/>
    <w:basedOn w:val="Normal"/>
    <w:uiPriority w:val="34"/>
    <w:qFormat/>
    <w:rsid w:val="00CB0EAB"/>
    <w:pPr>
      <w:ind w:left="720"/>
      <w:contextualSpacing/>
    </w:pPr>
  </w:style>
  <w:style w:type="character" w:styleId="nfaseIntensa">
    <w:name w:val="Intense Emphasis"/>
    <w:basedOn w:val="Fontepargpadro"/>
    <w:uiPriority w:val="21"/>
    <w:qFormat/>
    <w:rsid w:val="00CB0EAB"/>
    <w:rPr>
      <w:i/>
      <w:iCs/>
      <w:color w:val="0F4761" w:themeColor="accent1" w:themeShade="BF"/>
    </w:rPr>
  </w:style>
  <w:style w:type="paragraph" w:styleId="CitaoIntensa">
    <w:name w:val="Intense Quote"/>
    <w:basedOn w:val="Normal"/>
    <w:next w:val="Normal"/>
    <w:link w:val="CitaoIntensaChar"/>
    <w:uiPriority w:val="30"/>
    <w:qFormat/>
    <w:rsid w:val="00CB0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0EAB"/>
    <w:rPr>
      <w:i/>
      <w:iCs/>
      <w:color w:val="0F4761" w:themeColor="accent1" w:themeShade="BF"/>
    </w:rPr>
  </w:style>
  <w:style w:type="character" w:styleId="RefernciaIntensa">
    <w:name w:val="Intense Reference"/>
    <w:basedOn w:val="Fontepargpadro"/>
    <w:uiPriority w:val="32"/>
    <w:qFormat/>
    <w:rsid w:val="00CB0EAB"/>
    <w:rPr>
      <w:b/>
      <w:bCs/>
      <w:smallCaps/>
      <w:color w:val="0F4761" w:themeColor="accent1" w:themeShade="BF"/>
      <w:spacing w:val="5"/>
    </w:rPr>
  </w:style>
  <w:style w:type="paragraph" w:styleId="SemEspaamento">
    <w:name w:val="No Spacing"/>
    <w:uiPriority w:val="1"/>
    <w:qFormat/>
    <w:rsid w:val="00B02E1C"/>
    <w:pPr>
      <w:spacing w:after="0" w:line="240" w:lineRule="auto"/>
    </w:pPr>
    <w:rPr>
      <w:rFonts w:eastAsiaTheme="minorEastAsia"/>
      <w:kern w:val="0"/>
      <w:sz w:val="20"/>
      <w:szCs w:val="20"/>
      <w14:ligatures w14:val="none"/>
    </w:rPr>
  </w:style>
  <w:style w:type="table" w:styleId="Tabelacomgrade">
    <w:name w:val="Table Grid"/>
    <w:basedOn w:val="Tabelanormal"/>
    <w:uiPriority w:val="59"/>
    <w:rsid w:val="00BC09B1"/>
    <w:pPr>
      <w:spacing w:after="0" w:line="240" w:lineRule="auto"/>
    </w:pPr>
    <w:rPr>
      <w:rFonts w:eastAsiaTheme="minorEastAsia"/>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rsid w:val="0045776E"/>
    <w:pPr>
      <w:spacing w:after="0" w:line="240" w:lineRule="auto"/>
    </w:pPr>
    <w:rPr>
      <w:rFonts w:ascii="Times New Roman" w:eastAsia="Times New Roman" w:hAnsi="Times New Roman" w:cs="Times New Roman"/>
      <w:lang w:eastAsia="pt-BR"/>
    </w:rPr>
  </w:style>
  <w:style w:type="character" w:customStyle="1" w:styleId="TextodenotaderodapChar">
    <w:name w:val="Texto de nota de rodapé Char"/>
    <w:basedOn w:val="Fontepargpadro"/>
    <w:link w:val="Textodenotaderodap"/>
    <w:semiHidden/>
    <w:rsid w:val="0045776E"/>
    <w:rPr>
      <w:rFonts w:ascii="Times New Roman" w:eastAsia="Times New Roman" w:hAnsi="Times New Roman" w:cs="Times New Roman"/>
      <w:kern w:val="0"/>
      <w:sz w:val="20"/>
      <w:szCs w:val="20"/>
      <w:lang w:eastAsia="pt-BR"/>
      <w14:ligatures w14:val="none"/>
    </w:rPr>
  </w:style>
  <w:style w:type="character" w:styleId="Refdenotaderodap">
    <w:name w:val="footnote reference"/>
    <w:semiHidden/>
    <w:rsid w:val="00457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1010-F600-4B54-99B1-1F1D9F9E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2287</Words>
  <Characters>12356</Characters>
  <Application>Microsoft Office Word</Application>
  <DocSecurity>0</DocSecurity>
  <Lines>102</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Fátima de Assis Freitas</dc:creator>
  <cp:keywords/>
  <dc:description/>
  <cp:lastModifiedBy>Pedro Henrique Santos de Freitas</cp:lastModifiedBy>
  <cp:revision>51</cp:revision>
  <dcterms:created xsi:type="dcterms:W3CDTF">2025-08-08T07:27:00Z</dcterms:created>
  <dcterms:modified xsi:type="dcterms:W3CDTF">2025-08-25T17:18:00Z</dcterms:modified>
</cp:coreProperties>
</file>