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4EC9" w14:textId="079A16A8" w:rsidR="00AD7222" w:rsidRPr="004A2EE1" w:rsidRDefault="00F24AFE" w:rsidP="00E33A14">
      <w:pPr>
        <w:pStyle w:val="Ttulo3"/>
        <w:spacing w:before="0" w:beforeAutospacing="0" w:after="0" w:afterAutospacing="0"/>
        <w:jc w:val="center"/>
        <w:rPr>
          <w:rFonts w:ascii="Arial" w:hAnsi="Arial" w:cs="Arial"/>
          <w:bCs w:val="0"/>
          <w:color w:val="AB0634"/>
          <w:sz w:val="22"/>
          <w:szCs w:val="22"/>
          <w:lang w:val="pt-BR"/>
        </w:rPr>
      </w:pPr>
      <w:r w:rsidRPr="004A2EE1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Edital de Audiência Pública </w:t>
      </w:r>
      <w:r w:rsidR="000946A4" w:rsidRPr="004A2EE1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n.º </w:t>
      </w:r>
      <w:r w:rsidR="002975FE">
        <w:rPr>
          <w:rFonts w:ascii="Arial" w:hAnsi="Arial" w:cs="Arial"/>
          <w:bCs w:val="0"/>
          <w:color w:val="AB0634"/>
          <w:sz w:val="22"/>
          <w:szCs w:val="22"/>
          <w:lang w:val="pt-BR"/>
        </w:rPr>
        <w:t>0</w:t>
      </w:r>
      <w:r w:rsidR="004F6591">
        <w:rPr>
          <w:rFonts w:ascii="Arial" w:hAnsi="Arial" w:cs="Arial"/>
          <w:bCs w:val="0"/>
          <w:color w:val="AB0634"/>
          <w:sz w:val="22"/>
          <w:szCs w:val="22"/>
          <w:lang w:val="pt-BR"/>
        </w:rPr>
        <w:t>2</w:t>
      </w:r>
      <w:r w:rsidR="00D62DA2" w:rsidRPr="004A2EE1">
        <w:rPr>
          <w:rFonts w:ascii="Arial" w:hAnsi="Arial" w:cs="Arial"/>
          <w:bCs w:val="0"/>
          <w:color w:val="AB0634"/>
          <w:sz w:val="22"/>
          <w:szCs w:val="22"/>
          <w:lang w:val="pt-BR"/>
        </w:rPr>
        <w:t>/</w:t>
      </w:r>
      <w:r w:rsidR="002975FE" w:rsidRPr="004A2EE1">
        <w:rPr>
          <w:rFonts w:ascii="Arial" w:hAnsi="Arial" w:cs="Arial"/>
          <w:bCs w:val="0"/>
          <w:color w:val="AB0634"/>
          <w:sz w:val="22"/>
          <w:szCs w:val="22"/>
          <w:lang w:val="pt-BR"/>
        </w:rPr>
        <w:t>202</w:t>
      </w:r>
      <w:r w:rsidR="00DB7157">
        <w:rPr>
          <w:rFonts w:ascii="Arial" w:hAnsi="Arial" w:cs="Arial"/>
          <w:bCs w:val="0"/>
          <w:color w:val="AB0634"/>
          <w:sz w:val="22"/>
          <w:szCs w:val="22"/>
          <w:lang w:val="pt-BR"/>
        </w:rPr>
        <w:t>5</w:t>
      </w:r>
    </w:p>
    <w:p w14:paraId="52376A33" w14:textId="1680D1A1" w:rsidR="00C03B3A" w:rsidRDefault="00DB7157" w:rsidP="00D4792D">
      <w:pPr>
        <w:pStyle w:val="Ttulo3"/>
        <w:spacing w:after="0"/>
        <w:jc w:val="center"/>
        <w:rPr>
          <w:rFonts w:ascii="Arial" w:hAnsi="Arial" w:cs="Arial"/>
          <w:bCs w:val="0"/>
          <w:color w:val="AB0634"/>
          <w:sz w:val="22"/>
          <w:szCs w:val="22"/>
          <w:lang w:val="pt-BR"/>
        </w:rPr>
      </w:pPr>
      <w:r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 </w:t>
      </w:r>
      <w:r w:rsidR="004F6591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Revisão de Pronunciamentos Técnicos </w:t>
      </w:r>
      <w:r w:rsidR="000737F9">
        <w:rPr>
          <w:rFonts w:ascii="Arial" w:hAnsi="Arial" w:cs="Arial"/>
          <w:bCs w:val="0"/>
          <w:color w:val="AB0634"/>
          <w:sz w:val="22"/>
          <w:szCs w:val="22"/>
          <w:lang w:val="pt-BR"/>
        </w:rPr>
        <w:t>n</w:t>
      </w:r>
      <w:r w:rsidR="004F6591">
        <w:rPr>
          <w:rFonts w:ascii="Arial" w:hAnsi="Arial" w:cs="Arial"/>
          <w:bCs w:val="0"/>
          <w:color w:val="AB0634"/>
          <w:sz w:val="22"/>
          <w:szCs w:val="22"/>
          <w:lang w:val="pt-BR"/>
        </w:rPr>
        <w:t>º 28</w:t>
      </w:r>
      <w:r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 </w:t>
      </w:r>
      <w:r w:rsidR="00D30484" w:rsidRPr="00D30484">
        <w:rPr>
          <w:rFonts w:ascii="Arial" w:hAnsi="Arial" w:cs="Arial"/>
          <w:bCs w:val="0"/>
          <w:color w:val="AB0634"/>
          <w:sz w:val="22"/>
          <w:szCs w:val="22"/>
          <w:lang w:val="pt-BR"/>
        </w:rPr>
        <w:t>–</w:t>
      </w:r>
      <w:r w:rsidRPr="00D30484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 </w:t>
      </w:r>
      <w:bookmarkStart w:id="0" w:name="_Hlk205192744"/>
      <w:r w:rsidR="00D30484" w:rsidRPr="00D30484">
        <w:rPr>
          <w:rFonts w:ascii="Arial" w:hAnsi="Arial" w:cs="Arial"/>
          <w:bCs w:val="0"/>
          <w:color w:val="AB0634"/>
          <w:sz w:val="22"/>
          <w:szCs w:val="22"/>
          <w:lang w:val="pt-BR"/>
        </w:rPr>
        <w:t>Alterações decorrentes d</w:t>
      </w:r>
      <w:r w:rsidR="000737F9">
        <w:rPr>
          <w:rFonts w:ascii="Arial" w:hAnsi="Arial" w:cs="Arial"/>
          <w:bCs w:val="0"/>
          <w:color w:val="AB0634"/>
          <w:sz w:val="22"/>
          <w:szCs w:val="22"/>
          <w:lang w:val="pt-BR"/>
        </w:rPr>
        <w:t>o Pronunciamento Técnico CPC 51 (IFRS 18)</w:t>
      </w:r>
      <w:r w:rsidR="00A32DB8" w:rsidRPr="00D01984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 </w:t>
      </w:r>
      <w:bookmarkEnd w:id="0"/>
    </w:p>
    <w:p w14:paraId="73E434BD" w14:textId="0A7C7B00" w:rsidR="004A2EE1" w:rsidRPr="004A2EE1" w:rsidRDefault="004A2EE1" w:rsidP="004A2EE1">
      <w:pPr>
        <w:jc w:val="both"/>
        <w:rPr>
          <w:rFonts w:ascii="Arial" w:eastAsia="Calibri" w:hAnsi="Arial" w:cs="Arial"/>
        </w:rPr>
      </w:pPr>
      <w:r w:rsidRPr="004A2EE1">
        <w:rPr>
          <w:rFonts w:ascii="Arial" w:eastAsia="Calibri" w:hAnsi="Arial" w:cs="Arial"/>
        </w:rPr>
        <w:t xml:space="preserve">O Comitê de Pronunciamentos Contábeis (CPC), o Conselho Federal de Contabilidade (CFC) e a Comissão de Valores Mobiliários (CVM) oferecem à </w:t>
      </w:r>
      <w:r w:rsidR="00C7387F">
        <w:rPr>
          <w:rFonts w:ascii="Arial" w:eastAsia="Calibri" w:hAnsi="Arial" w:cs="Arial"/>
        </w:rPr>
        <w:t>Audiência</w:t>
      </w:r>
      <w:r w:rsidRPr="004A2EE1">
        <w:rPr>
          <w:rFonts w:ascii="Arial" w:eastAsia="Calibri" w:hAnsi="Arial" w:cs="Arial"/>
        </w:rPr>
        <w:t xml:space="preserve"> Pública Conjunta a presente Minuta de </w:t>
      </w:r>
      <w:r w:rsidR="004F6591">
        <w:rPr>
          <w:rFonts w:ascii="Arial" w:eastAsia="Calibri" w:hAnsi="Arial" w:cs="Arial"/>
        </w:rPr>
        <w:t>Revisão de Pronunciamentos</w:t>
      </w:r>
      <w:r w:rsidR="004F6591" w:rsidRPr="00DB7157">
        <w:rPr>
          <w:rFonts w:ascii="Arial" w:eastAsia="Calibri" w:hAnsi="Arial" w:cs="Arial"/>
        </w:rPr>
        <w:t xml:space="preserve"> </w:t>
      </w:r>
      <w:r w:rsidR="00BB33C7" w:rsidRPr="00DB7157">
        <w:rPr>
          <w:rFonts w:ascii="Arial" w:eastAsia="Calibri" w:hAnsi="Arial" w:cs="Arial"/>
        </w:rPr>
        <w:t>Técnico</w:t>
      </w:r>
      <w:r w:rsidR="004F6591">
        <w:rPr>
          <w:rFonts w:ascii="Arial" w:eastAsia="Calibri" w:hAnsi="Arial" w:cs="Arial"/>
        </w:rPr>
        <w:t>s</w:t>
      </w:r>
      <w:r w:rsidR="00BB33C7" w:rsidRPr="00DB7157">
        <w:rPr>
          <w:rFonts w:ascii="Arial" w:eastAsia="Calibri" w:hAnsi="Arial" w:cs="Arial"/>
        </w:rPr>
        <w:t xml:space="preserve"> </w:t>
      </w:r>
      <w:r w:rsidR="004F6591">
        <w:rPr>
          <w:rFonts w:ascii="Arial" w:eastAsia="Calibri" w:hAnsi="Arial" w:cs="Arial"/>
        </w:rPr>
        <w:t>nº 28</w:t>
      </w:r>
      <w:r w:rsidRPr="004A2EE1">
        <w:rPr>
          <w:rFonts w:ascii="Arial" w:eastAsia="Calibri" w:hAnsi="Arial" w:cs="Arial"/>
        </w:rPr>
        <w:t>.</w:t>
      </w:r>
    </w:p>
    <w:p w14:paraId="4D7E9AFB" w14:textId="57FA06AE" w:rsidR="00D30484" w:rsidRPr="006F2D8C" w:rsidRDefault="00D30484" w:rsidP="00D30484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 xml:space="preserve">Este </w:t>
      </w:r>
      <w:r>
        <w:rPr>
          <w:rFonts w:ascii="Arial" w:eastAsia="Calibri" w:hAnsi="Arial" w:cs="Arial"/>
        </w:rPr>
        <w:t>Revisão</w:t>
      </w:r>
      <w:r w:rsidRPr="006F2D8C">
        <w:rPr>
          <w:rFonts w:ascii="Arial" w:eastAsia="Calibri" w:hAnsi="Arial" w:cs="Arial"/>
        </w:rPr>
        <w:t xml:space="preserve"> está alinhad</w:t>
      </w:r>
      <w:r>
        <w:rPr>
          <w:rFonts w:ascii="Arial" w:eastAsia="Calibri" w:hAnsi="Arial" w:cs="Arial"/>
        </w:rPr>
        <w:t xml:space="preserve">a ao Anexo D da </w:t>
      </w:r>
      <w:r w:rsidRPr="006F2D8C">
        <w:rPr>
          <w:rFonts w:ascii="Arial" w:eastAsia="Calibri" w:hAnsi="Arial" w:cs="Arial"/>
        </w:rPr>
        <w:t xml:space="preserve">IFRS 18 </w:t>
      </w:r>
      <w:r w:rsidRPr="006F2D8C">
        <w:rPr>
          <w:rFonts w:ascii="Arial" w:eastAsia="Calibri" w:hAnsi="Arial" w:cs="Arial"/>
          <w:i/>
          <w:iCs/>
        </w:rPr>
        <w:t xml:space="preserve">– </w:t>
      </w:r>
      <w:proofErr w:type="spellStart"/>
      <w:r w:rsidRPr="006F2D8C">
        <w:rPr>
          <w:rFonts w:ascii="Arial" w:eastAsia="Calibri" w:hAnsi="Arial" w:cs="Arial"/>
          <w:i/>
          <w:iCs/>
        </w:rPr>
        <w:t>Presentation</w:t>
      </w:r>
      <w:proofErr w:type="spellEnd"/>
      <w:r w:rsidRPr="006F2D8C">
        <w:rPr>
          <w:rFonts w:ascii="Arial" w:eastAsia="Calibri" w:hAnsi="Arial" w:cs="Arial"/>
          <w:i/>
          <w:iCs/>
        </w:rPr>
        <w:t xml:space="preserve"> </w:t>
      </w:r>
      <w:proofErr w:type="spellStart"/>
      <w:r w:rsidRPr="006F2D8C">
        <w:rPr>
          <w:rFonts w:ascii="Arial" w:eastAsia="Calibri" w:hAnsi="Arial" w:cs="Arial"/>
          <w:i/>
          <w:iCs/>
        </w:rPr>
        <w:t>and</w:t>
      </w:r>
      <w:proofErr w:type="spellEnd"/>
      <w:r w:rsidRPr="006F2D8C">
        <w:rPr>
          <w:rFonts w:ascii="Arial" w:eastAsia="Calibri" w:hAnsi="Arial" w:cs="Arial"/>
          <w:i/>
          <w:iCs/>
        </w:rPr>
        <w:t xml:space="preserve"> </w:t>
      </w:r>
      <w:proofErr w:type="spellStart"/>
      <w:r w:rsidRPr="006F2D8C">
        <w:rPr>
          <w:rFonts w:ascii="Arial" w:eastAsia="Calibri" w:hAnsi="Arial" w:cs="Arial"/>
          <w:i/>
          <w:iCs/>
        </w:rPr>
        <w:t>Disclosure</w:t>
      </w:r>
      <w:proofErr w:type="spellEnd"/>
      <w:r w:rsidRPr="006F2D8C">
        <w:rPr>
          <w:rFonts w:ascii="Arial" w:eastAsia="Calibri" w:hAnsi="Arial" w:cs="Arial"/>
          <w:i/>
          <w:iCs/>
        </w:rPr>
        <w:t xml:space="preserve"> in Financial </w:t>
      </w:r>
      <w:proofErr w:type="spellStart"/>
      <w:r w:rsidRPr="006F2D8C">
        <w:rPr>
          <w:rFonts w:ascii="Arial" w:eastAsia="Calibri" w:hAnsi="Arial" w:cs="Arial"/>
          <w:i/>
          <w:iCs/>
        </w:rPr>
        <w:t>Statements</w:t>
      </w:r>
      <w:proofErr w:type="spellEnd"/>
      <w:r w:rsidRPr="006F2D8C">
        <w:rPr>
          <w:rFonts w:ascii="Arial" w:eastAsia="Calibri" w:hAnsi="Arial" w:cs="Arial"/>
          <w:i/>
          <w:iCs/>
        </w:rPr>
        <w:t xml:space="preserve"> </w:t>
      </w:r>
      <w:r w:rsidRPr="006F2D8C">
        <w:rPr>
          <w:rFonts w:ascii="Arial" w:eastAsia="Calibri" w:hAnsi="Arial" w:cs="Arial"/>
        </w:rPr>
        <w:t xml:space="preserve">e </w:t>
      </w:r>
      <w:r>
        <w:rPr>
          <w:rFonts w:ascii="Arial" w:eastAsia="Calibri" w:hAnsi="Arial" w:cs="Arial"/>
        </w:rPr>
        <w:t>atualiza refer</w:t>
      </w:r>
      <w:r w:rsidR="001A2E74">
        <w:rPr>
          <w:rFonts w:ascii="Arial" w:eastAsia="Calibri" w:hAnsi="Arial" w:cs="Arial"/>
        </w:rPr>
        <w:t>ê</w:t>
      </w:r>
      <w:r>
        <w:rPr>
          <w:rFonts w:ascii="Arial" w:eastAsia="Calibri" w:hAnsi="Arial" w:cs="Arial"/>
        </w:rPr>
        <w:t xml:space="preserve">ncias em outros documentos ao CPC 26 </w:t>
      </w:r>
      <w:r w:rsidR="00D01984">
        <w:rPr>
          <w:rFonts w:ascii="Arial" w:eastAsia="Calibri" w:hAnsi="Arial" w:cs="Arial"/>
        </w:rPr>
        <w:t xml:space="preserve">- </w:t>
      </w:r>
      <w:r w:rsidR="00D01984" w:rsidRPr="00D01984">
        <w:rPr>
          <w:rFonts w:ascii="Arial" w:eastAsia="Calibri" w:hAnsi="Arial" w:cs="Arial"/>
        </w:rPr>
        <w:t>Apresentação das Demonstrações Contábeis</w:t>
      </w:r>
      <w:r w:rsidR="004160AE">
        <w:rPr>
          <w:rFonts w:ascii="Arial" w:eastAsia="Calibri" w:hAnsi="Arial" w:cs="Arial"/>
        </w:rPr>
        <w:t>,</w:t>
      </w:r>
      <w:r w:rsidR="00D0198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que será revogado. </w:t>
      </w:r>
    </w:p>
    <w:p w14:paraId="76B2BC34" w14:textId="39056C73" w:rsidR="00D30484" w:rsidRDefault="00D30484" w:rsidP="004A2EE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D30484">
        <w:rPr>
          <w:rFonts w:ascii="Arial" w:eastAsia="Calibri" w:hAnsi="Arial" w:cs="Arial"/>
        </w:rPr>
        <w:t>emais documentos do CPC</w:t>
      </w:r>
      <w:r>
        <w:rPr>
          <w:rFonts w:ascii="Arial" w:eastAsia="Calibri" w:hAnsi="Arial" w:cs="Arial"/>
        </w:rPr>
        <w:t xml:space="preserve"> (</w:t>
      </w:r>
      <w:proofErr w:type="spellStart"/>
      <w:r w:rsidRPr="00D30484">
        <w:rPr>
          <w:rFonts w:ascii="Arial" w:eastAsia="Calibri" w:hAnsi="Arial" w:cs="Arial"/>
        </w:rPr>
        <w:t>CPCs</w:t>
      </w:r>
      <w:proofErr w:type="spellEnd"/>
      <w:r w:rsidRPr="00D30484">
        <w:rPr>
          <w:rFonts w:ascii="Arial" w:eastAsia="Calibri" w:hAnsi="Arial" w:cs="Arial"/>
        </w:rPr>
        <w:t xml:space="preserve">, </w:t>
      </w:r>
      <w:proofErr w:type="spellStart"/>
      <w:r w:rsidRPr="00D30484">
        <w:rPr>
          <w:rFonts w:ascii="Arial" w:eastAsia="Calibri" w:hAnsi="Arial" w:cs="Arial"/>
        </w:rPr>
        <w:t>ICPCs</w:t>
      </w:r>
      <w:proofErr w:type="spellEnd"/>
      <w:r w:rsidRPr="00D30484">
        <w:rPr>
          <w:rFonts w:ascii="Arial" w:eastAsia="Calibri" w:hAnsi="Arial" w:cs="Arial"/>
        </w:rPr>
        <w:t xml:space="preserve"> e </w:t>
      </w:r>
      <w:proofErr w:type="spellStart"/>
      <w:r w:rsidRPr="00D30484">
        <w:rPr>
          <w:rFonts w:ascii="Arial" w:eastAsia="Calibri" w:hAnsi="Arial" w:cs="Arial"/>
        </w:rPr>
        <w:t>OCPCs</w:t>
      </w:r>
      <w:proofErr w:type="spellEnd"/>
      <w:r>
        <w:rPr>
          <w:rFonts w:ascii="Arial" w:eastAsia="Calibri" w:hAnsi="Arial" w:cs="Arial"/>
        </w:rPr>
        <w:t>)</w:t>
      </w:r>
      <w:r w:rsidRPr="00D30484">
        <w:rPr>
          <w:rFonts w:ascii="Arial" w:eastAsia="Calibri" w:hAnsi="Arial" w:cs="Arial"/>
        </w:rPr>
        <w:t xml:space="preserve"> que não tenham correspondente direto nas normas internacionais</w:t>
      </w:r>
      <w:r>
        <w:rPr>
          <w:rFonts w:ascii="Arial" w:eastAsia="Calibri" w:hAnsi="Arial" w:cs="Arial"/>
        </w:rPr>
        <w:t xml:space="preserve"> passarão por revisão</w:t>
      </w:r>
      <w:r w:rsidR="00B67BCF">
        <w:rPr>
          <w:rFonts w:ascii="Arial" w:eastAsia="Calibri" w:hAnsi="Arial" w:cs="Arial"/>
        </w:rPr>
        <w:t xml:space="preserve"> para atualizações necessárias.</w:t>
      </w:r>
    </w:p>
    <w:p w14:paraId="7603B25F" w14:textId="07E71C80" w:rsidR="004A2EE1" w:rsidRPr="004A2EE1" w:rsidRDefault="004A2EE1" w:rsidP="004A2EE1">
      <w:pPr>
        <w:jc w:val="both"/>
        <w:rPr>
          <w:rFonts w:ascii="Arial" w:eastAsia="Calibri" w:hAnsi="Arial" w:cs="Arial"/>
        </w:rPr>
      </w:pPr>
      <w:r w:rsidRPr="004A2EE1">
        <w:rPr>
          <w:rFonts w:ascii="Arial" w:eastAsia="Calibri" w:hAnsi="Arial" w:cs="Arial"/>
        </w:rPr>
        <w:t xml:space="preserve">O prazo da presente </w:t>
      </w:r>
      <w:r w:rsidR="00C7387F">
        <w:rPr>
          <w:rFonts w:ascii="Arial" w:eastAsia="Calibri" w:hAnsi="Arial" w:cs="Arial"/>
        </w:rPr>
        <w:t>Audiência</w:t>
      </w:r>
      <w:r w:rsidRPr="004A2EE1">
        <w:rPr>
          <w:rFonts w:ascii="Arial" w:eastAsia="Calibri" w:hAnsi="Arial" w:cs="Arial"/>
        </w:rPr>
        <w:t xml:space="preserve"> é de </w:t>
      </w:r>
      <w:r w:rsidR="004F6591">
        <w:rPr>
          <w:rFonts w:ascii="Arial" w:eastAsia="Calibri" w:hAnsi="Arial" w:cs="Arial"/>
        </w:rPr>
        <w:t>3</w:t>
      </w:r>
      <w:r w:rsidR="004452D5">
        <w:rPr>
          <w:rFonts w:ascii="Arial" w:eastAsia="Calibri" w:hAnsi="Arial" w:cs="Arial"/>
        </w:rPr>
        <w:t>1</w:t>
      </w:r>
      <w:r w:rsidRPr="004A2EE1">
        <w:rPr>
          <w:rFonts w:ascii="Arial" w:eastAsia="Calibri" w:hAnsi="Arial" w:cs="Arial"/>
        </w:rPr>
        <w:t xml:space="preserve"> dias.</w:t>
      </w:r>
    </w:p>
    <w:p w14:paraId="06DECCB8" w14:textId="308756DA" w:rsidR="004A2EE1" w:rsidRPr="004A2EE1" w:rsidRDefault="004A2EE1" w:rsidP="000737F9">
      <w:pPr>
        <w:jc w:val="both"/>
        <w:rPr>
          <w:rFonts w:ascii="Arial" w:eastAsia="Calibri" w:hAnsi="Arial" w:cs="Arial"/>
        </w:rPr>
      </w:pPr>
      <w:r w:rsidRPr="004A2EE1">
        <w:rPr>
          <w:rFonts w:ascii="Arial" w:eastAsia="Calibri" w:hAnsi="Arial" w:cs="Arial"/>
        </w:rPr>
        <w:t xml:space="preserve">Feitas essas considerações, estamos divulgando a minuta </w:t>
      </w:r>
      <w:r w:rsidR="00D704CC">
        <w:rPr>
          <w:rFonts w:ascii="Arial" w:eastAsia="Calibri" w:hAnsi="Arial" w:cs="Arial"/>
        </w:rPr>
        <w:t>d</w:t>
      </w:r>
      <w:r w:rsidR="004F6591">
        <w:rPr>
          <w:rFonts w:ascii="Arial" w:eastAsia="Calibri" w:hAnsi="Arial" w:cs="Arial"/>
        </w:rPr>
        <w:t>e</w:t>
      </w:r>
      <w:r w:rsidR="00D704CC">
        <w:rPr>
          <w:rFonts w:ascii="Arial" w:eastAsia="Calibri" w:hAnsi="Arial" w:cs="Arial"/>
        </w:rPr>
        <w:t xml:space="preserve"> </w:t>
      </w:r>
      <w:r w:rsidR="004F6591">
        <w:rPr>
          <w:rFonts w:ascii="Arial" w:eastAsia="Calibri" w:hAnsi="Arial" w:cs="Arial"/>
        </w:rPr>
        <w:t xml:space="preserve">Revisão de </w:t>
      </w:r>
      <w:r w:rsidR="00DB7157" w:rsidRPr="00DB7157">
        <w:rPr>
          <w:rFonts w:ascii="Arial" w:eastAsia="Calibri" w:hAnsi="Arial" w:cs="Arial"/>
        </w:rPr>
        <w:t>Pronunciamento</w:t>
      </w:r>
      <w:r w:rsidR="004F6591">
        <w:rPr>
          <w:rFonts w:ascii="Arial" w:eastAsia="Calibri" w:hAnsi="Arial" w:cs="Arial"/>
        </w:rPr>
        <w:t>s</w:t>
      </w:r>
      <w:r w:rsidR="00DB7157" w:rsidRPr="00DB7157">
        <w:rPr>
          <w:rFonts w:ascii="Arial" w:eastAsia="Calibri" w:hAnsi="Arial" w:cs="Arial"/>
        </w:rPr>
        <w:t xml:space="preserve"> Técnico</w:t>
      </w:r>
      <w:r w:rsidR="004F6591">
        <w:rPr>
          <w:rFonts w:ascii="Arial" w:eastAsia="Calibri" w:hAnsi="Arial" w:cs="Arial"/>
        </w:rPr>
        <w:t>s nº 28</w:t>
      </w:r>
      <w:r w:rsidR="00DB7157" w:rsidRPr="00D01984">
        <w:rPr>
          <w:rFonts w:ascii="Arial" w:eastAsia="Calibri" w:hAnsi="Arial" w:cs="Arial"/>
        </w:rPr>
        <w:t xml:space="preserve"> </w:t>
      </w:r>
      <w:r w:rsidR="00D30484" w:rsidRPr="00D01984">
        <w:rPr>
          <w:rFonts w:ascii="Arial" w:eastAsia="Calibri" w:hAnsi="Arial" w:cs="Arial"/>
        </w:rPr>
        <w:t xml:space="preserve">- </w:t>
      </w:r>
      <w:r w:rsidR="00D30484" w:rsidRPr="00D01984">
        <w:rPr>
          <w:rFonts w:ascii="Arial" w:hAnsi="Arial" w:cs="Arial"/>
          <w:bCs/>
        </w:rPr>
        <w:t xml:space="preserve">Alterações decorrentes da </w:t>
      </w:r>
      <w:r w:rsidR="00D30484" w:rsidRPr="00D01984">
        <w:rPr>
          <w:rFonts w:ascii="Arial" w:hAnsi="Arial" w:cs="Arial"/>
        </w:rPr>
        <w:t>IFRS 18/CPC 51</w:t>
      </w:r>
      <w:r w:rsidRPr="004A2EE1">
        <w:rPr>
          <w:rFonts w:ascii="Arial" w:eastAsia="Calibri" w:hAnsi="Arial" w:cs="Arial"/>
        </w:rPr>
        <w:t xml:space="preserve">, solicitando que as sugestões e comentários relativos a essa minuta sejam enviados até o dia </w:t>
      </w:r>
      <w:r w:rsidR="000737F9">
        <w:rPr>
          <w:rFonts w:ascii="Arial" w:eastAsia="Calibri" w:hAnsi="Arial" w:cs="Arial"/>
          <w:b/>
        </w:rPr>
        <w:t>29</w:t>
      </w:r>
      <w:r w:rsidR="000737F9" w:rsidRPr="004A2EE1">
        <w:rPr>
          <w:rFonts w:ascii="Arial" w:eastAsia="Calibri" w:hAnsi="Arial" w:cs="Arial"/>
          <w:b/>
          <w:bCs/>
        </w:rPr>
        <w:t xml:space="preserve"> </w:t>
      </w:r>
      <w:r w:rsidRPr="004A2EE1">
        <w:rPr>
          <w:rFonts w:ascii="Arial" w:eastAsia="Calibri" w:hAnsi="Arial" w:cs="Arial"/>
          <w:b/>
          <w:bCs/>
        </w:rPr>
        <w:t xml:space="preserve">de </w:t>
      </w:r>
      <w:r w:rsidR="000737F9">
        <w:rPr>
          <w:rFonts w:ascii="Arial" w:eastAsia="Calibri" w:hAnsi="Arial" w:cs="Arial"/>
          <w:b/>
          <w:bCs/>
        </w:rPr>
        <w:t>setembro</w:t>
      </w:r>
      <w:r w:rsidR="000737F9" w:rsidRPr="004A2EE1">
        <w:rPr>
          <w:rFonts w:ascii="Arial" w:eastAsia="Calibri" w:hAnsi="Arial" w:cs="Arial"/>
          <w:b/>
          <w:bCs/>
        </w:rPr>
        <w:t xml:space="preserve"> </w:t>
      </w:r>
      <w:r w:rsidRPr="004A2EE1">
        <w:rPr>
          <w:rFonts w:ascii="Arial" w:eastAsia="Calibri" w:hAnsi="Arial" w:cs="Arial"/>
          <w:b/>
          <w:bCs/>
        </w:rPr>
        <w:t>de 202</w:t>
      </w:r>
      <w:r w:rsidR="00DB7157">
        <w:rPr>
          <w:rFonts w:ascii="Arial" w:eastAsia="Calibri" w:hAnsi="Arial" w:cs="Arial"/>
          <w:b/>
          <w:bCs/>
        </w:rPr>
        <w:t>5</w:t>
      </w:r>
      <w:r w:rsidRPr="004A2EE1">
        <w:rPr>
          <w:rFonts w:ascii="Arial" w:eastAsia="Calibri" w:hAnsi="Arial" w:cs="Arial"/>
        </w:rPr>
        <w:t xml:space="preserve"> ao Comitê de Pronunciamentos Contábeis (CPC), por meio do endereço eletrônico </w:t>
      </w:r>
      <w:hyperlink r:id="rId8" w:history="1">
        <w:r w:rsidRPr="004A2EE1">
          <w:rPr>
            <w:rFonts w:ascii="Arial" w:eastAsia="Calibri" w:hAnsi="Arial" w:cs="Arial"/>
            <w:color w:val="0000FF"/>
            <w:u w:val="single"/>
          </w:rPr>
          <w:t>cpc@cpc.org.br</w:t>
        </w:r>
      </w:hyperlink>
      <w:r w:rsidRPr="004A2EE1">
        <w:rPr>
          <w:rFonts w:ascii="Arial" w:eastAsia="Calibri" w:hAnsi="Arial" w:cs="Arial"/>
        </w:rPr>
        <w:t>, à Superintendência de Normas Contábeis e de Auditoria da Comissão de Valores Mobiliários, preferencialmente pelo endereço eletrônico:</w:t>
      </w:r>
      <w:r w:rsidR="000737F9" w:rsidRPr="000737F9">
        <w:rPr>
          <w:rFonts w:ascii="Arial" w:eastAsia="Calibri" w:hAnsi="Arial" w:cs="Arial"/>
          <w:color w:val="0000FF"/>
          <w:u w:val="single"/>
        </w:rPr>
        <w:t xml:space="preserve"> conspublicasnc0225@cvm.gov.br </w:t>
      </w:r>
      <w:r w:rsidRPr="004A2EE1">
        <w:rPr>
          <w:rFonts w:ascii="Arial" w:eastAsia="Calibri" w:hAnsi="Arial" w:cs="Arial"/>
        </w:rPr>
        <w:t xml:space="preserve">ou para a Rua Sete de Setembro, 111/27º andar – Centro – Rio de Janeiro – CEP 20050-901 e ao Conselho Federal de Contabilidade (CFC), por meio do endereço eletrônico </w:t>
      </w:r>
      <w:hyperlink r:id="rId9" w:history="1">
        <w:r w:rsidRPr="004A2EE1">
          <w:rPr>
            <w:rFonts w:ascii="Arial" w:eastAsia="Calibri" w:hAnsi="Arial" w:cs="Arial"/>
            <w:color w:val="0000FF"/>
            <w:u w:val="single"/>
          </w:rPr>
          <w:t>ap.nbc@cfc.org.br</w:t>
        </w:r>
      </w:hyperlink>
      <w:r w:rsidRPr="004A2EE1">
        <w:rPr>
          <w:rFonts w:ascii="Arial" w:eastAsia="Calibri" w:hAnsi="Arial" w:cs="Arial"/>
        </w:rPr>
        <w:t xml:space="preserve"> ou para SAS, Quadra 5, Bloco J, edifício CFC, 10º andar - Brasília-DF - CEP 70070-920. </w:t>
      </w:r>
    </w:p>
    <w:p w14:paraId="42292E54" w14:textId="77777777" w:rsidR="00A32DB8" w:rsidRPr="00A32DB8" w:rsidRDefault="00A32DB8" w:rsidP="00A32DB8">
      <w:pPr>
        <w:jc w:val="both"/>
        <w:rPr>
          <w:rFonts w:ascii="Arial" w:eastAsia="Calibri" w:hAnsi="Arial" w:cs="Arial"/>
        </w:rPr>
      </w:pPr>
      <w:r w:rsidRPr="00A32DB8">
        <w:rPr>
          <w:rFonts w:ascii="Arial" w:eastAsia="Calibri" w:hAnsi="Arial" w:cs="Arial"/>
        </w:rPr>
        <w:t>As sugestões e comentários serão considerados públicos.</w:t>
      </w:r>
    </w:p>
    <w:p w14:paraId="07444580" w14:textId="5D6039BB" w:rsidR="004A2EE1" w:rsidRPr="004A2EE1" w:rsidRDefault="004A2EE1" w:rsidP="004A2EE1">
      <w:pPr>
        <w:jc w:val="both"/>
        <w:rPr>
          <w:rFonts w:ascii="Arial" w:eastAsia="Calibri" w:hAnsi="Arial" w:cs="Arial"/>
        </w:rPr>
      </w:pPr>
      <w:r w:rsidRPr="004A2EE1">
        <w:rPr>
          <w:rFonts w:ascii="Arial" w:eastAsia="Calibri" w:hAnsi="Arial" w:cs="Arial"/>
        </w:rPr>
        <w:t>A minuta está disponível para os interessados na página do CPC (</w:t>
      </w:r>
      <w:hyperlink r:id="rId10">
        <w:r w:rsidRPr="004A2EE1">
          <w:rPr>
            <w:rFonts w:ascii="Arial" w:eastAsia="Calibri" w:hAnsi="Arial" w:cs="Arial"/>
            <w:color w:val="0000FF"/>
            <w:u w:val="single"/>
          </w:rPr>
          <w:t>http://www.cpc.org.br</w:t>
        </w:r>
      </w:hyperlink>
      <w:r w:rsidRPr="004A2EE1">
        <w:rPr>
          <w:rFonts w:ascii="Arial" w:eastAsia="Calibri" w:hAnsi="Arial" w:cs="Arial"/>
        </w:rPr>
        <w:t>), na do CFC (</w:t>
      </w:r>
      <w:hyperlink r:id="rId11">
        <w:r w:rsidRPr="004A2EE1">
          <w:rPr>
            <w:rFonts w:ascii="Arial" w:eastAsia="Calibri" w:hAnsi="Arial" w:cs="Arial"/>
            <w:color w:val="0000FF"/>
            <w:u w:val="single"/>
          </w:rPr>
          <w:t>http://www.cfc.org.br</w:t>
        </w:r>
      </w:hyperlink>
      <w:r w:rsidRPr="004A2EE1">
        <w:rPr>
          <w:rFonts w:ascii="Arial" w:eastAsia="Calibri" w:hAnsi="Arial" w:cs="Arial"/>
        </w:rPr>
        <w:t>) e na da CVM (</w:t>
      </w:r>
      <w:hyperlink r:id="rId12" w:history="1">
        <w:r w:rsidR="00A32DB8" w:rsidRPr="00A32DB8">
          <w:rPr>
            <w:rStyle w:val="Hyperlink"/>
            <w:rFonts w:ascii="Arial" w:eastAsia="Calibri" w:hAnsi="Arial" w:cs="Arial"/>
          </w:rPr>
          <w:t>http://www.cvm.gov.br</w:t>
        </w:r>
      </w:hyperlink>
      <w:r w:rsidRPr="004A2EE1">
        <w:rPr>
          <w:rFonts w:ascii="Arial" w:eastAsia="Calibri" w:hAnsi="Arial" w:cs="Arial"/>
        </w:rPr>
        <w:t xml:space="preserve">) na rede mundial de computadores. </w:t>
      </w:r>
    </w:p>
    <w:p w14:paraId="37887C52" w14:textId="77777777" w:rsidR="00B26D3A" w:rsidRPr="004A2EE1" w:rsidRDefault="00B26D3A" w:rsidP="00E33A1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6C6516A2" w14:textId="06A30877" w:rsidR="006775D1" w:rsidRPr="004A2EE1" w:rsidRDefault="006775D1" w:rsidP="00E33A1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4A2EE1">
        <w:rPr>
          <w:rFonts w:ascii="Arial" w:eastAsia="Times New Roman" w:hAnsi="Arial" w:cs="Arial"/>
          <w:b/>
          <w:color w:val="000000"/>
        </w:rPr>
        <w:t>Comitê de Pronunciamentos Contábeis (CPC)</w:t>
      </w:r>
    </w:p>
    <w:sectPr w:rsidR="006775D1" w:rsidRPr="004A2EE1" w:rsidSect="002E6906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CA2DF" w14:textId="77777777" w:rsidR="00091863" w:rsidRDefault="00091863" w:rsidP="00914AC2">
      <w:pPr>
        <w:spacing w:after="0" w:line="240" w:lineRule="auto"/>
      </w:pPr>
      <w:r>
        <w:separator/>
      </w:r>
    </w:p>
  </w:endnote>
  <w:endnote w:type="continuationSeparator" w:id="0">
    <w:p w14:paraId="009465FA" w14:textId="77777777" w:rsidR="00091863" w:rsidRDefault="00091863" w:rsidP="0091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C05FD" w14:textId="77777777" w:rsidR="00091863" w:rsidRDefault="00091863" w:rsidP="00914AC2">
      <w:pPr>
        <w:spacing w:after="0" w:line="240" w:lineRule="auto"/>
      </w:pPr>
      <w:r>
        <w:separator/>
      </w:r>
    </w:p>
  </w:footnote>
  <w:footnote w:type="continuationSeparator" w:id="0">
    <w:p w14:paraId="10E0DD09" w14:textId="77777777" w:rsidR="00091863" w:rsidRDefault="00091863" w:rsidP="0091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59363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C2D9AB" w14:textId="5AA4ED43" w:rsidR="00E33A14" w:rsidRDefault="00B03333">
        <w:pPr>
          <w:pStyle w:val="Cabealho"/>
          <w:jc w:val="right"/>
        </w:pPr>
        <w:r>
          <w:rPr>
            <w:noProof/>
          </w:rPr>
          <w:fldChar w:fldCharType="begin"/>
        </w:r>
        <w:r w:rsidR="00E33A1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26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2540F3" w14:textId="77777777" w:rsidR="00E33A14" w:rsidRDefault="00E33A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0D8"/>
    <w:multiLevelType w:val="hybridMultilevel"/>
    <w:tmpl w:val="07665432"/>
    <w:lvl w:ilvl="0" w:tplc="84A06C7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B3D"/>
    <w:multiLevelType w:val="multilevel"/>
    <w:tmpl w:val="383C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86416"/>
    <w:multiLevelType w:val="hybridMultilevel"/>
    <w:tmpl w:val="EF92725A"/>
    <w:lvl w:ilvl="0" w:tplc="52C24B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/>
        <w:i w:val="0"/>
        <w:color w:val="auto"/>
        <w:sz w:val="24"/>
        <w:szCs w:val="24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2" w:tplc="4DB2FFEE">
      <w:start w:val="15"/>
      <w:numFmt w:val="bullet"/>
      <w:lvlText w:val="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  <w:color w:val="auto"/>
        <w:sz w:val="28"/>
      </w:rPr>
    </w:lvl>
    <w:lvl w:ilvl="3" w:tplc="C9D23264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hint="default"/>
      </w:rPr>
    </w:lvl>
    <w:lvl w:ilvl="4" w:tplc="071E4482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583726"/>
    <w:multiLevelType w:val="hybridMultilevel"/>
    <w:tmpl w:val="4F726062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133B52"/>
    <w:multiLevelType w:val="hybridMultilevel"/>
    <w:tmpl w:val="07665432"/>
    <w:lvl w:ilvl="0" w:tplc="84A06C7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C6F"/>
    <w:multiLevelType w:val="hybridMultilevel"/>
    <w:tmpl w:val="A1BE9D48"/>
    <w:lvl w:ilvl="0" w:tplc="862E2C22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1451C"/>
    <w:multiLevelType w:val="hybridMultilevel"/>
    <w:tmpl w:val="A1BE9D48"/>
    <w:lvl w:ilvl="0" w:tplc="862E2C22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15A07"/>
    <w:multiLevelType w:val="hybridMultilevel"/>
    <w:tmpl w:val="3DFC57DE"/>
    <w:lvl w:ilvl="0" w:tplc="5D52B034">
      <w:start w:val="4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ED772AE"/>
    <w:multiLevelType w:val="hybridMultilevel"/>
    <w:tmpl w:val="A1BE9D48"/>
    <w:lvl w:ilvl="0" w:tplc="862E2C22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D009B"/>
    <w:multiLevelType w:val="hybridMultilevel"/>
    <w:tmpl w:val="0B88D50A"/>
    <w:lvl w:ilvl="0" w:tplc="E8FCB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47B98"/>
    <w:multiLevelType w:val="hybridMultilevel"/>
    <w:tmpl w:val="92DEBCD6"/>
    <w:lvl w:ilvl="0" w:tplc="1AF23506">
      <w:start w:val="2"/>
      <w:numFmt w:val="bullet"/>
      <w:lvlText w:val=""/>
      <w:lvlJc w:val="left"/>
      <w:pPr>
        <w:ind w:left="39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EA4090E"/>
    <w:multiLevelType w:val="hybridMultilevel"/>
    <w:tmpl w:val="88440E90"/>
    <w:lvl w:ilvl="0" w:tplc="05C83D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B4C31"/>
    <w:multiLevelType w:val="multilevel"/>
    <w:tmpl w:val="89EC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72CEE"/>
    <w:multiLevelType w:val="hybridMultilevel"/>
    <w:tmpl w:val="984894F4"/>
    <w:lvl w:ilvl="0" w:tplc="ED2430DA">
      <w:start w:val="2"/>
      <w:numFmt w:val="bullet"/>
      <w:lvlText w:val=""/>
      <w:lvlJc w:val="left"/>
      <w:pPr>
        <w:ind w:left="17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74D72302"/>
    <w:multiLevelType w:val="hybridMultilevel"/>
    <w:tmpl w:val="7892DFFC"/>
    <w:lvl w:ilvl="0" w:tplc="C9D2326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02B25"/>
    <w:multiLevelType w:val="hybridMultilevel"/>
    <w:tmpl w:val="A72A9FAC"/>
    <w:lvl w:ilvl="0" w:tplc="8ED62B40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50458078">
    <w:abstractNumId w:val="9"/>
  </w:num>
  <w:num w:numId="2" w16cid:durableId="1994792467">
    <w:abstractNumId w:val="8"/>
  </w:num>
  <w:num w:numId="3" w16cid:durableId="1156804749">
    <w:abstractNumId w:val="7"/>
  </w:num>
  <w:num w:numId="4" w16cid:durableId="1298411760">
    <w:abstractNumId w:val="11"/>
  </w:num>
  <w:num w:numId="5" w16cid:durableId="106124815">
    <w:abstractNumId w:val="6"/>
  </w:num>
  <w:num w:numId="6" w16cid:durableId="1789274111">
    <w:abstractNumId w:val="5"/>
  </w:num>
  <w:num w:numId="7" w16cid:durableId="2117433690">
    <w:abstractNumId w:val="2"/>
  </w:num>
  <w:num w:numId="8" w16cid:durableId="528837295">
    <w:abstractNumId w:val="14"/>
  </w:num>
  <w:num w:numId="9" w16cid:durableId="917128016">
    <w:abstractNumId w:val="0"/>
  </w:num>
  <w:num w:numId="10" w16cid:durableId="1555311238">
    <w:abstractNumId w:val="4"/>
  </w:num>
  <w:num w:numId="11" w16cid:durableId="2030374285">
    <w:abstractNumId w:val="3"/>
  </w:num>
  <w:num w:numId="12" w16cid:durableId="1089808820">
    <w:abstractNumId w:val="1"/>
  </w:num>
  <w:num w:numId="13" w16cid:durableId="1555309228">
    <w:abstractNumId w:val="15"/>
  </w:num>
  <w:num w:numId="14" w16cid:durableId="544562644">
    <w:abstractNumId w:val="13"/>
  </w:num>
  <w:num w:numId="15" w16cid:durableId="508371629">
    <w:abstractNumId w:val="10"/>
  </w:num>
  <w:num w:numId="16" w16cid:durableId="148134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9A"/>
    <w:rsid w:val="00000589"/>
    <w:rsid w:val="00002997"/>
    <w:rsid w:val="00013C05"/>
    <w:rsid w:val="000142A0"/>
    <w:rsid w:val="000150B7"/>
    <w:rsid w:val="00015987"/>
    <w:rsid w:val="000304FD"/>
    <w:rsid w:val="00030F38"/>
    <w:rsid w:val="0003437B"/>
    <w:rsid w:val="000344DD"/>
    <w:rsid w:val="0003554F"/>
    <w:rsid w:val="00036188"/>
    <w:rsid w:val="00041038"/>
    <w:rsid w:val="00046203"/>
    <w:rsid w:val="00050019"/>
    <w:rsid w:val="00050D07"/>
    <w:rsid w:val="000511A8"/>
    <w:rsid w:val="000542C3"/>
    <w:rsid w:val="00054C18"/>
    <w:rsid w:val="000571E5"/>
    <w:rsid w:val="00060F6D"/>
    <w:rsid w:val="00062046"/>
    <w:rsid w:val="000737F9"/>
    <w:rsid w:val="000813AA"/>
    <w:rsid w:val="00084CF2"/>
    <w:rsid w:val="00085708"/>
    <w:rsid w:val="000876D4"/>
    <w:rsid w:val="00087CCD"/>
    <w:rsid w:val="00091863"/>
    <w:rsid w:val="000946A4"/>
    <w:rsid w:val="000952E7"/>
    <w:rsid w:val="000A0C3C"/>
    <w:rsid w:val="000B3187"/>
    <w:rsid w:val="000C1218"/>
    <w:rsid w:val="000C6262"/>
    <w:rsid w:val="000D27BC"/>
    <w:rsid w:val="000D4C08"/>
    <w:rsid w:val="000E0D78"/>
    <w:rsid w:val="000E1E77"/>
    <w:rsid w:val="000E6047"/>
    <w:rsid w:val="000E7118"/>
    <w:rsid w:val="000F3D03"/>
    <w:rsid w:val="000F7085"/>
    <w:rsid w:val="00102905"/>
    <w:rsid w:val="001036F5"/>
    <w:rsid w:val="001053C1"/>
    <w:rsid w:val="00110868"/>
    <w:rsid w:val="001118B3"/>
    <w:rsid w:val="00115E91"/>
    <w:rsid w:val="00120F47"/>
    <w:rsid w:val="00122CBB"/>
    <w:rsid w:val="00125EA5"/>
    <w:rsid w:val="00126F4A"/>
    <w:rsid w:val="00127FF6"/>
    <w:rsid w:val="00132ACF"/>
    <w:rsid w:val="001335EC"/>
    <w:rsid w:val="00136180"/>
    <w:rsid w:val="0014127D"/>
    <w:rsid w:val="00143894"/>
    <w:rsid w:val="00150BEB"/>
    <w:rsid w:val="00152C94"/>
    <w:rsid w:val="00161B01"/>
    <w:rsid w:val="00164607"/>
    <w:rsid w:val="00164A58"/>
    <w:rsid w:val="001670B6"/>
    <w:rsid w:val="00167901"/>
    <w:rsid w:val="00174248"/>
    <w:rsid w:val="001805DC"/>
    <w:rsid w:val="001808F7"/>
    <w:rsid w:val="00186314"/>
    <w:rsid w:val="0019041B"/>
    <w:rsid w:val="00190665"/>
    <w:rsid w:val="00192F0B"/>
    <w:rsid w:val="00193011"/>
    <w:rsid w:val="001935F8"/>
    <w:rsid w:val="001976C2"/>
    <w:rsid w:val="001A05EB"/>
    <w:rsid w:val="001A0E3D"/>
    <w:rsid w:val="001A1476"/>
    <w:rsid w:val="001A240E"/>
    <w:rsid w:val="001A2E74"/>
    <w:rsid w:val="001A793B"/>
    <w:rsid w:val="001B78F9"/>
    <w:rsid w:val="001C1341"/>
    <w:rsid w:val="001C7BB3"/>
    <w:rsid w:val="001D09BA"/>
    <w:rsid w:val="001D0E10"/>
    <w:rsid w:val="001E06A8"/>
    <w:rsid w:val="001E49BC"/>
    <w:rsid w:val="001E562D"/>
    <w:rsid w:val="001E5BEE"/>
    <w:rsid w:val="001E5CA8"/>
    <w:rsid w:val="001F5B06"/>
    <w:rsid w:val="001F7207"/>
    <w:rsid w:val="0020595A"/>
    <w:rsid w:val="00216446"/>
    <w:rsid w:val="002270A8"/>
    <w:rsid w:val="00232684"/>
    <w:rsid w:val="0024267D"/>
    <w:rsid w:val="00260BC2"/>
    <w:rsid w:val="002620B2"/>
    <w:rsid w:val="00262809"/>
    <w:rsid w:val="00262CD3"/>
    <w:rsid w:val="002744F8"/>
    <w:rsid w:val="002774D5"/>
    <w:rsid w:val="00280B39"/>
    <w:rsid w:val="00282E27"/>
    <w:rsid w:val="00283593"/>
    <w:rsid w:val="00287F3E"/>
    <w:rsid w:val="00294714"/>
    <w:rsid w:val="00296247"/>
    <w:rsid w:val="002975FE"/>
    <w:rsid w:val="002976F6"/>
    <w:rsid w:val="002B661C"/>
    <w:rsid w:val="002C1DB1"/>
    <w:rsid w:val="002C31AB"/>
    <w:rsid w:val="002C6400"/>
    <w:rsid w:val="002D11CD"/>
    <w:rsid w:val="002D5372"/>
    <w:rsid w:val="002E04F0"/>
    <w:rsid w:val="002E139D"/>
    <w:rsid w:val="002E3296"/>
    <w:rsid w:val="002E6906"/>
    <w:rsid w:val="002F6737"/>
    <w:rsid w:val="00303DED"/>
    <w:rsid w:val="0031233A"/>
    <w:rsid w:val="00316DE1"/>
    <w:rsid w:val="003212F4"/>
    <w:rsid w:val="00322513"/>
    <w:rsid w:val="003307F1"/>
    <w:rsid w:val="0033137E"/>
    <w:rsid w:val="0033459C"/>
    <w:rsid w:val="00336F10"/>
    <w:rsid w:val="00337865"/>
    <w:rsid w:val="00340C1C"/>
    <w:rsid w:val="00340C86"/>
    <w:rsid w:val="00341A72"/>
    <w:rsid w:val="00342CBF"/>
    <w:rsid w:val="00345517"/>
    <w:rsid w:val="00351C96"/>
    <w:rsid w:val="0035578D"/>
    <w:rsid w:val="003564FC"/>
    <w:rsid w:val="0036289A"/>
    <w:rsid w:val="003635F9"/>
    <w:rsid w:val="003653A2"/>
    <w:rsid w:val="00372A34"/>
    <w:rsid w:val="00373ADA"/>
    <w:rsid w:val="00377628"/>
    <w:rsid w:val="00384187"/>
    <w:rsid w:val="00386506"/>
    <w:rsid w:val="00393563"/>
    <w:rsid w:val="003944FB"/>
    <w:rsid w:val="00396CC7"/>
    <w:rsid w:val="003A15FF"/>
    <w:rsid w:val="003A2E9C"/>
    <w:rsid w:val="003A600B"/>
    <w:rsid w:val="003A7720"/>
    <w:rsid w:val="003B2B60"/>
    <w:rsid w:val="003C7AF7"/>
    <w:rsid w:val="003E17B0"/>
    <w:rsid w:val="003E34D8"/>
    <w:rsid w:val="003E4337"/>
    <w:rsid w:val="003F4C53"/>
    <w:rsid w:val="003F6D5D"/>
    <w:rsid w:val="003F6F08"/>
    <w:rsid w:val="00400821"/>
    <w:rsid w:val="00414661"/>
    <w:rsid w:val="004160AE"/>
    <w:rsid w:val="004212FD"/>
    <w:rsid w:val="00424262"/>
    <w:rsid w:val="00424D58"/>
    <w:rsid w:val="00427A0D"/>
    <w:rsid w:val="00434C2D"/>
    <w:rsid w:val="00437939"/>
    <w:rsid w:val="00440149"/>
    <w:rsid w:val="00440571"/>
    <w:rsid w:val="004423DB"/>
    <w:rsid w:val="004452D5"/>
    <w:rsid w:val="00451437"/>
    <w:rsid w:val="00453165"/>
    <w:rsid w:val="004624AE"/>
    <w:rsid w:val="00472604"/>
    <w:rsid w:val="00472F0A"/>
    <w:rsid w:val="00473932"/>
    <w:rsid w:val="0047400D"/>
    <w:rsid w:val="00475274"/>
    <w:rsid w:val="00481EBD"/>
    <w:rsid w:val="00481ECC"/>
    <w:rsid w:val="00482CA5"/>
    <w:rsid w:val="004839A5"/>
    <w:rsid w:val="004A0ED3"/>
    <w:rsid w:val="004A10E2"/>
    <w:rsid w:val="004A12FA"/>
    <w:rsid w:val="004A1BCB"/>
    <w:rsid w:val="004A1C25"/>
    <w:rsid w:val="004A2EE1"/>
    <w:rsid w:val="004A4156"/>
    <w:rsid w:val="004A52EF"/>
    <w:rsid w:val="004B2F87"/>
    <w:rsid w:val="004B405A"/>
    <w:rsid w:val="004B57B0"/>
    <w:rsid w:val="004C4D03"/>
    <w:rsid w:val="004C618E"/>
    <w:rsid w:val="004D5B35"/>
    <w:rsid w:val="004E0467"/>
    <w:rsid w:val="004E195B"/>
    <w:rsid w:val="004E344B"/>
    <w:rsid w:val="004E3B62"/>
    <w:rsid w:val="004E7F11"/>
    <w:rsid w:val="004F5ECF"/>
    <w:rsid w:val="004F6591"/>
    <w:rsid w:val="00507CBA"/>
    <w:rsid w:val="00515328"/>
    <w:rsid w:val="00517EF5"/>
    <w:rsid w:val="005225B2"/>
    <w:rsid w:val="00522E67"/>
    <w:rsid w:val="00525F56"/>
    <w:rsid w:val="00526387"/>
    <w:rsid w:val="00540B46"/>
    <w:rsid w:val="00540C1A"/>
    <w:rsid w:val="005531EA"/>
    <w:rsid w:val="00555A54"/>
    <w:rsid w:val="00563920"/>
    <w:rsid w:val="00565424"/>
    <w:rsid w:val="00565988"/>
    <w:rsid w:val="005659DC"/>
    <w:rsid w:val="00566147"/>
    <w:rsid w:val="00573790"/>
    <w:rsid w:val="0058334A"/>
    <w:rsid w:val="00590A1F"/>
    <w:rsid w:val="00593002"/>
    <w:rsid w:val="00595C1A"/>
    <w:rsid w:val="005A3B11"/>
    <w:rsid w:val="005A720A"/>
    <w:rsid w:val="005A7A35"/>
    <w:rsid w:val="005B3A87"/>
    <w:rsid w:val="005B5B19"/>
    <w:rsid w:val="005C4236"/>
    <w:rsid w:val="005D1487"/>
    <w:rsid w:val="005D31D5"/>
    <w:rsid w:val="005D585E"/>
    <w:rsid w:val="005D7FD5"/>
    <w:rsid w:val="005E1582"/>
    <w:rsid w:val="005E1607"/>
    <w:rsid w:val="005E5FD6"/>
    <w:rsid w:val="005E7471"/>
    <w:rsid w:val="005F0AF1"/>
    <w:rsid w:val="005F5DA5"/>
    <w:rsid w:val="005F5EC4"/>
    <w:rsid w:val="00600140"/>
    <w:rsid w:val="006002E8"/>
    <w:rsid w:val="0060171C"/>
    <w:rsid w:val="00605569"/>
    <w:rsid w:val="006071B9"/>
    <w:rsid w:val="00622CE7"/>
    <w:rsid w:val="00626A20"/>
    <w:rsid w:val="00626F1B"/>
    <w:rsid w:val="00633E35"/>
    <w:rsid w:val="00635B3A"/>
    <w:rsid w:val="006371D7"/>
    <w:rsid w:val="00641A37"/>
    <w:rsid w:val="00642776"/>
    <w:rsid w:val="00650023"/>
    <w:rsid w:val="0065091F"/>
    <w:rsid w:val="00651011"/>
    <w:rsid w:val="00652567"/>
    <w:rsid w:val="00657149"/>
    <w:rsid w:val="0066629B"/>
    <w:rsid w:val="00673A88"/>
    <w:rsid w:val="0067707E"/>
    <w:rsid w:val="006771D4"/>
    <w:rsid w:val="006775D1"/>
    <w:rsid w:val="00697C83"/>
    <w:rsid w:val="006A2B86"/>
    <w:rsid w:val="006B289A"/>
    <w:rsid w:val="006B51B8"/>
    <w:rsid w:val="006B5308"/>
    <w:rsid w:val="006B5883"/>
    <w:rsid w:val="006B5CED"/>
    <w:rsid w:val="006D0AD9"/>
    <w:rsid w:val="006D5FBA"/>
    <w:rsid w:val="006D757A"/>
    <w:rsid w:val="006D7FA4"/>
    <w:rsid w:val="006E63A4"/>
    <w:rsid w:val="006E74ED"/>
    <w:rsid w:val="006F2288"/>
    <w:rsid w:val="006F2355"/>
    <w:rsid w:val="006F3449"/>
    <w:rsid w:val="006F5A31"/>
    <w:rsid w:val="006F6C52"/>
    <w:rsid w:val="00700489"/>
    <w:rsid w:val="00704937"/>
    <w:rsid w:val="00707FFC"/>
    <w:rsid w:val="00711EE8"/>
    <w:rsid w:val="0071447B"/>
    <w:rsid w:val="0072555B"/>
    <w:rsid w:val="007269F7"/>
    <w:rsid w:val="00730DFF"/>
    <w:rsid w:val="00740850"/>
    <w:rsid w:val="0074096E"/>
    <w:rsid w:val="00742B98"/>
    <w:rsid w:val="00743A99"/>
    <w:rsid w:val="007471E6"/>
    <w:rsid w:val="00747309"/>
    <w:rsid w:val="0075053B"/>
    <w:rsid w:val="00750DF4"/>
    <w:rsid w:val="00752536"/>
    <w:rsid w:val="0075474D"/>
    <w:rsid w:val="00754AFE"/>
    <w:rsid w:val="00761717"/>
    <w:rsid w:val="00764B3D"/>
    <w:rsid w:val="00771076"/>
    <w:rsid w:val="00776259"/>
    <w:rsid w:val="007803BB"/>
    <w:rsid w:val="007804BC"/>
    <w:rsid w:val="00790022"/>
    <w:rsid w:val="00790788"/>
    <w:rsid w:val="0079450A"/>
    <w:rsid w:val="00795BEF"/>
    <w:rsid w:val="00797A07"/>
    <w:rsid w:val="007A6569"/>
    <w:rsid w:val="007B1A5C"/>
    <w:rsid w:val="007B7AFB"/>
    <w:rsid w:val="007C2F9F"/>
    <w:rsid w:val="007D32C3"/>
    <w:rsid w:val="007D4E0D"/>
    <w:rsid w:val="007E41B5"/>
    <w:rsid w:val="007E44EA"/>
    <w:rsid w:val="007E7234"/>
    <w:rsid w:val="007F0317"/>
    <w:rsid w:val="008005DE"/>
    <w:rsid w:val="008100AD"/>
    <w:rsid w:val="00810A62"/>
    <w:rsid w:val="008219B8"/>
    <w:rsid w:val="00822325"/>
    <w:rsid w:val="008257D6"/>
    <w:rsid w:val="00832F45"/>
    <w:rsid w:val="00833BDF"/>
    <w:rsid w:val="0083433C"/>
    <w:rsid w:val="008368B5"/>
    <w:rsid w:val="008405E8"/>
    <w:rsid w:val="00840F3C"/>
    <w:rsid w:val="0084122C"/>
    <w:rsid w:val="00841892"/>
    <w:rsid w:val="0084319E"/>
    <w:rsid w:val="008431E1"/>
    <w:rsid w:val="00846D46"/>
    <w:rsid w:val="00862E28"/>
    <w:rsid w:val="00883CF1"/>
    <w:rsid w:val="008865CE"/>
    <w:rsid w:val="008911EC"/>
    <w:rsid w:val="00892558"/>
    <w:rsid w:val="008966C6"/>
    <w:rsid w:val="008A1AE0"/>
    <w:rsid w:val="008A1CAA"/>
    <w:rsid w:val="008A1EF5"/>
    <w:rsid w:val="008A48F9"/>
    <w:rsid w:val="008B080F"/>
    <w:rsid w:val="008B2AAE"/>
    <w:rsid w:val="008B35DB"/>
    <w:rsid w:val="008C19B2"/>
    <w:rsid w:val="008D1FFC"/>
    <w:rsid w:val="008D5120"/>
    <w:rsid w:val="008E0AD3"/>
    <w:rsid w:val="008F3862"/>
    <w:rsid w:val="008F553C"/>
    <w:rsid w:val="008F590B"/>
    <w:rsid w:val="00902208"/>
    <w:rsid w:val="00910854"/>
    <w:rsid w:val="00912906"/>
    <w:rsid w:val="00914AC2"/>
    <w:rsid w:val="00915D4C"/>
    <w:rsid w:val="00922CDD"/>
    <w:rsid w:val="00930A3E"/>
    <w:rsid w:val="009360CB"/>
    <w:rsid w:val="0093758C"/>
    <w:rsid w:val="009445C8"/>
    <w:rsid w:val="009517E7"/>
    <w:rsid w:val="00952704"/>
    <w:rsid w:val="0095579A"/>
    <w:rsid w:val="00976BEE"/>
    <w:rsid w:val="0098198E"/>
    <w:rsid w:val="00982657"/>
    <w:rsid w:val="009835D6"/>
    <w:rsid w:val="009840AB"/>
    <w:rsid w:val="00987807"/>
    <w:rsid w:val="00993A65"/>
    <w:rsid w:val="00994298"/>
    <w:rsid w:val="009A00A4"/>
    <w:rsid w:val="009A15E3"/>
    <w:rsid w:val="009A2B81"/>
    <w:rsid w:val="009B0E45"/>
    <w:rsid w:val="009B36FA"/>
    <w:rsid w:val="009B703C"/>
    <w:rsid w:val="009B7346"/>
    <w:rsid w:val="009C26AC"/>
    <w:rsid w:val="009C38BB"/>
    <w:rsid w:val="009C650F"/>
    <w:rsid w:val="009C7BCD"/>
    <w:rsid w:val="009D0D03"/>
    <w:rsid w:val="009D7030"/>
    <w:rsid w:val="009E4C19"/>
    <w:rsid w:val="009E5B92"/>
    <w:rsid w:val="009F7BFA"/>
    <w:rsid w:val="00A03211"/>
    <w:rsid w:val="00A03F37"/>
    <w:rsid w:val="00A04902"/>
    <w:rsid w:val="00A04CFA"/>
    <w:rsid w:val="00A04FB1"/>
    <w:rsid w:val="00A0782A"/>
    <w:rsid w:val="00A1029F"/>
    <w:rsid w:val="00A14DD8"/>
    <w:rsid w:val="00A1568A"/>
    <w:rsid w:val="00A2302E"/>
    <w:rsid w:val="00A24550"/>
    <w:rsid w:val="00A2457C"/>
    <w:rsid w:val="00A2782E"/>
    <w:rsid w:val="00A32DB8"/>
    <w:rsid w:val="00A3301E"/>
    <w:rsid w:val="00A41BDC"/>
    <w:rsid w:val="00A45ED4"/>
    <w:rsid w:val="00A46753"/>
    <w:rsid w:val="00A51E10"/>
    <w:rsid w:val="00A6359D"/>
    <w:rsid w:val="00A661F8"/>
    <w:rsid w:val="00A71D20"/>
    <w:rsid w:val="00A73355"/>
    <w:rsid w:val="00A74BC3"/>
    <w:rsid w:val="00A75ACB"/>
    <w:rsid w:val="00A771AA"/>
    <w:rsid w:val="00A77443"/>
    <w:rsid w:val="00A83D9D"/>
    <w:rsid w:val="00A84CC2"/>
    <w:rsid w:val="00A87AA0"/>
    <w:rsid w:val="00A964B9"/>
    <w:rsid w:val="00A9695C"/>
    <w:rsid w:val="00AA0543"/>
    <w:rsid w:val="00AA68A8"/>
    <w:rsid w:val="00AC033E"/>
    <w:rsid w:val="00AC1163"/>
    <w:rsid w:val="00AC24CC"/>
    <w:rsid w:val="00AC3504"/>
    <w:rsid w:val="00AC77EC"/>
    <w:rsid w:val="00AD1E3A"/>
    <w:rsid w:val="00AD3D04"/>
    <w:rsid w:val="00AD5164"/>
    <w:rsid w:val="00AD55CC"/>
    <w:rsid w:val="00AD7222"/>
    <w:rsid w:val="00AE22FF"/>
    <w:rsid w:val="00AF4018"/>
    <w:rsid w:val="00AF4BE5"/>
    <w:rsid w:val="00B018C2"/>
    <w:rsid w:val="00B01C77"/>
    <w:rsid w:val="00B03333"/>
    <w:rsid w:val="00B100D1"/>
    <w:rsid w:val="00B1229F"/>
    <w:rsid w:val="00B176B2"/>
    <w:rsid w:val="00B24FE3"/>
    <w:rsid w:val="00B25F3D"/>
    <w:rsid w:val="00B26B6C"/>
    <w:rsid w:val="00B26D3A"/>
    <w:rsid w:val="00B32AED"/>
    <w:rsid w:val="00B32BB6"/>
    <w:rsid w:val="00B40AA6"/>
    <w:rsid w:val="00B4255A"/>
    <w:rsid w:val="00B4326A"/>
    <w:rsid w:val="00B43F9A"/>
    <w:rsid w:val="00B45A58"/>
    <w:rsid w:val="00B51F6A"/>
    <w:rsid w:val="00B576F2"/>
    <w:rsid w:val="00B610EF"/>
    <w:rsid w:val="00B63FD2"/>
    <w:rsid w:val="00B67BCF"/>
    <w:rsid w:val="00B75CF6"/>
    <w:rsid w:val="00B8761B"/>
    <w:rsid w:val="00BA0F2C"/>
    <w:rsid w:val="00BA39E6"/>
    <w:rsid w:val="00BA43FF"/>
    <w:rsid w:val="00BA4FB3"/>
    <w:rsid w:val="00BA7447"/>
    <w:rsid w:val="00BB33C7"/>
    <w:rsid w:val="00BC6732"/>
    <w:rsid w:val="00BD0FF1"/>
    <w:rsid w:val="00BD3040"/>
    <w:rsid w:val="00BD49F4"/>
    <w:rsid w:val="00BE5C35"/>
    <w:rsid w:val="00BE662F"/>
    <w:rsid w:val="00BF0A14"/>
    <w:rsid w:val="00BF1BB0"/>
    <w:rsid w:val="00C00692"/>
    <w:rsid w:val="00C03B3A"/>
    <w:rsid w:val="00C03CAA"/>
    <w:rsid w:val="00C1486B"/>
    <w:rsid w:val="00C2382C"/>
    <w:rsid w:val="00C2654C"/>
    <w:rsid w:val="00C26589"/>
    <w:rsid w:val="00C2786E"/>
    <w:rsid w:val="00C325FE"/>
    <w:rsid w:val="00C32DE2"/>
    <w:rsid w:val="00C362C1"/>
    <w:rsid w:val="00C42B52"/>
    <w:rsid w:val="00C644F0"/>
    <w:rsid w:val="00C67030"/>
    <w:rsid w:val="00C7387F"/>
    <w:rsid w:val="00C74C85"/>
    <w:rsid w:val="00C814EE"/>
    <w:rsid w:val="00C90749"/>
    <w:rsid w:val="00C928F0"/>
    <w:rsid w:val="00C93189"/>
    <w:rsid w:val="00C93C32"/>
    <w:rsid w:val="00C95C66"/>
    <w:rsid w:val="00CA2098"/>
    <w:rsid w:val="00CA2D28"/>
    <w:rsid w:val="00CB0967"/>
    <w:rsid w:val="00CB134D"/>
    <w:rsid w:val="00CB5DC7"/>
    <w:rsid w:val="00CC4485"/>
    <w:rsid w:val="00CC6026"/>
    <w:rsid w:val="00CC635F"/>
    <w:rsid w:val="00CC7BFA"/>
    <w:rsid w:val="00CD283C"/>
    <w:rsid w:val="00CD2D43"/>
    <w:rsid w:val="00CD68C1"/>
    <w:rsid w:val="00CD7C43"/>
    <w:rsid w:val="00CE17A0"/>
    <w:rsid w:val="00CE3152"/>
    <w:rsid w:val="00CF0802"/>
    <w:rsid w:val="00CF181F"/>
    <w:rsid w:val="00CF31DA"/>
    <w:rsid w:val="00CF55D7"/>
    <w:rsid w:val="00CF62CB"/>
    <w:rsid w:val="00CF66C8"/>
    <w:rsid w:val="00D01984"/>
    <w:rsid w:val="00D0779F"/>
    <w:rsid w:val="00D10754"/>
    <w:rsid w:val="00D17544"/>
    <w:rsid w:val="00D239A5"/>
    <w:rsid w:val="00D30484"/>
    <w:rsid w:val="00D363C1"/>
    <w:rsid w:val="00D41F64"/>
    <w:rsid w:val="00D463B9"/>
    <w:rsid w:val="00D4792D"/>
    <w:rsid w:val="00D47D8A"/>
    <w:rsid w:val="00D51D05"/>
    <w:rsid w:val="00D62BE5"/>
    <w:rsid w:val="00D62DA2"/>
    <w:rsid w:val="00D704CC"/>
    <w:rsid w:val="00D713C0"/>
    <w:rsid w:val="00D8273B"/>
    <w:rsid w:val="00D835E7"/>
    <w:rsid w:val="00D85DC6"/>
    <w:rsid w:val="00D94D87"/>
    <w:rsid w:val="00DA2828"/>
    <w:rsid w:val="00DA4844"/>
    <w:rsid w:val="00DA73E2"/>
    <w:rsid w:val="00DB1FA0"/>
    <w:rsid w:val="00DB7157"/>
    <w:rsid w:val="00DC4A77"/>
    <w:rsid w:val="00DD04B8"/>
    <w:rsid w:val="00DD19E7"/>
    <w:rsid w:val="00DE1E35"/>
    <w:rsid w:val="00DE7E15"/>
    <w:rsid w:val="00DF47D4"/>
    <w:rsid w:val="00DF6358"/>
    <w:rsid w:val="00E0341B"/>
    <w:rsid w:val="00E04EAF"/>
    <w:rsid w:val="00E050E2"/>
    <w:rsid w:val="00E1136F"/>
    <w:rsid w:val="00E20D44"/>
    <w:rsid w:val="00E225A3"/>
    <w:rsid w:val="00E33A14"/>
    <w:rsid w:val="00E415F7"/>
    <w:rsid w:val="00E426CB"/>
    <w:rsid w:val="00E448FE"/>
    <w:rsid w:val="00E534DF"/>
    <w:rsid w:val="00E615BB"/>
    <w:rsid w:val="00E63745"/>
    <w:rsid w:val="00E64975"/>
    <w:rsid w:val="00E67182"/>
    <w:rsid w:val="00E73989"/>
    <w:rsid w:val="00E76BD4"/>
    <w:rsid w:val="00E8415A"/>
    <w:rsid w:val="00E86961"/>
    <w:rsid w:val="00E86D28"/>
    <w:rsid w:val="00EA0F64"/>
    <w:rsid w:val="00EB315B"/>
    <w:rsid w:val="00EB45B3"/>
    <w:rsid w:val="00EB6796"/>
    <w:rsid w:val="00EB7E63"/>
    <w:rsid w:val="00EC49EC"/>
    <w:rsid w:val="00EC719B"/>
    <w:rsid w:val="00ED0136"/>
    <w:rsid w:val="00ED3EC5"/>
    <w:rsid w:val="00ED56B1"/>
    <w:rsid w:val="00EE05F4"/>
    <w:rsid w:val="00EE3347"/>
    <w:rsid w:val="00EE58A8"/>
    <w:rsid w:val="00EE5D66"/>
    <w:rsid w:val="00EE6C6E"/>
    <w:rsid w:val="00EF285D"/>
    <w:rsid w:val="00F04D03"/>
    <w:rsid w:val="00F0658C"/>
    <w:rsid w:val="00F21E86"/>
    <w:rsid w:val="00F247CC"/>
    <w:rsid w:val="00F24AFE"/>
    <w:rsid w:val="00F2583B"/>
    <w:rsid w:val="00F330C7"/>
    <w:rsid w:val="00F347F0"/>
    <w:rsid w:val="00F45476"/>
    <w:rsid w:val="00F53788"/>
    <w:rsid w:val="00F55627"/>
    <w:rsid w:val="00F55C58"/>
    <w:rsid w:val="00F5729E"/>
    <w:rsid w:val="00F625EA"/>
    <w:rsid w:val="00F65273"/>
    <w:rsid w:val="00F67C51"/>
    <w:rsid w:val="00F7399C"/>
    <w:rsid w:val="00F92B92"/>
    <w:rsid w:val="00FA57EE"/>
    <w:rsid w:val="00FC1E5A"/>
    <w:rsid w:val="00FC424E"/>
    <w:rsid w:val="00FD18FE"/>
    <w:rsid w:val="00FD7F84"/>
    <w:rsid w:val="00FE2E74"/>
    <w:rsid w:val="00FE3547"/>
    <w:rsid w:val="00FE64DF"/>
    <w:rsid w:val="00FE6AAD"/>
    <w:rsid w:val="00FE6AD9"/>
    <w:rsid w:val="00FE7035"/>
    <w:rsid w:val="00FF2AE4"/>
    <w:rsid w:val="00FF43E1"/>
    <w:rsid w:val="00FF5369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72D45"/>
  <w15:docId w15:val="{C25E97D2-2FB8-4A4A-BBC8-6CD0E40D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58"/>
  </w:style>
  <w:style w:type="paragraph" w:styleId="Ttulo1">
    <w:name w:val="heading 1"/>
    <w:basedOn w:val="Normal"/>
    <w:next w:val="Normal"/>
    <w:link w:val="Ttulo1Char"/>
    <w:uiPriority w:val="9"/>
    <w:qFormat/>
    <w:rsid w:val="00190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F24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AC2"/>
  </w:style>
  <w:style w:type="paragraph" w:styleId="Rodap">
    <w:name w:val="footer"/>
    <w:basedOn w:val="Normal"/>
    <w:link w:val="RodapChar"/>
    <w:uiPriority w:val="99"/>
    <w:unhideWhenUsed/>
    <w:rsid w:val="0091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AC2"/>
  </w:style>
  <w:style w:type="character" w:customStyle="1" w:styleId="hps">
    <w:name w:val="hps"/>
    <w:basedOn w:val="Fontepargpadro"/>
    <w:rsid w:val="001E06A8"/>
  </w:style>
  <w:style w:type="paragraph" w:styleId="PargrafodaLista">
    <w:name w:val="List Paragraph"/>
    <w:basedOn w:val="Normal"/>
    <w:uiPriority w:val="34"/>
    <w:qFormat/>
    <w:rsid w:val="00A2457C"/>
    <w:pPr>
      <w:ind w:left="720"/>
      <w:contextualSpacing/>
    </w:pPr>
  </w:style>
  <w:style w:type="paragraph" w:customStyle="1" w:styleId="Default">
    <w:name w:val="Default"/>
    <w:rsid w:val="00DD1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embloco">
    <w:name w:val="Block Text"/>
    <w:basedOn w:val="Normal"/>
    <w:link w:val="TextoemblocoChar"/>
    <w:uiPriority w:val="99"/>
    <w:rsid w:val="000142A0"/>
    <w:pPr>
      <w:widowControl w:val="0"/>
      <w:tabs>
        <w:tab w:val="left" w:pos="6804"/>
      </w:tabs>
      <w:spacing w:before="2" w:after="2" w:line="250" w:lineRule="auto"/>
      <w:ind w:left="336" w:right="57" w:hanging="279"/>
    </w:pPr>
    <w:rPr>
      <w:rFonts w:ascii="Arial" w:eastAsia="Times New Roman" w:hAnsi="Arial" w:cs="Times New Roman"/>
      <w:sz w:val="20"/>
      <w:szCs w:val="24"/>
      <w:lang w:val="pt-PT"/>
    </w:rPr>
  </w:style>
  <w:style w:type="character" w:customStyle="1" w:styleId="TextoemblocoChar">
    <w:name w:val="Texto em bloco Char"/>
    <w:link w:val="Textoembloco"/>
    <w:uiPriority w:val="99"/>
    <w:locked/>
    <w:rsid w:val="000142A0"/>
    <w:rPr>
      <w:rFonts w:ascii="Arial" w:eastAsia="Times New Roman" w:hAnsi="Arial" w:cs="Times New Roman"/>
      <w:sz w:val="20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35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230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0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0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0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02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90A1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F24AF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F2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F24AFE"/>
    <w:rPr>
      <w:i/>
      <w:iCs/>
    </w:rPr>
  </w:style>
  <w:style w:type="character" w:styleId="Forte">
    <w:name w:val="Strong"/>
    <w:basedOn w:val="Fontepargpadro"/>
    <w:uiPriority w:val="22"/>
    <w:qFormat/>
    <w:rsid w:val="00F24AFE"/>
    <w:rPr>
      <w:b/>
      <w:bCs/>
    </w:rPr>
  </w:style>
  <w:style w:type="character" w:styleId="Hyperlink">
    <w:name w:val="Hyperlink"/>
    <w:basedOn w:val="Fontepargpadro"/>
    <w:uiPriority w:val="99"/>
    <w:unhideWhenUsed/>
    <w:rsid w:val="00A1568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568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90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29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64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24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7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1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@cpc.org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vm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c.org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pc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.nbc@cfc.org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30937-827F-4AE1-BD43-1D447B9D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Revisão CPC 15 Edital Audiência</vt:lpstr>
      <vt:lpstr>Revisão CPC 15 Edital Audiência</vt:lpstr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CPC 15 Edital Audiência</dc:title>
  <dc:creator>Helio Corazza</dc:creator>
  <cp:lastModifiedBy>Cintia Pimentel Pereira</cp:lastModifiedBy>
  <cp:revision>21</cp:revision>
  <cp:lastPrinted>2018-06-21T14:13:00Z</cp:lastPrinted>
  <dcterms:created xsi:type="dcterms:W3CDTF">2023-12-22T14:29:00Z</dcterms:created>
  <dcterms:modified xsi:type="dcterms:W3CDTF">2025-08-29T14:29:00Z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LxDOC_SAVED">
    <vt:lpwstr>1</vt:lpwstr>
  </property>
  <property fmtid="{D5CDD505-2E9C-101B-9397-08002B2CF9AE}" pid="3" name="DSLxDOC_CLOSING">
    <vt:lpwstr>1</vt:lpwstr>
  </property>
  <property fmtid="{D5CDD505-2E9C-101B-9397-08002B2CF9AE}" pid="4" name="DSLxMANUAL_CLASSIFICATION">
    <vt:lpwstr>1</vt:lpwstr>
  </property>
  <property fmtid="{D5CDD505-2E9C-101B-9397-08002B2CF9AE}" pid="5" name="SSDCxCLASSFICATION_LEVEL">
    <vt:lpwstr>1</vt:lpwstr>
  </property>
  <property fmtid="{D5CDD505-2E9C-101B-9397-08002B2CF9AE}" pid="6" name="SSDCxCLASSFICATION_USER">
    <vt:lpwstr>SOACAT\042358</vt:lpwstr>
  </property>
  <property fmtid="{D5CDD505-2E9C-101B-9397-08002B2CF9AE}" pid="7" name="SSDCxCLASSFICATION_DATE">
    <vt:lpwstr>09/06/2020 16:49:26</vt:lpwstr>
  </property>
  <property fmtid="{D5CDD505-2E9C-101B-9397-08002B2CF9AE}" pid="8" name="SSDCxCLASSFICATION_GUID">
    <vt:lpwstr>98B4C485F2721EB6E1C3B90B72A02D20</vt:lpwstr>
  </property>
  <property fmtid="{D5CDD505-2E9C-101B-9397-08002B2CF9AE}" pid="9" name="SSDCxCLASSFICATION_LANG">
    <vt:lpwstr>pt</vt:lpwstr>
  </property>
  <property fmtid="{D5CDD505-2E9C-101B-9397-08002B2CF9AE}" pid="10" name="DSLxDOC_SAVING">
    <vt:lpwstr>1</vt:lpwstr>
  </property>
</Properties>
</file>