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07D0" w14:textId="1D190F4D" w:rsidR="00023B34" w:rsidRPr="00924A72" w:rsidRDefault="00023B34" w:rsidP="00E67C95">
      <w:pPr>
        <w:spacing w:after="120"/>
        <w:ind w:left="567" w:hanging="567"/>
        <w:jc w:val="center"/>
        <w:rPr>
          <w:rFonts w:asciiTheme="minorHAnsi" w:hAnsiTheme="minorHAnsi" w:cstheme="minorHAnsi"/>
          <w:b/>
        </w:rPr>
      </w:pPr>
      <w:r w:rsidRPr="00924A72">
        <w:rPr>
          <w:rFonts w:asciiTheme="minorHAnsi" w:hAnsiTheme="minorHAnsi" w:cstheme="minorHAnsi"/>
          <w:b/>
          <w:color w:val="00011F"/>
        </w:rPr>
        <w:t>NORMA BRASILEIRA DE CONTABILIDADE, ITG 2003 (R2), DE XX DE XXX DE 2023</w:t>
      </w:r>
    </w:p>
    <w:p w14:paraId="63A38F20" w14:textId="7AAC3898" w:rsidR="00023B34" w:rsidRDefault="00023B34" w:rsidP="00E67C95">
      <w:pPr>
        <w:pStyle w:val="Corpodetexto"/>
        <w:spacing w:after="120"/>
        <w:ind w:left="567" w:hanging="567"/>
        <w:rPr>
          <w:rFonts w:asciiTheme="minorHAnsi" w:hAnsiTheme="minorHAnsi" w:cstheme="minorHAnsi"/>
          <w:b/>
        </w:rPr>
      </w:pPr>
    </w:p>
    <w:p w14:paraId="3C0429FD" w14:textId="77777777" w:rsidR="00E67C95" w:rsidRPr="00924A72" w:rsidRDefault="00E67C95" w:rsidP="00E67C95">
      <w:pPr>
        <w:pStyle w:val="Corpodetexto"/>
        <w:ind w:left="567" w:hanging="567"/>
        <w:jc w:val="center"/>
        <w:rPr>
          <w:rFonts w:asciiTheme="minorHAnsi" w:hAnsiTheme="minorHAnsi" w:cstheme="minorHAnsi"/>
          <w:b/>
        </w:rPr>
      </w:pPr>
    </w:p>
    <w:p w14:paraId="14B6B34B" w14:textId="43BB74DD" w:rsidR="00023B34" w:rsidRPr="00924A72" w:rsidRDefault="00023B34" w:rsidP="00E67C95">
      <w:pPr>
        <w:spacing w:after="120"/>
        <w:ind w:left="5387"/>
        <w:jc w:val="both"/>
        <w:rPr>
          <w:rFonts w:asciiTheme="minorHAnsi" w:hAnsiTheme="minorHAnsi" w:cstheme="minorHAnsi"/>
          <w:bCs/>
          <w:iCs/>
        </w:rPr>
      </w:pPr>
      <w:r w:rsidRPr="00924A72">
        <w:rPr>
          <w:rFonts w:asciiTheme="minorHAnsi" w:hAnsiTheme="minorHAnsi" w:cstheme="minorHAnsi"/>
          <w:bCs/>
          <w:iCs/>
        </w:rPr>
        <w:t>Dá nova redação à ITG 2003 (R1), que dispõe sobre entidade desportiva.</w:t>
      </w:r>
    </w:p>
    <w:p w14:paraId="4008F09B" w14:textId="77777777" w:rsidR="00023B34" w:rsidRPr="00E67C95" w:rsidRDefault="00023B34" w:rsidP="00E67C95">
      <w:pPr>
        <w:pStyle w:val="Corpodetexto"/>
        <w:spacing w:after="120"/>
        <w:ind w:left="567" w:hanging="567"/>
        <w:jc w:val="both"/>
        <w:rPr>
          <w:rFonts w:asciiTheme="minorHAnsi" w:hAnsiTheme="minorHAnsi" w:cstheme="minorHAnsi"/>
          <w:b/>
          <w:iCs/>
        </w:rPr>
      </w:pPr>
    </w:p>
    <w:p w14:paraId="3203322A" w14:textId="77777777" w:rsidR="00023B34" w:rsidRPr="00E67C95" w:rsidRDefault="00023B34" w:rsidP="00E67C95">
      <w:pPr>
        <w:pStyle w:val="Corpodetexto"/>
        <w:spacing w:after="120"/>
        <w:ind w:left="567" w:hanging="567"/>
        <w:jc w:val="both"/>
        <w:rPr>
          <w:rFonts w:asciiTheme="minorHAnsi" w:hAnsiTheme="minorHAnsi" w:cstheme="minorHAnsi"/>
          <w:b/>
          <w:iCs/>
        </w:rPr>
      </w:pPr>
    </w:p>
    <w:p w14:paraId="3FA85684" w14:textId="046ABDD2" w:rsidR="00023B34" w:rsidRPr="00924A72" w:rsidRDefault="00023B34" w:rsidP="00E67C95">
      <w:pPr>
        <w:pStyle w:val="Corpodetexto"/>
        <w:spacing w:after="120"/>
        <w:ind w:firstLine="1418"/>
        <w:jc w:val="both"/>
        <w:rPr>
          <w:rFonts w:asciiTheme="minorHAnsi" w:hAnsiTheme="minorHAnsi" w:cstheme="minorHAnsi"/>
          <w:color w:val="000000"/>
        </w:rPr>
      </w:pPr>
      <w:r w:rsidRPr="00924A72">
        <w:rPr>
          <w:rFonts w:asciiTheme="minorHAnsi" w:hAnsiTheme="minorHAnsi" w:cstheme="minorHAnsi"/>
        </w:rPr>
        <w:t xml:space="preserve">O </w:t>
      </w:r>
      <w:r w:rsidRPr="00924A72">
        <w:rPr>
          <w:rFonts w:asciiTheme="minorHAnsi" w:hAnsiTheme="minorHAnsi" w:cstheme="minorHAnsi"/>
          <w:b/>
        </w:rPr>
        <w:t>CONSELHO FEDERAL DE CONTABILIDADE</w:t>
      </w:r>
      <w:r w:rsidRPr="00924A72">
        <w:rPr>
          <w:rFonts w:asciiTheme="minorHAnsi" w:hAnsiTheme="minorHAnsi" w:cstheme="minorHAnsi"/>
        </w:rPr>
        <w:t xml:space="preserve">, </w:t>
      </w:r>
      <w:r w:rsidRPr="00924A72">
        <w:rPr>
          <w:rFonts w:asciiTheme="minorHAnsi" w:hAnsiTheme="minorHAnsi" w:cstheme="minorHAnsi"/>
          <w:color w:val="000000"/>
        </w:rPr>
        <w:t>no exercício de suas atribuições legais e regimentais</w:t>
      </w:r>
      <w:r w:rsidR="00F9327D">
        <w:rPr>
          <w:rFonts w:asciiTheme="minorHAnsi" w:hAnsiTheme="minorHAnsi" w:cstheme="minorHAnsi"/>
          <w:color w:val="000000"/>
        </w:rPr>
        <w:t>,</w:t>
      </w:r>
      <w:r w:rsidRPr="00924A72">
        <w:rPr>
          <w:rFonts w:asciiTheme="minorHAnsi" w:hAnsiTheme="minorHAnsi" w:cstheme="minorHAnsi"/>
          <w:color w:val="000000"/>
        </w:rPr>
        <w:t xml:space="preserve"> e com fundamento no disposto na alínea “f” do </w:t>
      </w:r>
      <w:r w:rsidR="00F9327D">
        <w:rPr>
          <w:rFonts w:asciiTheme="minorHAnsi" w:hAnsiTheme="minorHAnsi" w:cstheme="minorHAnsi"/>
          <w:color w:val="000000"/>
        </w:rPr>
        <w:t>a</w:t>
      </w:r>
      <w:r w:rsidRPr="00924A72">
        <w:rPr>
          <w:rFonts w:asciiTheme="minorHAnsi" w:hAnsiTheme="minorHAnsi" w:cstheme="minorHAnsi"/>
          <w:color w:val="000000"/>
        </w:rPr>
        <w:t>rt. 6º do Decreto-Lei n.º 9.295</w:t>
      </w:r>
      <w:r w:rsidR="00F9327D">
        <w:rPr>
          <w:rFonts w:asciiTheme="minorHAnsi" w:hAnsiTheme="minorHAnsi" w:cstheme="minorHAnsi"/>
          <w:color w:val="000000"/>
        </w:rPr>
        <w:t xml:space="preserve">, de 27 de maio de </w:t>
      </w:r>
      <w:r w:rsidRPr="00924A72">
        <w:rPr>
          <w:rFonts w:asciiTheme="minorHAnsi" w:hAnsiTheme="minorHAnsi" w:cstheme="minorHAnsi"/>
          <w:color w:val="000000"/>
        </w:rPr>
        <w:t>1946, alterado pela Lei n.º 12.249</w:t>
      </w:r>
      <w:r w:rsidR="00F9327D">
        <w:rPr>
          <w:rFonts w:asciiTheme="minorHAnsi" w:hAnsiTheme="minorHAnsi" w:cstheme="minorHAnsi"/>
          <w:color w:val="000000"/>
        </w:rPr>
        <w:t xml:space="preserve">, de 11 de junho de </w:t>
      </w:r>
      <w:r w:rsidRPr="00924A72">
        <w:rPr>
          <w:rFonts w:asciiTheme="minorHAnsi" w:hAnsiTheme="minorHAnsi" w:cstheme="minorHAnsi"/>
          <w:color w:val="000000"/>
        </w:rPr>
        <w:t>2010, faz saber que foi aprovada em seu Plenário a seguinte Norma Brasileira de Contabilidade (NBC):</w:t>
      </w:r>
    </w:p>
    <w:p w14:paraId="380BD6F4" w14:textId="77777777" w:rsidR="00023B34" w:rsidRPr="00924A72" w:rsidRDefault="00023B34" w:rsidP="00E67C95">
      <w:pPr>
        <w:pStyle w:val="Corpodetexto"/>
        <w:spacing w:after="120"/>
        <w:ind w:left="567" w:hanging="567"/>
        <w:jc w:val="both"/>
        <w:rPr>
          <w:rFonts w:asciiTheme="minorHAnsi" w:hAnsiTheme="minorHAnsi" w:cstheme="minorHAnsi"/>
        </w:rPr>
      </w:pPr>
    </w:p>
    <w:p w14:paraId="0DAD62FE" w14:textId="77777777" w:rsidR="00023B34" w:rsidRPr="00924A72" w:rsidRDefault="00023B34" w:rsidP="00E67C95">
      <w:pPr>
        <w:spacing w:after="120"/>
        <w:jc w:val="center"/>
        <w:outlineLvl w:val="0"/>
        <w:rPr>
          <w:rFonts w:asciiTheme="minorHAnsi" w:hAnsiTheme="minorHAnsi" w:cstheme="minorHAnsi"/>
          <w:b/>
        </w:rPr>
      </w:pPr>
      <w:r w:rsidRPr="00924A72">
        <w:rPr>
          <w:rFonts w:asciiTheme="minorHAnsi" w:hAnsiTheme="minorHAnsi" w:cstheme="minorHAnsi"/>
          <w:b/>
        </w:rPr>
        <w:t xml:space="preserve">ITG 2003 (R2) – </w:t>
      </w:r>
      <w:r w:rsidRPr="00924A72">
        <w:rPr>
          <w:rFonts w:asciiTheme="minorHAnsi" w:hAnsiTheme="minorHAnsi" w:cstheme="minorHAnsi"/>
          <w:b/>
          <w:bCs/>
          <w:iCs/>
        </w:rPr>
        <w:t>ENTIDADE DESPORTIVA</w:t>
      </w:r>
    </w:p>
    <w:p w14:paraId="3660532A" w14:textId="77777777" w:rsidR="00023B34" w:rsidRPr="00924A72" w:rsidRDefault="00023B34" w:rsidP="00E67C95">
      <w:pPr>
        <w:pStyle w:val="Corpodetexto"/>
        <w:spacing w:after="120"/>
        <w:ind w:left="567" w:hanging="567"/>
        <w:jc w:val="both"/>
        <w:rPr>
          <w:rFonts w:asciiTheme="minorHAnsi" w:hAnsiTheme="minorHAnsi" w:cstheme="minorHAnsi"/>
          <w:b/>
        </w:rPr>
      </w:pPr>
    </w:p>
    <w:tbl>
      <w:tblPr>
        <w:tblW w:w="964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8"/>
        <w:gridCol w:w="1417"/>
      </w:tblGrid>
      <w:tr w:rsidR="00023B34" w:rsidRPr="00924A72" w14:paraId="408A60FA" w14:textId="77777777" w:rsidTr="00023B34">
        <w:trPr>
          <w:trHeight w:val="393"/>
        </w:trPr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33AA4" w14:textId="77777777" w:rsidR="00023B34" w:rsidRPr="00924A72" w:rsidRDefault="00023B34" w:rsidP="00E67C95">
            <w:pPr>
              <w:pStyle w:val="TableParagraph"/>
              <w:spacing w:before="0" w:after="120"/>
              <w:ind w:left="17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Sumário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D6AE4" w14:textId="77777777" w:rsidR="00023B34" w:rsidRPr="00924A72" w:rsidRDefault="00023B34" w:rsidP="00E67C95">
            <w:pPr>
              <w:pStyle w:val="TableParagraph"/>
              <w:spacing w:before="0" w:after="120"/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Item</w:t>
            </w:r>
          </w:p>
        </w:tc>
      </w:tr>
      <w:tr w:rsidR="00023B34" w:rsidRPr="00924A72" w14:paraId="5D89573E" w14:textId="77777777" w:rsidTr="00023B34">
        <w:trPr>
          <w:trHeight w:val="398"/>
        </w:trPr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740D9" w14:textId="0C0DCA4F" w:rsidR="00023B34" w:rsidRPr="00924A72" w:rsidRDefault="00023B34" w:rsidP="00E67C95">
            <w:pPr>
              <w:pStyle w:val="TableParagraph"/>
              <w:spacing w:before="0" w:after="120"/>
              <w:ind w:left="17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Objetivo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9022" w14:textId="701BFAD7" w:rsidR="00023B34" w:rsidRPr="00924A72" w:rsidRDefault="00023B34" w:rsidP="00E67C95">
            <w:pPr>
              <w:pStyle w:val="TableParagraph"/>
              <w:spacing w:before="0" w:after="120"/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1 – </w:t>
            </w:r>
            <w:r w:rsidR="003E085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3E085F" w:rsidRPr="00924A72" w14:paraId="0437029E" w14:textId="77777777" w:rsidTr="00023B34">
        <w:trPr>
          <w:trHeight w:val="398"/>
        </w:trPr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5878" w14:textId="667A1A3F" w:rsidR="003E085F" w:rsidRPr="00924A72" w:rsidRDefault="003E085F" w:rsidP="00E67C95">
            <w:pPr>
              <w:pStyle w:val="TableParagraph"/>
              <w:spacing w:before="0" w:after="120"/>
              <w:ind w:left="17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Alcance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9BD4" w14:textId="439B0E1B" w:rsidR="003E085F" w:rsidRPr="00924A72" w:rsidRDefault="003E085F" w:rsidP="00E67C95">
            <w:pPr>
              <w:pStyle w:val="TableParagraph"/>
              <w:spacing w:before="0" w:after="120"/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– 4</w:t>
            </w:r>
          </w:p>
        </w:tc>
      </w:tr>
      <w:tr w:rsidR="00023B34" w:rsidRPr="00924A72" w14:paraId="5EB8D7AF" w14:textId="77777777" w:rsidTr="00023B34">
        <w:trPr>
          <w:trHeight w:val="397"/>
        </w:trPr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4DF21" w14:textId="3E1328B0" w:rsidR="00023B34" w:rsidRPr="00924A72" w:rsidRDefault="00023B34" w:rsidP="00E67C95">
            <w:pPr>
              <w:pStyle w:val="TableParagraph"/>
              <w:spacing w:before="0" w:after="120"/>
              <w:ind w:left="17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Extinção do intangível relacionado aos custos de formação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0ED9F" w14:textId="2308CE64" w:rsidR="00023B34" w:rsidRPr="00924A72" w:rsidRDefault="00C80A1A" w:rsidP="00E67C95">
            <w:pPr>
              <w:pStyle w:val="TableParagraph"/>
              <w:spacing w:before="0" w:after="120"/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  <w:r w:rsidR="00023B34"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</w:t>
            </w:r>
          </w:p>
        </w:tc>
      </w:tr>
      <w:tr w:rsidR="00023B34" w:rsidRPr="00924A72" w14:paraId="521D44E1" w14:textId="77777777" w:rsidTr="00023B34">
        <w:trPr>
          <w:trHeight w:val="393"/>
        </w:trPr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73634" w14:textId="3359CCA4" w:rsidR="00023B34" w:rsidRPr="00924A72" w:rsidRDefault="00023B34" w:rsidP="00E67C95">
            <w:pPr>
              <w:pStyle w:val="TableParagraph"/>
              <w:spacing w:before="0" w:after="120"/>
              <w:ind w:left="172" w:right="118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Classificação dos ganhos ou perdas nas transações com cessão de direitos profissionais sobre atletas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75CBC" w14:textId="747955F1" w:rsidR="00023B34" w:rsidRPr="00924A72" w:rsidRDefault="00C80A1A" w:rsidP="00E67C95">
            <w:pPr>
              <w:pStyle w:val="TableParagraph"/>
              <w:spacing w:before="0" w:after="120"/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</w:t>
            </w:r>
            <w:r w:rsidR="00023B34"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</w:p>
        </w:tc>
      </w:tr>
      <w:tr w:rsidR="00023B34" w:rsidRPr="00924A72" w14:paraId="60B793D0" w14:textId="77777777" w:rsidTr="00023B34">
        <w:trPr>
          <w:trHeight w:val="393"/>
        </w:trPr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84880" w14:textId="433CE747" w:rsidR="00023B34" w:rsidRPr="00924A72" w:rsidRDefault="00023B34" w:rsidP="00E67C95">
            <w:pPr>
              <w:pStyle w:val="TableParagraph"/>
              <w:spacing w:before="0" w:after="120"/>
              <w:ind w:left="17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Cessão temporária de direitos profissionais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22B65" w14:textId="34EFEAEB" w:rsidR="00023B34" w:rsidRPr="00924A72" w:rsidRDefault="00023B34" w:rsidP="00E67C95">
            <w:pPr>
              <w:pStyle w:val="TableParagraph"/>
              <w:spacing w:before="0" w:after="120"/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C80A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</w:p>
        </w:tc>
      </w:tr>
      <w:tr w:rsidR="00023B34" w:rsidRPr="00924A72" w14:paraId="68A94085" w14:textId="77777777" w:rsidTr="00023B34">
        <w:trPr>
          <w:trHeight w:val="397"/>
        </w:trPr>
        <w:tc>
          <w:tcPr>
            <w:tcW w:w="8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E6F65" w14:textId="5D33B5A4" w:rsidR="00023B34" w:rsidRPr="00924A72" w:rsidRDefault="00023B34" w:rsidP="00E67C95">
            <w:pPr>
              <w:pStyle w:val="TableParagraph"/>
              <w:spacing w:before="0" w:after="120"/>
              <w:ind w:left="172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 da Vigência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477EB" w14:textId="61F8A9E5" w:rsidR="00023B34" w:rsidRPr="00924A72" w:rsidRDefault="00023B34" w:rsidP="00E67C95">
            <w:pPr>
              <w:pStyle w:val="TableParagraph"/>
              <w:spacing w:before="0" w:after="120"/>
              <w:ind w:left="567" w:hanging="567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24A7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C80A1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</w:tr>
    </w:tbl>
    <w:p w14:paraId="6BE526B2" w14:textId="77777777" w:rsidR="001D6917" w:rsidRPr="00924A72" w:rsidRDefault="001D6917" w:rsidP="00E67C95">
      <w:pPr>
        <w:pStyle w:val="Textoembloco"/>
        <w:spacing w:before="0" w:after="120" w:line="240" w:lineRule="auto"/>
        <w:ind w:left="57" w:firstLine="0"/>
        <w:jc w:val="both"/>
        <w:rPr>
          <w:rFonts w:asciiTheme="minorHAnsi" w:hAnsiTheme="minorHAnsi" w:cstheme="minorHAnsi"/>
          <w:bCs/>
          <w:sz w:val="24"/>
          <w:lang w:val="pt-BR"/>
        </w:rPr>
      </w:pPr>
    </w:p>
    <w:p w14:paraId="741EEC29" w14:textId="0D113263" w:rsidR="00937721" w:rsidRPr="00924A72" w:rsidRDefault="00320160" w:rsidP="00E67C95">
      <w:pPr>
        <w:tabs>
          <w:tab w:val="left" w:pos="567"/>
        </w:tabs>
        <w:spacing w:after="120"/>
        <w:ind w:left="360"/>
        <w:jc w:val="both"/>
        <w:rPr>
          <w:rFonts w:asciiTheme="minorHAnsi" w:hAnsiTheme="minorHAnsi" w:cstheme="minorHAnsi"/>
          <w:b/>
        </w:rPr>
      </w:pPr>
      <w:r w:rsidRPr="00924A72">
        <w:rPr>
          <w:rFonts w:asciiTheme="minorHAnsi" w:hAnsiTheme="minorHAnsi" w:cstheme="minorHAnsi"/>
          <w:b/>
          <w:color w:val="000000"/>
        </w:rPr>
        <w:tab/>
      </w:r>
      <w:r w:rsidR="00937721" w:rsidRPr="00924A72">
        <w:rPr>
          <w:rFonts w:asciiTheme="minorHAnsi" w:hAnsiTheme="minorHAnsi" w:cstheme="minorHAnsi"/>
          <w:b/>
          <w:color w:val="000000"/>
        </w:rPr>
        <w:t>Objetivo</w:t>
      </w:r>
    </w:p>
    <w:p w14:paraId="5A3D6DE6" w14:textId="0E00E135" w:rsidR="00937721" w:rsidRPr="00924A72" w:rsidRDefault="00693E46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  <w:iCs/>
        </w:rPr>
      </w:pPr>
      <w:r w:rsidRPr="00924A72">
        <w:rPr>
          <w:rFonts w:asciiTheme="minorHAnsi" w:hAnsiTheme="minorHAnsi" w:cstheme="minorHAnsi"/>
          <w:bCs/>
          <w:iCs/>
        </w:rPr>
        <w:t>Esta Interpretação</w:t>
      </w:r>
      <w:r w:rsidR="00943DB2" w:rsidRPr="00924A72">
        <w:rPr>
          <w:rFonts w:asciiTheme="minorHAnsi" w:hAnsiTheme="minorHAnsi" w:cstheme="minorHAnsi"/>
          <w:bCs/>
          <w:iCs/>
        </w:rPr>
        <w:t xml:space="preserve"> Técnica Geral</w:t>
      </w:r>
      <w:r w:rsidR="00C2369F" w:rsidRPr="00924A72">
        <w:rPr>
          <w:rFonts w:asciiTheme="minorHAnsi" w:hAnsiTheme="minorHAnsi" w:cstheme="minorHAnsi"/>
          <w:bCs/>
          <w:iCs/>
        </w:rPr>
        <w:t xml:space="preserve"> substitui a ITG 2003</w:t>
      </w:r>
      <w:r w:rsidR="00320160" w:rsidRPr="00924A72">
        <w:rPr>
          <w:rFonts w:asciiTheme="minorHAnsi" w:hAnsiTheme="minorHAnsi" w:cstheme="minorHAnsi"/>
          <w:bCs/>
          <w:iCs/>
        </w:rPr>
        <w:t xml:space="preserve"> e sua alteração (R1)</w:t>
      </w:r>
      <w:r w:rsidR="007929D8" w:rsidRPr="00924A72">
        <w:rPr>
          <w:rFonts w:asciiTheme="minorHAnsi" w:hAnsiTheme="minorHAnsi" w:cstheme="minorHAnsi"/>
          <w:bCs/>
          <w:iCs/>
        </w:rPr>
        <w:t xml:space="preserve"> </w:t>
      </w:r>
      <w:r w:rsidR="00E547E8" w:rsidRPr="00924A72">
        <w:rPr>
          <w:rFonts w:asciiTheme="minorHAnsi" w:hAnsiTheme="minorHAnsi" w:cstheme="minorHAnsi"/>
          <w:bCs/>
          <w:iCs/>
        </w:rPr>
        <w:t xml:space="preserve">e objetiva </w:t>
      </w:r>
      <w:r w:rsidR="00937721" w:rsidRPr="00924A72">
        <w:rPr>
          <w:rFonts w:asciiTheme="minorHAnsi" w:hAnsiTheme="minorHAnsi" w:cstheme="minorHAnsi"/>
          <w:bCs/>
          <w:iCs/>
        </w:rPr>
        <w:t xml:space="preserve">alcançar plena convergência </w:t>
      </w:r>
      <w:r w:rsidR="002A1F6F" w:rsidRPr="00924A72">
        <w:rPr>
          <w:rFonts w:asciiTheme="minorHAnsi" w:hAnsiTheme="minorHAnsi" w:cstheme="minorHAnsi"/>
          <w:bCs/>
          <w:iCs/>
        </w:rPr>
        <w:t>às normas</w:t>
      </w:r>
      <w:r w:rsidR="00441D85" w:rsidRPr="00924A72">
        <w:rPr>
          <w:rFonts w:asciiTheme="minorHAnsi" w:hAnsiTheme="minorHAnsi" w:cstheme="minorHAnsi"/>
          <w:bCs/>
          <w:iCs/>
        </w:rPr>
        <w:t xml:space="preserve"> internacionais de contabilidade, além de</w:t>
      </w:r>
      <w:r w:rsidR="002A1F6F" w:rsidRPr="00924A72">
        <w:rPr>
          <w:rFonts w:asciiTheme="minorHAnsi" w:hAnsiTheme="minorHAnsi" w:cstheme="minorHAnsi"/>
          <w:bCs/>
          <w:iCs/>
        </w:rPr>
        <w:t xml:space="preserve"> </w:t>
      </w:r>
      <w:r w:rsidR="00937721" w:rsidRPr="00924A72">
        <w:rPr>
          <w:rFonts w:asciiTheme="minorHAnsi" w:hAnsiTheme="minorHAnsi" w:cstheme="minorHAnsi"/>
          <w:bCs/>
          <w:iCs/>
        </w:rPr>
        <w:t xml:space="preserve">eliminar divergências criadas anteriormente, </w:t>
      </w:r>
      <w:r w:rsidR="00F9327D">
        <w:rPr>
          <w:rFonts w:asciiTheme="minorHAnsi" w:hAnsiTheme="minorHAnsi" w:cstheme="minorHAnsi"/>
          <w:bCs/>
          <w:iCs/>
        </w:rPr>
        <w:t>por meio</w:t>
      </w:r>
      <w:r w:rsidR="00F9327D" w:rsidRPr="00924A72">
        <w:rPr>
          <w:rFonts w:asciiTheme="minorHAnsi" w:hAnsiTheme="minorHAnsi" w:cstheme="minorHAnsi"/>
          <w:bCs/>
          <w:iCs/>
        </w:rPr>
        <w:t xml:space="preserve"> </w:t>
      </w:r>
      <w:r w:rsidR="00937721" w:rsidRPr="00924A72">
        <w:rPr>
          <w:rFonts w:asciiTheme="minorHAnsi" w:hAnsiTheme="minorHAnsi" w:cstheme="minorHAnsi"/>
          <w:bCs/>
          <w:iCs/>
        </w:rPr>
        <w:t>de regras de transição.</w:t>
      </w:r>
    </w:p>
    <w:p w14:paraId="01AE097E" w14:textId="77777777" w:rsidR="00937721" w:rsidRPr="00924A72" w:rsidRDefault="00937721" w:rsidP="00E67C95">
      <w:pPr>
        <w:spacing w:after="120"/>
        <w:ind w:left="567"/>
        <w:jc w:val="both"/>
        <w:rPr>
          <w:rFonts w:asciiTheme="minorHAnsi" w:hAnsiTheme="minorHAnsi" w:cstheme="minorHAnsi"/>
          <w:bCs/>
          <w:iCs/>
        </w:rPr>
      </w:pPr>
    </w:p>
    <w:p w14:paraId="0CAEE0B2" w14:textId="0574F89E" w:rsidR="00937721" w:rsidRPr="00924A72" w:rsidRDefault="00937721" w:rsidP="003E085F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  <w:iCs/>
        </w:rPr>
      </w:pPr>
      <w:r w:rsidRPr="00924A72">
        <w:rPr>
          <w:rFonts w:asciiTheme="minorHAnsi" w:hAnsiTheme="minorHAnsi" w:cstheme="minorHAnsi"/>
        </w:rPr>
        <w:t xml:space="preserve">As regras de transição </w:t>
      </w:r>
      <w:r w:rsidR="00F32EB5" w:rsidRPr="00924A72">
        <w:rPr>
          <w:rFonts w:asciiTheme="minorHAnsi" w:hAnsiTheme="minorHAnsi" w:cstheme="minorHAnsi"/>
        </w:rPr>
        <w:t>contidas</w:t>
      </w:r>
      <w:r w:rsidR="001415B2" w:rsidRPr="00924A72">
        <w:rPr>
          <w:rFonts w:asciiTheme="minorHAnsi" w:hAnsiTheme="minorHAnsi" w:cstheme="minorHAnsi"/>
        </w:rPr>
        <w:t xml:space="preserve"> na</w:t>
      </w:r>
      <w:r w:rsidR="005B4FF9" w:rsidRPr="00924A72">
        <w:rPr>
          <w:rFonts w:asciiTheme="minorHAnsi" w:hAnsiTheme="minorHAnsi" w:cstheme="minorHAnsi"/>
        </w:rPr>
        <w:t xml:space="preserve"> ITG </w:t>
      </w:r>
      <w:r w:rsidR="00943DB2" w:rsidRPr="00924A72">
        <w:rPr>
          <w:rFonts w:asciiTheme="minorHAnsi" w:hAnsiTheme="minorHAnsi" w:cstheme="minorHAnsi"/>
        </w:rPr>
        <w:t>20</w:t>
      </w:r>
      <w:r w:rsidR="00320160" w:rsidRPr="00924A72">
        <w:rPr>
          <w:rFonts w:asciiTheme="minorHAnsi" w:hAnsiTheme="minorHAnsi" w:cstheme="minorHAnsi"/>
        </w:rPr>
        <w:t>03 (R2)</w:t>
      </w:r>
      <w:r w:rsidR="00943DB2" w:rsidRPr="00924A72">
        <w:rPr>
          <w:rFonts w:asciiTheme="minorHAnsi" w:hAnsiTheme="minorHAnsi" w:cstheme="minorHAnsi"/>
        </w:rPr>
        <w:t xml:space="preserve"> </w:t>
      </w:r>
      <w:r w:rsidRPr="00924A72">
        <w:rPr>
          <w:rFonts w:asciiTheme="minorHAnsi" w:hAnsiTheme="minorHAnsi" w:cstheme="minorHAnsi"/>
        </w:rPr>
        <w:t xml:space="preserve">devem ser implementadas no exercício social compreendido entre </w:t>
      </w:r>
      <w:r w:rsidR="00A15128" w:rsidRPr="00924A72">
        <w:rPr>
          <w:rFonts w:asciiTheme="minorHAnsi" w:hAnsiTheme="minorHAnsi" w:cstheme="minorHAnsi"/>
        </w:rPr>
        <w:t>1</w:t>
      </w:r>
      <w:r w:rsidR="00F9327D">
        <w:rPr>
          <w:rFonts w:asciiTheme="minorHAnsi" w:hAnsiTheme="minorHAnsi" w:cstheme="minorHAnsi"/>
        </w:rPr>
        <w:t>º</w:t>
      </w:r>
      <w:r w:rsidR="00A15128" w:rsidRPr="00924A72">
        <w:rPr>
          <w:rFonts w:asciiTheme="minorHAnsi" w:hAnsiTheme="minorHAnsi" w:cstheme="minorHAnsi"/>
        </w:rPr>
        <w:t>/1/</w:t>
      </w:r>
      <w:r w:rsidR="00427048" w:rsidRPr="00924A72">
        <w:rPr>
          <w:rFonts w:asciiTheme="minorHAnsi" w:hAnsiTheme="minorHAnsi" w:cstheme="minorHAnsi"/>
        </w:rPr>
        <w:t>202</w:t>
      </w:r>
      <w:r w:rsidR="00320160" w:rsidRPr="00924A72">
        <w:rPr>
          <w:rFonts w:asciiTheme="minorHAnsi" w:hAnsiTheme="minorHAnsi" w:cstheme="minorHAnsi"/>
        </w:rPr>
        <w:t>4</w:t>
      </w:r>
      <w:r w:rsidR="00427048" w:rsidRPr="00924A72">
        <w:rPr>
          <w:rFonts w:asciiTheme="minorHAnsi" w:hAnsiTheme="minorHAnsi" w:cstheme="minorHAnsi"/>
        </w:rPr>
        <w:t xml:space="preserve"> </w:t>
      </w:r>
      <w:r w:rsidRPr="00924A72">
        <w:rPr>
          <w:rFonts w:asciiTheme="minorHAnsi" w:hAnsiTheme="minorHAnsi" w:cstheme="minorHAnsi"/>
        </w:rPr>
        <w:t xml:space="preserve">e </w:t>
      </w:r>
      <w:r w:rsidR="00B8227E" w:rsidRPr="00924A72">
        <w:rPr>
          <w:rFonts w:asciiTheme="minorHAnsi" w:hAnsiTheme="minorHAnsi" w:cstheme="minorHAnsi"/>
        </w:rPr>
        <w:t>31/12/</w:t>
      </w:r>
      <w:r w:rsidR="00427048" w:rsidRPr="00924A72">
        <w:rPr>
          <w:rFonts w:asciiTheme="minorHAnsi" w:hAnsiTheme="minorHAnsi" w:cstheme="minorHAnsi"/>
        </w:rPr>
        <w:t>202</w:t>
      </w:r>
      <w:r w:rsidR="00320160" w:rsidRPr="00924A72">
        <w:rPr>
          <w:rFonts w:asciiTheme="minorHAnsi" w:hAnsiTheme="minorHAnsi" w:cstheme="minorHAnsi"/>
        </w:rPr>
        <w:t>4</w:t>
      </w:r>
      <w:r w:rsidRPr="00924A72">
        <w:rPr>
          <w:rFonts w:asciiTheme="minorHAnsi" w:hAnsiTheme="minorHAnsi" w:cstheme="minorHAnsi"/>
        </w:rPr>
        <w:t xml:space="preserve">. Posteriormente à transição, </w:t>
      </w:r>
      <w:r w:rsidR="0091236A" w:rsidRPr="00924A72">
        <w:rPr>
          <w:rFonts w:asciiTheme="minorHAnsi" w:hAnsiTheme="minorHAnsi" w:cstheme="minorHAnsi"/>
        </w:rPr>
        <w:t>a</w:t>
      </w:r>
      <w:r w:rsidRPr="00924A72">
        <w:rPr>
          <w:rFonts w:asciiTheme="minorHAnsi" w:hAnsiTheme="minorHAnsi" w:cstheme="minorHAnsi"/>
        </w:rPr>
        <w:t xml:space="preserve"> ITG </w:t>
      </w:r>
      <w:r w:rsidR="00320160" w:rsidRPr="00924A72">
        <w:rPr>
          <w:rFonts w:asciiTheme="minorHAnsi" w:hAnsiTheme="minorHAnsi" w:cstheme="minorHAnsi"/>
        </w:rPr>
        <w:t>2003</w:t>
      </w:r>
      <w:r w:rsidR="00000D54" w:rsidRPr="00924A72">
        <w:rPr>
          <w:rFonts w:asciiTheme="minorHAnsi" w:hAnsiTheme="minorHAnsi" w:cstheme="minorHAnsi"/>
        </w:rPr>
        <w:t xml:space="preserve"> </w:t>
      </w:r>
      <w:r w:rsidR="00320160" w:rsidRPr="00924A72">
        <w:rPr>
          <w:rFonts w:asciiTheme="minorHAnsi" w:hAnsiTheme="minorHAnsi" w:cstheme="minorHAnsi"/>
          <w:bCs/>
          <w:iCs/>
        </w:rPr>
        <w:t>e sua alteração (R1)</w:t>
      </w:r>
      <w:r w:rsidRPr="00924A72">
        <w:rPr>
          <w:rFonts w:asciiTheme="minorHAnsi" w:hAnsiTheme="minorHAnsi" w:cstheme="minorHAnsi"/>
        </w:rPr>
        <w:t xml:space="preserve"> </w:t>
      </w:r>
      <w:r w:rsidRPr="003E085F">
        <w:rPr>
          <w:rFonts w:asciiTheme="minorHAnsi" w:hAnsiTheme="minorHAnsi" w:cstheme="minorHAnsi"/>
          <w:bCs/>
          <w:iCs/>
        </w:rPr>
        <w:t>perdem</w:t>
      </w:r>
      <w:r w:rsidRPr="00924A72">
        <w:rPr>
          <w:rFonts w:asciiTheme="minorHAnsi" w:hAnsiTheme="minorHAnsi" w:cstheme="minorHAnsi"/>
        </w:rPr>
        <w:t xml:space="preserve"> efeito</w:t>
      </w:r>
      <w:r w:rsidR="00F9327D">
        <w:rPr>
          <w:rFonts w:asciiTheme="minorHAnsi" w:hAnsiTheme="minorHAnsi" w:cstheme="minorHAnsi"/>
        </w:rPr>
        <w:t>,</w:t>
      </w:r>
      <w:r w:rsidRPr="00924A72">
        <w:rPr>
          <w:rFonts w:asciiTheme="minorHAnsi" w:hAnsiTheme="minorHAnsi" w:cstheme="minorHAnsi"/>
        </w:rPr>
        <w:t xml:space="preserve"> e as Entidades Desportivas passam a seguir exclusivamente os Princípios de Contabilidade, bem como as Normas Brasileiras de Contabilidade, suas Interpretações Técnicas e Comunicados Técnicos, editados pelo Conselho Federal de Contabilidade.</w:t>
      </w:r>
    </w:p>
    <w:p w14:paraId="0B52CE52" w14:textId="77777777" w:rsidR="003E085F" w:rsidRDefault="003E085F" w:rsidP="003E085F">
      <w:pPr>
        <w:pStyle w:val="PargrafodaLista"/>
        <w:tabs>
          <w:tab w:val="left" w:pos="567"/>
        </w:tabs>
        <w:spacing w:after="120"/>
        <w:ind w:left="360"/>
        <w:jc w:val="both"/>
        <w:rPr>
          <w:rFonts w:asciiTheme="minorHAnsi" w:hAnsiTheme="minorHAnsi" w:cstheme="minorHAnsi"/>
          <w:b/>
          <w:color w:val="000000"/>
        </w:rPr>
      </w:pPr>
    </w:p>
    <w:p w14:paraId="2BEECFCE" w14:textId="7F2B1E79" w:rsidR="00937721" w:rsidRPr="00924A72" w:rsidRDefault="0002578D" w:rsidP="003E085F">
      <w:pPr>
        <w:pStyle w:val="PargrafodaLista"/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0000"/>
        </w:rPr>
        <w:t>Alcance</w:t>
      </w:r>
    </w:p>
    <w:p w14:paraId="03A6D2B8" w14:textId="73728516" w:rsidR="00937721" w:rsidRPr="00924A72" w:rsidRDefault="00E952A1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  <w:color w:val="000000"/>
        </w:rPr>
        <w:t>Aplicam-se à entidade desportiva profissional e não profissional esta interpretação e as</w:t>
      </w:r>
      <w:r w:rsidR="00A9755C" w:rsidRPr="00924A72">
        <w:rPr>
          <w:rFonts w:asciiTheme="minorHAnsi" w:hAnsiTheme="minorHAnsi" w:cstheme="minorHAnsi"/>
          <w:bCs/>
          <w:color w:val="000000"/>
        </w:rPr>
        <w:t xml:space="preserve"> </w:t>
      </w:r>
      <w:r w:rsidRPr="00924A72">
        <w:rPr>
          <w:rFonts w:asciiTheme="minorHAnsi" w:hAnsiTheme="minorHAnsi" w:cstheme="minorHAnsi"/>
          <w:bCs/>
          <w:color w:val="000000"/>
        </w:rPr>
        <w:t>Normas Brasileiras de Contabilidade editadas pelo Conselho Federal de Contabilidade.</w:t>
      </w:r>
    </w:p>
    <w:p w14:paraId="31EE8C9D" w14:textId="77777777" w:rsidR="00937721" w:rsidRPr="00924A72" w:rsidRDefault="00937721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/>
        </w:rPr>
      </w:pPr>
    </w:p>
    <w:p w14:paraId="279521DD" w14:textId="3063D905" w:rsidR="00937721" w:rsidRPr="00924A72" w:rsidRDefault="00937721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</w:rPr>
        <w:lastRenderedPageBreak/>
        <w:t>R</w:t>
      </w:r>
      <w:r w:rsidRPr="00924A72">
        <w:rPr>
          <w:rFonts w:asciiTheme="minorHAnsi" w:hAnsiTheme="minorHAnsi" w:cstheme="minorHAnsi"/>
          <w:bCs/>
          <w:color w:val="000000"/>
        </w:rPr>
        <w:t xml:space="preserve">egras de transição para itens </w:t>
      </w:r>
      <w:r w:rsidR="00D327A2" w:rsidRPr="00924A72">
        <w:rPr>
          <w:rFonts w:asciiTheme="minorHAnsi" w:hAnsiTheme="minorHAnsi" w:cstheme="minorHAnsi"/>
          <w:bCs/>
          <w:color w:val="000000"/>
        </w:rPr>
        <w:t xml:space="preserve">não aderentes às </w:t>
      </w:r>
      <w:r w:rsidR="00320160" w:rsidRPr="00924A72">
        <w:rPr>
          <w:rFonts w:asciiTheme="minorHAnsi" w:hAnsiTheme="minorHAnsi" w:cstheme="minorHAnsi"/>
          <w:bCs/>
          <w:color w:val="000000"/>
        </w:rPr>
        <w:t>normas</w:t>
      </w:r>
      <w:r w:rsidRPr="00924A72">
        <w:rPr>
          <w:rFonts w:asciiTheme="minorHAnsi" w:hAnsiTheme="minorHAnsi" w:cstheme="minorHAnsi"/>
          <w:bCs/>
          <w:color w:val="000000"/>
        </w:rPr>
        <w:t xml:space="preserve"> </w:t>
      </w:r>
      <w:r w:rsidR="00EC3FBA" w:rsidRPr="00924A72">
        <w:rPr>
          <w:rFonts w:asciiTheme="minorHAnsi" w:hAnsiTheme="minorHAnsi" w:cstheme="minorHAnsi"/>
          <w:bCs/>
          <w:color w:val="000000"/>
        </w:rPr>
        <w:t xml:space="preserve">internacionais de contabilidade, bem como às </w:t>
      </w:r>
      <w:r w:rsidR="0053515C" w:rsidRPr="00924A72">
        <w:rPr>
          <w:rFonts w:asciiTheme="minorHAnsi" w:hAnsiTheme="minorHAnsi" w:cstheme="minorHAnsi"/>
          <w:bCs/>
          <w:color w:val="000000"/>
        </w:rPr>
        <w:t xml:space="preserve">normas </w:t>
      </w:r>
      <w:r w:rsidRPr="00924A72">
        <w:rPr>
          <w:rFonts w:asciiTheme="minorHAnsi" w:hAnsiTheme="minorHAnsi" w:cstheme="minorHAnsi"/>
          <w:bCs/>
          <w:color w:val="000000"/>
        </w:rPr>
        <w:t>brasileiras</w:t>
      </w:r>
      <w:r w:rsidR="00591A82">
        <w:rPr>
          <w:rFonts w:asciiTheme="minorHAnsi" w:hAnsiTheme="minorHAnsi" w:cstheme="minorHAnsi"/>
          <w:bCs/>
          <w:color w:val="000000"/>
        </w:rPr>
        <w:t>,</w:t>
      </w:r>
      <w:r w:rsidRPr="00924A72">
        <w:rPr>
          <w:rFonts w:asciiTheme="minorHAnsi" w:hAnsiTheme="minorHAnsi" w:cstheme="minorHAnsi"/>
          <w:bCs/>
          <w:color w:val="000000"/>
        </w:rPr>
        <w:t xml:space="preserve"> e </w:t>
      </w:r>
      <w:r w:rsidRPr="00924A72">
        <w:rPr>
          <w:rFonts w:asciiTheme="minorHAnsi" w:hAnsiTheme="minorHAnsi" w:cstheme="minorHAnsi"/>
          <w:bCs/>
        </w:rPr>
        <w:t>que passam a vigorar com as seguintes redações:</w:t>
      </w:r>
    </w:p>
    <w:p w14:paraId="1F40EDAC" w14:textId="77777777" w:rsidR="00937721" w:rsidRPr="00924A72" w:rsidRDefault="00937721" w:rsidP="00E67C95">
      <w:pPr>
        <w:spacing w:after="120"/>
        <w:rPr>
          <w:rFonts w:asciiTheme="minorHAnsi" w:hAnsiTheme="minorHAnsi" w:cstheme="minorHAnsi"/>
          <w:lang w:eastAsia="x-none"/>
        </w:rPr>
      </w:pPr>
    </w:p>
    <w:p w14:paraId="18EA9B2B" w14:textId="24D36FAC" w:rsidR="00937721" w:rsidRPr="00924A72" w:rsidRDefault="00937721" w:rsidP="00E67C95">
      <w:pPr>
        <w:spacing w:after="120"/>
        <w:ind w:left="567"/>
        <w:rPr>
          <w:rFonts w:asciiTheme="minorHAnsi" w:hAnsiTheme="minorHAnsi" w:cstheme="minorHAnsi"/>
          <w:b/>
          <w:bCs/>
          <w:lang w:eastAsia="x-none"/>
        </w:rPr>
      </w:pPr>
      <w:r w:rsidRPr="00924A72">
        <w:rPr>
          <w:rFonts w:asciiTheme="minorHAnsi" w:hAnsiTheme="minorHAnsi" w:cstheme="minorHAnsi"/>
          <w:b/>
          <w:bCs/>
          <w:lang w:eastAsia="x-none"/>
        </w:rPr>
        <w:t>Extinção do intangível relacionado aos custos de formação</w:t>
      </w:r>
    </w:p>
    <w:p w14:paraId="3329D90D" w14:textId="78CB8F90" w:rsidR="00937721" w:rsidRPr="00924A72" w:rsidRDefault="00937721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</w:rPr>
        <w:t>O intangível relacionado aos custos de formação</w:t>
      </w:r>
      <w:r w:rsidR="006A05DB" w:rsidRPr="00924A72">
        <w:rPr>
          <w:rFonts w:asciiTheme="minorHAnsi" w:hAnsiTheme="minorHAnsi" w:cstheme="minorHAnsi"/>
          <w:bCs/>
        </w:rPr>
        <w:t xml:space="preserve"> de atletas</w:t>
      </w:r>
      <w:r w:rsidRPr="00924A72">
        <w:rPr>
          <w:rFonts w:asciiTheme="minorHAnsi" w:hAnsiTheme="minorHAnsi" w:cstheme="minorHAnsi"/>
          <w:bCs/>
        </w:rPr>
        <w:t xml:space="preserve"> </w:t>
      </w:r>
      <w:r w:rsidR="00FE4900" w:rsidRPr="00924A72">
        <w:rPr>
          <w:rFonts w:asciiTheme="minorHAnsi" w:hAnsiTheme="minorHAnsi" w:cstheme="minorHAnsi"/>
          <w:bCs/>
        </w:rPr>
        <w:t xml:space="preserve">será </w:t>
      </w:r>
      <w:r w:rsidRPr="00924A72">
        <w:rPr>
          <w:rFonts w:asciiTheme="minorHAnsi" w:hAnsiTheme="minorHAnsi" w:cstheme="minorHAnsi"/>
          <w:bCs/>
        </w:rPr>
        <w:t>extinto</w:t>
      </w:r>
      <w:r w:rsidR="00D83383" w:rsidRPr="00924A72">
        <w:rPr>
          <w:rFonts w:asciiTheme="minorHAnsi" w:hAnsiTheme="minorHAnsi" w:cstheme="minorHAnsi"/>
          <w:bCs/>
        </w:rPr>
        <w:t xml:space="preserve"> durante a transição</w:t>
      </w:r>
      <w:r w:rsidRPr="00924A72">
        <w:rPr>
          <w:rFonts w:asciiTheme="minorHAnsi" w:hAnsiTheme="minorHAnsi" w:cstheme="minorHAnsi"/>
          <w:bCs/>
        </w:rPr>
        <w:t xml:space="preserve"> para plena adequação às regras contábeis brasileiras e internacionais.</w:t>
      </w:r>
    </w:p>
    <w:p w14:paraId="677898B8" w14:textId="77777777" w:rsidR="00937721" w:rsidRPr="00924A72" w:rsidRDefault="00937721" w:rsidP="00E67C95">
      <w:pPr>
        <w:tabs>
          <w:tab w:val="left" w:pos="567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1887B23F" w14:textId="401288E6" w:rsidR="00937721" w:rsidRPr="00924A72" w:rsidRDefault="00937721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</w:rPr>
        <w:t xml:space="preserve">As entidades que </w:t>
      </w:r>
      <w:r w:rsidR="00CB29F3" w:rsidRPr="00924A72">
        <w:rPr>
          <w:rFonts w:asciiTheme="minorHAnsi" w:hAnsiTheme="minorHAnsi" w:cstheme="minorHAnsi"/>
          <w:bCs/>
        </w:rPr>
        <w:t xml:space="preserve">registram </w:t>
      </w:r>
      <w:r w:rsidRPr="00924A72">
        <w:rPr>
          <w:rFonts w:asciiTheme="minorHAnsi" w:hAnsiTheme="minorHAnsi" w:cstheme="minorHAnsi"/>
          <w:bCs/>
        </w:rPr>
        <w:t xml:space="preserve">gastos </w:t>
      </w:r>
      <w:r w:rsidR="00510ABE" w:rsidRPr="00924A72">
        <w:rPr>
          <w:rFonts w:asciiTheme="minorHAnsi" w:hAnsiTheme="minorHAnsi" w:cstheme="minorHAnsi"/>
          <w:bCs/>
        </w:rPr>
        <w:t xml:space="preserve">com </w:t>
      </w:r>
      <w:r w:rsidRPr="00924A72">
        <w:rPr>
          <w:rFonts w:asciiTheme="minorHAnsi" w:hAnsiTheme="minorHAnsi" w:cstheme="minorHAnsi"/>
          <w:bCs/>
        </w:rPr>
        <w:t xml:space="preserve">formação </w:t>
      </w:r>
      <w:r w:rsidR="00510ABE" w:rsidRPr="00924A72">
        <w:rPr>
          <w:rFonts w:asciiTheme="minorHAnsi" w:hAnsiTheme="minorHAnsi" w:cstheme="minorHAnsi"/>
          <w:bCs/>
        </w:rPr>
        <w:t xml:space="preserve">de atletas </w:t>
      </w:r>
      <w:r w:rsidRPr="00924A72">
        <w:rPr>
          <w:rFonts w:asciiTheme="minorHAnsi" w:hAnsiTheme="minorHAnsi" w:cstheme="minorHAnsi"/>
          <w:bCs/>
        </w:rPr>
        <w:t>no ativo intangível devem, a partir de 1</w:t>
      </w:r>
      <w:r w:rsidR="00591A82">
        <w:rPr>
          <w:rFonts w:asciiTheme="minorHAnsi" w:hAnsiTheme="minorHAnsi" w:cstheme="minorHAnsi"/>
          <w:bCs/>
        </w:rPr>
        <w:t>º</w:t>
      </w:r>
      <w:r w:rsidRPr="00924A72">
        <w:rPr>
          <w:rFonts w:asciiTheme="minorHAnsi" w:hAnsiTheme="minorHAnsi" w:cstheme="minorHAnsi"/>
          <w:bCs/>
        </w:rPr>
        <w:t>/1/</w:t>
      </w:r>
      <w:r w:rsidR="00FE4C74" w:rsidRPr="00924A72">
        <w:rPr>
          <w:rFonts w:asciiTheme="minorHAnsi" w:hAnsiTheme="minorHAnsi" w:cstheme="minorHAnsi"/>
          <w:bCs/>
        </w:rPr>
        <w:t>202</w:t>
      </w:r>
      <w:r w:rsidR="00320160" w:rsidRPr="00924A72">
        <w:rPr>
          <w:rFonts w:asciiTheme="minorHAnsi" w:hAnsiTheme="minorHAnsi" w:cstheme="minorHAnsi"/>
          <w:bCs/>
        </w:rPr>
        <w:t>4</w:t>
      </w:r>
      <w:r w:rsidRPr="00924A72">
        <w:rPr>
          <w:rFonts w:asciiTheme="minorHAnsi" w:hAnsiTheme="minorHAnsi" w:cstheme="minorHAnsi"/>
          <w:bCs/>
        </w:rPr>
        <w:t xml:space="preserve">, </w:t>
      </w:r>
      <w:r w:rsidR="00D06E78" w:rsidRPr="00924A72">
        <w:rPr>
          <w:rFonts w:asciiTheme="minorHAnsi" w:hAnsiTheme="minorHAnsi" w:cstheme="minorHAnsi"/>
          <w:bCs/>
        </w:rPr>
        <w:t>manter</w:t>
      </w:r>
      <w:r w:rsidRPr="00924A72">
        <w:rPr>
          <w:rFonts w:asciiTheme="minorHAnsi" w:hAnsiTheme="minorHAnsi" w:cstheme="minorHAnsi"/>
          <w:bCs/>
        </w:rPr>
        <w:t xml:space="preserve"> os registros contábeis dos referidos gastos, em contas de resultado. </w:t>
      </w:r>
    </w:p>
    <w:p w14:paraId="28CDE7D7" w14:textId="77777777" w:rsidR="00937721" w:rsidRPr="00924A72" w:rsidRDefault="00937721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Cs/>
        </w:rPr>
      </w:pPr>
    </w:p>
    <w:p w14:paraId="7E43EB7C" w14:textId="73C34654" w:rsidR="00937721" w:rsidRPr="00924A72" w:rsidRDefault="00F57609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</w:t>
      </w:r>
      <w:r w:rsidR="00937721" w:rsidRPr="00924A72">
        <w:rPr>
          <w:rFonts w:asciiTheme="minorHAnsi" w:hAnsiTheme="minorHAnsi" w:cstheme="minorHAnsi"/>
          <w:bCs/>
        </w:rPr>
        <w:t xml:space="preserve">s </w:t>
      </w:r>
      <w:r w:rsidR="005C0EB4" w:rsidRPr="00924A72">
        <w:rPr>
          <w:rFonts w:asciiTheme="minorHAnsi" w:hAnsiTheme="minorHAnsi" w:cstheme="minorHAnsi"/>
          <w:bCs/>
        </w:rPr>
        <w:t xml:space="preserve">saldos </w:t>
      </w:r>
      <w:r w:rsidR="00937721" w:rsidRPr="00924A72">
        <w:rPr>
          <w:rFonts w:asciiTheme="minorHAnsi" w:hAnsiTheme="minorHAnsi" w:cstheme="minorHAnsi"/>
          <w:bCs/>
        </w:rPr>
        <w:t xml:space="preserve">registrados </w:t>
      </w:r>
      <w:r w:rsidR="0043583C" w:rsidRPr="00924A72">
        <w:rPr>
          <w:rFonts w:asciiTheme="minorHAnsi" w:hAnsiTheme="minorHAnsi" w:cstheme="minorHAnsi"/>
          <w:bCs/>
        </w:rPr>
        <w:t xml:space="preserve">em </w:t>
      </w:r>
      <w:r w:rsidR="00937721" w:rsidRPr="00924A72">
        <w:rPr>
          <w:rFonts w:asciiTheme="minorHAnsi" w:hAnsiTheme="minorHAnsi" w:cstheme="minorHAnsi"/>
          <w:bCs/>
        </w:rPr>
        <w:t>31/12/</w:t>
      </w:r>
      <w:r w:rsidR="00FE4C74" w:rsidRPr="00924A72">
        <w:rPr>
          <w:rFonts w:asciiTheme="minorHAnsi" w:hAnsiTheme="minorHAnsi" w:cstheme="minorHAnsi"/>
          <w:bCs/>
        </w:rPr>
        <w:t>202</w:t>
      </w:r>
      <w:r w:rsidR="00320160" w:rsidRPr="00924A72">
        <w:rPr>
          <w:rFonts w:asciiTheme="minorHAnsi" w:hAnsiTheme="minorHAnsi" w:cstheme="minorHAnsi"/>
          <w:bCs/>
        </w:rPr>
        <w:t>3</w:t>
      </w:r>
      <w:r w:rsidR="00937721" w:rsidRPr="00924A72">
        <w:rPr>
          <w:rFonts w:asciiTheme="minorHAnsi" w:hAnsiTheme="minorHAnsi" w:cstheme="minorHAnsi"/>
          <w:bCs/>
        </w:rPr>
        <w:t xml:space="preserve"> devem ser avaliados e segregados entre valores que não atendiam à regra de capitalização e valores que foram corretamente registrados como intangíveis</w:t>
      </w:r>
      <w:r>
        <w:rPr>
          <w:rFonts w:asciiTheme="minorHAnsi" w:hAnsiTheme="minorHAnsi" w:cstheme="minorHAnsi"/>
          <w:bCs/>
        </w:rPr>
        <w:t>,</w:t>
      </w:r>
      <w:r w:rsidR="00937721" w:rsidRPr="00924A72">
        <w:rPr>
          <w:rFonts w:asciiTheme="minorHAnsi" w:hAnsiTheme="minorHAnsi" w:cstheme="minorHAnsi"/>
          <w:bCs/>
        </w:rPr>
        <w:t xml:space="preserve"> conforme regras descritas na ITG 2003 (R1).</w:t>
      </w:r>
    </w:p>
    <w:p w14:paraId="0EADDFB9" w14:textId="77777777" w:rsidR="00937721" w:rsidRPr="00924A72" w:rsidRDefault="00937721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Cs/>
        </w:rPr>
      </w:pPr>
    </w:p>
    <w:p w14:paraId="3F6C706F" w14:textId="0902953B" w:rsidR="00937721" w:rsidRPr="00924A72" w:rsidRDefault="00937721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</w:rPr>
        <w:t xml:space="preserve">Os valores registrados </w:t>
      </w:r>
      <w:r w:rsidR="00F57609" w:rsidRPr="00924A72">
        <w:rPr>
          <w:rFonts w:asciiTheme="minorHAnsi" w:hAnsiTheme="minorHAnsi" w:cstheme="minorHAnsi"/>
          <w:bCs/>
        </w:rPr>
        <w:t xml:space="preserve">como ativos intangíveis </w:t>
      </w:r>
      <w:r w:rsidR="00D740AF" w:rsidRPr="00924A72">
        <w:rPr>
          <w:rFonts w:asciiTheme="minorHAnsi" w:hAnsiTheme="minorHAnsi" w:cstheme="minorHAnsi"/>
          <w:bCs/>
        </w:rPr>
        <w:t>em desacordo com esta Interpretação</w:t>
      </w:r>
      <w:r w:rsidRPr="00924A72">
        <w:rPr>
          <w:rFonts w:asciiTheme="minorHAnsi" w:hAnsiTheme="minorHAnsi" w:cstheme="minorHAnsi"/>
          <w:bCs/>
        </w:rPr>
        <w:t xml:space="preserve"> devem ser ajustados</w:t>
      </w:r>
      <w:r w:rsidR="00F57609">
        <w:rPr>
          <w:rFonts w:asciiTheme="minorHAnsi" w:hAnsiTheme="minorHAnsi" w:cstheme="minorHAnsi"/>
          <w:bCs/>
        </w:rPr>
        <w:t>,</w:t>
      </w:r>
      <w:r w:rsidRPr="00924A72">
        <w:rPr>
          <w:rFonts w:asciiTheme="minorHAnsi" w:hAnsiTheme="minorHAnsi" w:cstheme="minorHAnsi"/>
          <w:bCs/>
        </w:rPr>
        <w:t xml:space="preserve"> retrospectivamente</w:t>
      </w:r>
      <w:r w:rsidR="00F57609">
        <w:rPr>
          <w:rFonts w:asciiTheme="minorHAnsi" w:hAnsiTheme="minorHAnsi" w:cstheme="minorHAnsi"/>
          <w:bCs/>
        </w:rPr>
        <w:t>,</w:t>
      </w:r>
      <w:r w:rsidRPr="00924A72">
        <w:rPr>
          <w:rFonts w:asciiTheme="minorHAnsi" w:hAnsiTheme="minorHAnsi" w:cstheme="minorHAnsi"/>
          <w:bCs/>
        </w:rPr>
        <w:t xml:space="preserve"> como retificação de erro, conforme regras emanadas pela NBC TG 23 </w:t>
      </w:r>
      <w:r w:rsidR="00F57609">
        <w:rPr>
          <w:rFonts w:asciiTheme="minorHAnsi" w:hAnsiTheme="minorHAnsi" w:cstheme="minorHAnsi"/>
          <w:bCs/>
        </w:rPr>
        <w:t>–</w:t>
      </w:r>
      <w:r w:rsidRPr="00924A72">
        <w:rPr>
          <w:rFonts w:asciiTheme="minorHAnsi" w:hAnsiTheme="minorHAnsi" w:cstheme="minorHAnsi"/>
          <w:bCs/>
        </w:rPr>
        <w:t xml:space="preserve"> Políticas Contábeis, Mudança de Estimativa e Retificação de Erro.</w:t>
      </w:r>
    </w:p>
    <w:p w14:paraId="3E221CF4" w14:textId="77777777" w:rsidR="00937721" w:rsidRPr="00924A72" w:rsidRDefault="00937721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Cs/>
        </w:rPr>
      </w:pPr>
    </w:p>
    <w:p w14:paraId="3DBD932F" w14:textId="4CB1A25B" w:rsidR="00937721" w:rsidRPr="00924A72" w:rsidRDefault="00937721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</w:rPr>
        <w:t>Os valores registrados adequadamente, conforme ITG 2003 (R1), devem reconhecer a baixa integral do saldo referente aos custos de formação como ajuste ao saldo de abertura de lucros acumulados (ou outro componente do patrimônio líquido, conforme apropriado) em 1</w:t>
      </w:r>
      <w:r w:rsidR="00F57609">
        <w:rPr>
          <w:rFonts w:asciiTheme="minorHAnsi" w:hAnsiTheme="minorHAnsi" w:cstheme="minorHAnsi"/>
          <w:bCs/>
        </w:rPr>
        <w:t>º</w:t>
      </w:r>
      <w:r w:rsidRPr="00924A72">
        <w:rPr>
          <w:rFonts w:asciiTheme="minorHAnsi" w:hAnsiTheme="minorHAnsi" w:cstheme="minorHAnsi"/>
          <w:bCs/>
        </w:rPr>
        <w:t>/1/</w:t>
      </w:r>
      <w:r w:rsidR="00445BC8" w:rsidRPr="00924A72">
        <w:rPr>
          <w:rFonts w:asciiTheme="minorHAnsi" w:hAnsiTheme="minorHAnsi" w:cstheme="minorHAnsi"/>
          <w:bCs/>
        </w:rPr>
        <w:t>202</w:t>
      </w:r>
      <w:r w:rsidR="00320160" w:rsidRPr="00924A72">
        <w:rPr>
          <w:rFonts w:asciiTheme="minorHAnsi" w:hAnsiTheme="minorHAnsi" w:cstheme="minorHAnsi"/>
          <w:bCs/>
        </w:rPr>
        <w:t>4</w:t>
      </w:r>
      <w:r w:rsidRPr="00924A72">
        <w:rPr>
          <w:rFonts w:asciiTheme="minorHAnsi" w:hAnsiTheme="minorHAnsi" w:cstheme="minorHAnsi"/>
          <w:bCs/>
        </w:rPr>
        <w:t>.</w:t>
      </w:r>
    </w:p>
    <w:p w14:paraId="2CC4440C" w14:textId="77777777" w:rsidR="00937721" w:rsidRPr="00924A72" w:rsidRDefault="00937721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Cs/>
        </w:rPr>
      </w:pPr>
    </w:p>
    <w:p w14:paraId="00734F43" w14:textId="55AE60B6" w:rsidR="00937721" w:rsidRPr="00924A72" w:rsidRDefault="00937721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/>
        </w:rPr>
      </w:pPr>
      <w:r w:rsidRPr="00924A72">
        <w:rPr>
          <w:rFonts w:asciiTheme="minorHAnsi" w:hAnsiTheme="minorHAnsi" w:cstheme="minorHAnsi"/>
          <w:b/>
        </w:rPr>
        <w:t xml:space="preserve">Classificação </w:t>
      </w:r>
      <w:r w:rsidR="00933E1D" w:rsidRPr="00924A72">
        <w:rPr>
          <w:rFonts w:asciiTheme="minorHAnsi" w:hAnsiTheme="minorHAnsi" w:cstheme="minorHAnsi"/>
          <w:b/>
        </w:rPr>
        <w:t>d</w:t>
      </w:r>
      <w:r w:rsidR="00F57609">
        <w:rPr>
          <w:rFonts w:asciiTheme="minorHAnsi" w:hAnsiTheme="minorHAnsi" w:cstheme="minorHAnsi"/>
          <w:b/>
        </w:rPr>
        <w:t>e</w:t>
      </w:r>
      <w:r w:rsidR="00933E1D" w:rsidRPr="00924A72">
        <w:rPr>
          <w:rFonts w:asciiTheme="minorHAnsi" w:hAnsiTheme="minorHAnsi" w:cstheme="minorHAnsi"/>
          <w:b/>
        </w:rPr>
        <w:t xml:space="preserve"> </w:t>
      </w:r>
      <w:r w:rsidR="006F02ED" w:rsidRPr="00924A72">
        <w:rPr>
          <w:rFonts w:asciiTheme="minorHAnsi" w:hAnsiTheme="minorHAnsi" w:cstheme="minorHAnsi"/>
          <w:b/>
        </w:rPr>
        <w:t>ganhos ou perdas nas</w:t>
      </w:r>
      <w:r w:rsidRPr="00924A72">
        <w:rPr>
          <w:rFonts w:asciiTheme="minorHAnsi" w:hAnsiTheme="minorHAnsi" w:cstheme="minorHAnsi"/>
          <w:b/>
        </w:rPr>
        <w:t xml:space="preserve"> transações </w:t>
      </w:r>
      <w:r w:rsidR="003B4215" w:rsidRPr="00924A72">
        <w:rPr>
          <w:rFonts w:asciiTheme="minorHAnsi" w:hAnsiTheme="minorHAnsi" w:cstheme="minorHAnsi"/>
          <w:b/>
        </w:rPr>
        <w:t xml:space="preserve">com </w:t>
      </w:r>
      <w:r w:rsidRPr="00924A72">
        <w:rPr>
          <w:rFonts w:asciiTheme="minorHAnsi" w:hAnsiTheme="minorHAnsi" w:cstheme="minorHAnsi"/>
          <w:b/>
        </w:rPr>
        <w:t>cessão de direitos profissionais sobre atletas</w:t>
      </w:r>
    </w:p>
    <w:p w14:paraId="65404C94" w14:textId="1380C524" w:rsidR="007D3051" w:rsidRPr="00924A72" w:rsidRDefault="00D302F1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</w:rPr>
        <w:t>Os ganhos</w:t>
      </w:r>
      <w:r w:rsidR="00C25A1A" w:rsidRPr="00924A72">
        <w:rPr>
          <w:rFonts w:asciiTheme="minorHAnsi" w:hAnsiTheme="minorHAnsi" w:cstheme="minorHAnsi"/>
          <w:bCs/>
        </w:rPr>
        <w:t xml:space="preserve"> provenientes de</w:t>
      </w:r>
      <w:r w:rsidR="00AE63E2" w:rsidRPr="00924A72">
        <w:rPr>
          <w:rFonts w:asciiTheme="minorHAnsi" w:hAnsiTheme="minorHAnsi" w:cstheme="minorHAnsi"/>
          <w:bCs/>
        </w:rPr>
        <w:t xml:space="preserve"> </w:t>
      </w:r>
      <w:r w:rsidR="00C25A1A" w:rsidRPr="00924A72">
        <w:rPr>
          <w:rFonts w:asciiTheme="minorHAnsi" w:hAnsiTheme="minorHAnsi" w:cstheme="minorHAnsi"/>
          <w:bCs/>
        </w:rPr>
        <w:t>alienações</w:t>
      </w:r>
      <w:r w:rsidR="0024326E" w:rsidRPr="00924A72">
        <w:rPr>
          <w:rFonts w:asciiTheme="minorHAnsi" w:hAnsiTheme="minorHAnsi" w:cstheme="minorHAnsi"/>
          <w:bCs/>
        </w:rPr>
        <w:t xml:space="preserve"> do ativo intangível</w:t>
      </w:r>
      <w:r w:rsidR="009A0A12" w:rsidRPr="00924A72">
        <w:rPr>
          <w:rFonts w:asciiTheme="minorHAnsi" w:hAnsiTheme="minorHAnsi" w:cstheme="minorHAnsi"/>
          <w:bCs/>
        </w:rPr>
        <w:t>, independente</w:t>
      </w:r>
      <w:r w:rsidR="00F57609">
        <w:rPr>
          <w:rFonts w:asciiTheme="minorHAnsi" w:hAnsiTheme="minorHAnsi" w:cstheme="minorHAnsi"/>
          <w:bCs/>
        </w:rPr>
        <w:t>mente</w:t>
      </w:r>
      <w:r w:rsidR="009A0A12" w:rsidRPr="00924A72">
        <w:rPr>
          <w:rFonts w:asciiTheme="minorHAnsi" w:hAnsiTheme="minorHAnsi" w:cstheme="minorHAnsi"/>
          <w:bCs/>
        </w:rPr>
        <w:t xml:space="preserve"> do objeto</w:t>
      </w:r>
      <w:r w:rsidR="00763A11" w:rsidRPr="00924A72">
        <w:rPr>
          <w:rFonts w:asciiTheme="minorHAnsi" w:hAnsiTheme="minorHAnsi" w:cstheme="minorHAnsi"/>
          <w:bCs/>
        </w:rPr>
        <w:t xml:space="preserve"> de exploração ou atividade principal da entidade desportiva,</w:t>
      </w:r>
      <w:r w:rsidR="0024326E" w:rsidRPr="00924A72">
        <w:rPr>
          <w:rFonts w:asciiTheme="minorHAnsi" w:hAnsiTheme="minorHAnsi" w:cstheme="minorHAnsi"/>
          <w:bCs/>
        </w:rPr>
        <w:t xml:space="preserve"> </w:t>
      </w:r>
      <w:r w:rsidR="007C3EC2" w:rsidRPr="00924A72">
        <w:rPr>
          <w:rFonts w:asciiTheme="minorHAnsi" w:hAnsiTheme="minorHAnsi" w:cstheme="minorHAnsi"/>
          <w:bCs/>
        </w:rPr>
        <w:t>oriund</w:t>
      </w:r>
      <w:r w:rsidR="009B0D6B" w:rsidRPr="00924A72">
        <w:rPr>
          <w:rFonts w:asciiTheme="minorHAnsi" w:hAnsiTheme="minorHAnsi" w:cstheme="minorHAnsi"/>
          <w:bCs/>
        </w:rPr>
        <w:t>o</w:t>
      </w:r>
      <w:r w:rsidR="007C3EC2" w:rsidRPr="00924A72">
        <w:rPr>
          <w:rFonts w:asciiTheme="minorHAnsi" w:hAnsiTheme="minorHAnsi" w:cstheme="minorHAnsi"/>
          <w:bCs/>
        </w:rPr>
        <w:t>s de</w:t>
      </w:r>
      <w:r w:rsidR="000F25C2" w:rsidRPr="00924A72">
        <w:rPr>
          <w:rFonts w:asciiTheme="minorHAnsi" w:hAnsiTheme="minorHAnsi" w:cstheme="minorHAnsi"/>
          <w:bCs/>
        </w:rPr>
        <w:t xml:space="preserve"> </w:t>
      </w:r>
      <w:r w:rsidR="005E6190" w:rsidRPr="00924A72">
        <w:rPr>
          <w:rFonts w:asciiTheme="minorHAnsi" w:hAnsiTheme="minorHAnsi" w:cstheme="minorHAnsi"/>
          <w:bCs/>
        </w:rPr>
        <w:t>transações com cessão de direitos profissionais sobre atletas</w:t>
      </w:r>
      <w:r w:rsidR="002F5BFE" w:rsidRPr="00924A72">
        <w:rPr>
          <w:rFonts w:asciiTheme="minorHAnsi" w:hAnsiTheme="minorHAnsi" w:cstheme="minorHAnsi"/>
          <w:bCs/>
        </w:rPr>
        <w:t>,</w:t>
      </w:r>
      <w:r w:rsidR="00A94F85" w:rsidRPr="00924A72">
        <w:rPr>
          <w:rFonts w:asciiTheme="minorHAnsi" w:hAnsiTheme="minorHAnsi" w:cstheme="minorHAnsi"/>
          <w:bCs/>
        </w:rPr>
        <w:t xml:space="preserve"> </w:t>
      </w:r>
      <w:r w:rsidR="005309D3" w:rsidRPr="00924A72">
        <w:rPr>
          <w:rFonts w:asciiTheme="minorHAnsi" w:hAnsiTheme="minorHAnsi" w:cstheme="minorHAnsi"/>
          <w:bCs/>
        </w:rPr>
        <w:t xml:space="preserve">não devem ser classificados </w:t>
      </w:r>
      <w:r w:rsidR="00E352AE" w:rsidRPr="00924A72">
        <w:rPr>
          <w:rFonts w:asciiTheme="minorHAnsi" w:hAnsiTheme="minorHAnsi" w:cstheme="minorHAnsi"/>
          <w:bCs/>
        </w:rPr>
        <w:t xml:space="preserve">como </w:t>
      </w:r>
      <w:r w:rsidR="007E3AFB" w:rsidRPr="00924A72">
        <w:rPr>
          <w:rFonts w:asciiTheme="minorHAnsi" w:hAnsiTheme="minorHAnsi" w:cstheme="minorHAnsi"/>
          <w:bCs/>
        </w:rPr>
        <w:t>receita</w:t>
      </w:r>
      <w:r w:rsidR="00D7633E" w:rsidRPr="00924A72">
        <w:rPr>
          <w:rFonts w:asciiTheme="minorHAnsi" w:hAnsiTheme="minorHAnsi" w:cstheme="minorHAnsi"/>
          <w:bCs/>
        </w:rPr>
        <w:t xml:space="preserve"> de </w:t>
      </w:r>
      <w:r w:rsidR="005F60AE" w:rsidRPr="00924A72">
        <w:rPr>
          <w:rFonts w:asciiTheme="minorHAnsi" w:hAnsiTheme="minorHAnsi" w:cstheme="minorHAnsi"/>
          <w:bCs/>
        </w:rPr>
        <w:t>venda</w:t>
      </w:r>
      <w:r w:rsidR="00EE3AFE" w:rsidRPr="00924A72">
        <w:rPr>
          <w:rFonts w:asciiTheme="minorHAnsi" w:hAnsiTheme="minorHAnsi" w:cstheme="minorHAnsi"/>
          <w:bCs/>
        </w:rPr>
        <w:t xml:space="preserve">, em atenção </w:t>
      </w:r>
      <w:r w:rsidR="00936ED1" w:rsidRPr="00924A72">
        <w:rPr>
          <w:rFonts w:asciiTheme="minorHAnsi" w:hAnsiTheme="minorHAnsi" w:cstheme="minorHAnsi"/>
          <w:bCs/>
        </w:rPr>
        <w:t xml:space="preserve">à </w:t>
      </w:r>
      <w:r w:rsidR="00AD145E" w:rsidRPr="00924A72">
        <w:rPr>
          <w:rFonts w:asciiTheme="minorHAnsi" w:hAnsiTheme="minorHAnsi" w:cstheme="minorHAnsi"/>
          <w:bCs/>
        </w:rPr>
        <w:t xml:space="preserve">NBC TG 04 (R4) – </w:t>
      </w:r>
      <w:r w:rsidR="00F57609" w:rsidRPr="00924A72">
        <w:rPr>
          <w:rFonts w:asciiTheme="minorHAnsi" w:hAnsiTheme="minorHAnsi" w:cstheme="minorHAnsi"/>
          <w:bCs/>
        </w:rPr>
        <w:t>Ativo Intangível</w:t>
      </w:r>
      <w:r w:rsidR="00AD145E" w:rsidRPr="00924A72">
        <w:rPr>
          <w:rFonts w:asciiTheme="minorHAnsi" w:hAnsiTheme="minorHAnsi" w:cstheme="minorHAnsi"/>
          <w:bCs/>
        </w:rPr>
        <w:t xml:space="preserve">, item </w:t>
      </w:r>
      <w:r w:rsidR="006A0052" w:rsidRPr="00924A72">
        <w:rPr>
          <w:rFonts w:asciiTheme="minorHAnsi" w:hAnsiTheme="minorHAnsi" w:cstheme="minorHAnsi"/>
          <w:bCs/>
        </w:rPr>
        <w:t>113</w:t>
      </w:r>
      <w:r w:rsidR="00F57609">
        <w:rPr>
          <w:rFonts w:asciiTheme="minorHAnsi" w:hAnsiTheme="minorHAnsi" w:cstheme="minorHAnsi"/>
          <w:bCs/>
        </w:rPr>
        <w:t>,</w:t>
      </w:r>
      <w:r w:rsidR="001C14B2" w:rsidRPr="00924A72">
        <w:rPr>
          <w:rFonts w:asciiTheme="minorHAnsi" w:hAnsiTheme="minorHAnsi" w:cstheme="minorHAnsi"/>
          <w:bCs/>
        </w:rPr>
        <w:t xml:space="preserve"> e </w:t>
      </w:r>
      <w:r w:rsidR="008F21F1">
        <w:rPr>
          <w:rFonts w:asciiTheme="minorHAnsi" w:hAnsiTheme="minorHAnsi" w:cstheme="minorHAnsi"/>
          <w:bCs/>
        </w:rPr>
        <w:t xml:space="preserve">ao </w:t>
      </w:r>
      <w:r w:rsidR="00796610" w:rsidRPr="00924A72">
        <w:rPr>
          <w:rFonts w:asciiTheme="minorHAnsi" w:hAnsiTheme="minorHAnsi" w:cstheme="minorHAnsi"/>
          <w:bCs/>
        </w:rPr>
        <w:t xml:space="preserve">respectivo pronunciamento </w:t>
      </w:r>
      <w:r w:rsidR="00354448">
        <w:rPr>
          <w:rFonts w:asciiTheme="minorHAnsi" w:hAnsiTheme="minorHAnsi" w:cstheme="minorHAnsi"/>
          <w:bCs/>
        </w:rPr>
        <w:t>do</w:t>
      </w:r>
      <w:r w:rsidR="00E42386" w:rsidRPr="00924A72">
        <w:rPr>
          <w:rFonts w:asciiTheme="minorHAnsi" w:hAnsiTheme="minorHAnsi" w:cstheme="minorHAnsi"/>
          <w:bCs/>
        </w:rPr>
        <w:t xml:space="preserve"> </w:t>
      </w:r>
      <w:r w:rsidR="00E42386" w:rsidRPr="003E085F">
        <w:rPr>
          <w:rFonts w:asciiTheme="minorHAnsi" w:hAnsiTheme="minorHAnsi" w:cstheme="minorHAnsi"/>
          <w:bCs/>
          <w:i/>
          <w:iCs/>
        </w:rPr>
        <w:t>International Accounting Standards Board</w:t>
      </w:r>
      <w:r w:rsidR="00CA6339" w:rsidRPr="00924A72">
        <w:rPr>
          <w:rFonts w:asciiTheme="minorHAnsi" w:hAnsiTheme="minorHAnsi" w:cstheme="minorHAnsi"/>
          <w:bCs/>
        </w:rPr>
        <w:t xml:space="preserve"> (</w:t>
      </w:r>
      <w:r w:rsidR="008F21F1">
        <w:rPr>
          <w:rFonts w:asciiTheme="minorHAnsi" w:hAnsiTheme="minorHAnsi" w:cstheme="minorHAnsi"/>
          <w:bCs/>
        </w:rPr>
        <w:t xml:space="preserve">Iasb) – </w:t>
      </w:r>
      <w:r w:rsidR="008A2AD4" w:rsidRPr="003E085F">
        <w:rPr>
          <w:rFonts w:asciiTheme="minorHAnsi" w:hAnsiTheme="minorHAnsi" w:cstheme="minorHAnsi"/>
          <w:bCs/>
          <w:i/>
          <w:iCs/>
        </w:rPr>
        <w:t>Player Transfer Payments</w:t>
      </w:r>
      <w:r w:rsidR="008A2AD4" w:rsidRPr="00924A72">
        <w:rPr>
          <w:rFonts w:asciiTheme="minorHAnsi" w:hAnsiTheme="minorHAnsi" w:cstheme="minorHAnsi"/>
          <w:bCs/>
        </w:rPr>
        <w:t xml:space="preserve"> (IAS 38 </w:t>
      </w:r>
      <w:r w:rsidR="008A2AD4" w:rsidRPr="003E085F">
        <w:rPr>
          <w:rFonts w:asciiTheme="minorHAnsi" w:hAnsiTheme="minorHAnsi" w:cstheme="minorHAnsi"/>
          <w:bCs/>
          <w:i/>
          <w:iCs/>
        </w:rPr>
        <w:t>Intangible Assets</w:t>
      </w:r>
      <w:r w:rsidR="008A2AD4" w:rsidRPr="00924A72">
        <w:rPr>
          <w:rFonts w:asciiTheme="minorHAnsi" w:hAnsiTheme="minorHAnsi" w:cstheme="minorHAnsi"/>
          <w:bCs/>
        </w:rPr>
        <w:t>)</w:t>
      </w:r>
      <w:r w:rsidR="00616A44" w:rsidRPr="00924A72">
        <w:rPr>
          <w:rFonts w:asciiTheme="minorHAnsi" w:hAnsiTheme="minorHAnsi" w:cstheme="minorHAnsi"/>
          <w:bCs/>
        </w:rPr>
        <w:t>.</w:t>
      </w:r>
    </w:p>
    <w:p w14:paraId="579BAAAB" w14:textId="302F1D22" w:rsidR="007D3051" w:rsidRPr="00924A72" w:rsidRDefault="007D3051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Cs/>
        </w:rPr>
      </w:pPr>
    </w:p>
    <w:p w14:paraId="1A7D76B3" w14:textId="7CADFFCE" w:rsidR="00707ED3" w:rsidRPr="00924A72" w:rsidRDefault="00E63F4E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</w:rPr>
        <w:t xml:space="preserve">Os ganhos ou </w:t>
      </w:r>
      <w:r w:rsidR="008F21F1">
        <w:rPr>
          <w:rFonts w:asciiTheme="minorHAnsi" w:hAnsiTheme="minorHAnsi" w:cstheme="minorHAnsi"/>
          <w:bCs/>
        </w:rPr>
        <w:t xml:space="preserve">as </w:t>
      </w:r>
      <w:r w:rsidRPr="00924A72">
        <w:rPr>
          <w:rFonts w:asciiTheme="minorHAnsi" w:hAnsiTheme="minorHAnsi" w:cstheme="minorHAnsi"/>
          <w:bCs/>
        </w:rPr>
        <w:t>perdas decorrentes da baixa de ativo intangível</w:t>
      </w:r>
      <w:r w:rsidR="00181548" w:rsidRPr="00924A72">
        <w:rPr>
          <w:rFonts w:asciiTheme="minorHAnsi" w:hAnsiTheme="minorHAnsi" w:cstheme="minorHAnsi"/>
          <w:bCs/>
        </w:rPr>
        <w:t xml:space="preserve"> </w:t>
      </w:r>
      <w:r w:rsidR="00B87257" w:rsidRPr="00924A72">
        <w:rPr>
          <w:rFonts w:asciiTheme="minorHAnsi" w:hAnsiTheme="minorHAnsi" w:cstheme="minorHAnsi"/>
          <w:bCs/>
        </w:rPr>
        <w:t>devem ser classifica</w:t>
      </w:r>
      <w:r w:rsidR="00B709F6" w:rsidRPr="00924A72">
        <w:rPr>
          <w:rFonts w:asciiTheme="minorHAnsi" w:hAnsiTheme="minorHAnsi" w:cstheme="minorHAnsi"/>
          <w:bCs/>
        </w:rPr>
        <w:t xml:space="preserve">dos </w:t>
      </w:r>
      <w:r w:rsidR="00F728B1" w:rsidRPr="00924A72">
        <w:rPr>
          <w:rFonts w:asciiTheme="minorHAnsi" w:hAnsiTheme="minorHAnsi" w:cstheme="minorHAnsi"/>
          <w:bCs/>
        </w:rPr>
        <w:t>em conta representativa de outras receitas e despesas operacionais, em atenção à estrutura definida pela NBC TG 26 (R5), no seu art</w:t>
      </w:r>
      <w:r w:rsidR="00E67C95">
        <w:rPr>
          <w:rFonts w:asciiTheme="minorHAnsi" w:hAnsiTheme="minorHAnsi" w:cstheme="minorHAnsi"/>
          <w:bCs/>
        </w:rPr>
        <w:t>.</w:t>
      </w:r>
      <w:r w:rsidR="00F728B1" w:rsidRPr="00924A72">
        <w:rPr>
          <w:rFonts w:asciiTheme="minorHAnsi" w:hAnsiTheme="minorHAnsi" w:cstheme="minorHAnsi"/>
          <w:bCs/>
        </w:rPr>
        <w:t xml:space="preserve"> 82, alínea (f), item (iii). Em caso de erro, a entidade deve seguir as regras da NBC TG 23 </w:t>
      </w:r>
      <w:r w:rsidR="00E67C95">
        <w:rPr>
          <w:rFonts w:asciiTheme="minorHAnsi" w:hAnsiTheme="minorHAnsi" w:cstheme="minorHAnsi"/>
          <w:bCs/>
        </w:rPr>
        <w:t>–</w:t>
      </w:r>
      <w:r w:rsidR="00F728B1" w:rsidRPr="00924A72">
        <w:rPr>
          <w:rFonts w:asciiTheme="minorHAnsi" w:hAnsiTheme="minorHAnsi" w:cstheme="minorHAnsi"/>
          <w:bCs/>
        </w:rPr>
        <w:t xml:space="preserve"> Políticas Contábeis, Mudança de Estimativa e Retificação de Erro para os ajustes devidos e efetuar a reapresentação retrospectiva, para fins de comparabilidade.</w:t>
      </w:r>
    </w:p>
    <w:p w14:paraId="4C5BA1E8" w14:textId="77777777" w:rsidR="00707ED3" w:rsidRPr="00924A72" w:rsidRDefault="00707ED3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Cs/>
        </w:rPr>
      </w:pPr>
    </w:p>
    <w:p w14:paraId="37A59FB3" w14:textId="77777777" w:rsidR="00937721" w:rsidRPr="00924A72" w:rsidRDefault="00937721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/>
        </w:rPr>
      </w:pPr>
      <w:r w:rsidRPr="00924A72">
        <w:rPr>
          <w:rFonts w:asciiTheme="minorHAnsi" w:hAnsiTheme="minorHAnsi" w:cstheme="minorHAnsi"/>
          <w:b/>
        </w:rPr>
        <w:t>Cessão temporária de direitos profissionais</w:t>
      </w:r>
    </w:p>
    <w:p w14:paraId="738F74B3" w14:textId="1990B905" w:rsidR="00937721" w:rsidRPr="00924A72" w:rsidRDefault="00937721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bCs/>
        </w:rPr>
      </w:pPr>
      <w:r w:rsidRPr="00924A72">
        <w:rPr>
          <w:rFonts w:asciiTheme="minorHAnsi" w:hAnsiTheme="minorHAnsi" w:cstheme="minorHAnsi"/>
          <w:bCs/>
        </w:rPr>
        <w:t xml:space="preserve">As </w:t>
      </w:r>
      <w:r w:rsidR="00A97B42" w:rsidRPr="00924A72">
        <w:rPr>
          <w:rFonts w:asciiTheme="minorHAnsi" w:hAnsiTheme="minorHAnsi" w:cstheme="minorHAnsi"/>
          <w:bCs/>
        </w:rPr>
        <w:t xml:space="preserve">entidades desportivas </w:t>
      </w:r>
      <w:r w:rsidRPr="00924A72">
        <w:rPr>
          <w:rFonts w:asciiTheme="minorHAnsi" w:hAnsiTheme="minorHAnsi" w:cstheme="minorHAnsi"/>
          <w:bCs/>
        </w:rPr>
        <w:t xml:space="preserve">devem avaliar a necessidade de registro </w:t>
      </w:r>
      <w:r w:rsidR="00320160" w:rsidRPr="00924A72">
        <w:rPr>
          <w:rFonts w:asciiTheme="minorHAnsi" w:hAnsiTheme="minorHAnsi" w:cstheme="minorHAnsi"/>
          <w:bCs/>
        </w:rPr>
        <w:t>das cessões temporárias</w:t>
      </w:r>
      <w:r w:rsidRPr="00924A72">
        <w:rPr>
          <w:rFonts w:asciiTheme="minorHAnsi" w:hAnsiTheme="minorHAnsi" w:cstheme="minorHAnsi"/>
          <w:bCs/>
        </w:rPr>
        <w:t xml:space="preserve"> de direitos profissionais</w:t>
      </w:r>
      <w:r w:rsidR="00413BD4" w:rsidRPr="00924A72">
        <w:rPr>
          <w:rFonts w:asciiTheme="minorHAnsi" w:hAnsiTheme="minorHAnsi" w:cstheme="minorHAnsi"/>
          <w:bCs/>
        </w:rPr>
        <w:t xml:space="preserve"> sobre atletas</w:t>
      </w:r>
      <w:r w:rsidR="00E67C95">
        <w:rPr>
          <w:rFonts w:asciiTheme="minorHAnsi" w:hAnsiTheme="minorHAnsi" w:cstheme="minorHAnsi"/>
          <w:bCs/>
        </w:rPr>
        <w:t>,</w:t>
      </w:r>
      <w:r w:rsidRPr="00924A72">
        <w:rPr>
          <w:rFonts w:asciiTheme="minorHAnsi" w:hAnsiTheme="minorHAnsi" w:cstheme="minorHAnsi"/>
          <w:bCs/>
        </w:rPr>
        <w:t xml:space="preserve"> </w:t>
      </w:r>
      <w:r w:rsidR="009E27E9" w:rsidRPr="00924A72">
        <w:rPr>
          <w:rFonts w:asciiTheme="minorHAnsi" w:hAnsiTheme="minorHAnsi" w:cstheme="minorHAnsi"/>
          <w:bCs/>
        </w:rPr>
        <w:t>em observância às</w:t>
      </w:r>
      <w:r w:rsidRPr="00924A72">
        <w:rPr>
          <w:rFonts w:asciiTheme="minorHAnsi" w:hAnsiTheme="minorHAnsi" w:cstheme="minorHAnsi"/>
          <w:bCs/>
        </w:rPr>
        <w:t xml:space="preserve"> regras emanadas pela NBC TG 06 (R3)</w:t>
      </w:r>
      <w:r w:rsidR="00E67C95">
        <w:rPr>
          <w:rFonts w:asciiTheme="minorHAnsi" w:hAnsiTheme="minorHAnsi" w:cstheme="minorHAnsi"/>
          <w:bCs/>
        </w:rPr>
        <w:t>,</w:t>
      </w:r>
      <w:r w:rsidRPr="00924A72">
        <w:rPr>
          <w:rFonts w:asciiTheme="minorHAnsi" w:hAnsiTheme="minorHAnsi" w:cstheme="minorHAnsi"/>
          <w:bCs/>
        </w:rPr>
        <w:t xml:space="preserve"> e seguir as regras de transição nela dispostas, considerando como data de aplicação 1</w:t>
      </w:r>
      <w:r w:rsidR="00E67C95">
        <w:rPr>
          <w:rFonts w:asciiTheme="minorHAnsi" w:hAnsiTheme="minorHAnsi" w:cstheme="minorHAnsi"/>
          <w:bCs/>
        </w:rPr>
        <w:t>º</w:t>
      </w:r>
      <w:r w:rsidRPr="00924A72">
        <w:rPr>
          <w:rFonts w:asciiTheme="minorHAnsi" w:hAnsiTheme="minorHAnsi" w:cstheme="minorHAnsi"/>
          <w:bCs/>
        </w:rPr>
        <w:t>/1/</w:t>
      </w:r>
      <w:r w:rsidR="00F346D8" w:rsidRPr="00924A72">
        <w:rPr>
          <w:rFonts w:asciiTheme="minorHAnsi" w:hAnsiTheme="minorHAnsi" w:cstheme="minorHAnsi"/>
          <w:bCs/>
        </w:rPr>
        <w:t>202</w:t>
      </w:r>
      <w:r w:rsidR="00320160" w:rsidRPr="00924A72">
        <w:rPr>
          <w:rFonts w:asciiTheme="minorHAnsi" w:hAnsiTheme="minorHAnsi" w:cstheme="minorHAnsi"/>
          <w:bCs/>
        </w:rPr>
        <w:t>4.</w:t>
      </w:r>
    </w:p>
    <w:p w14:paraId="2769F7A7" w14:textId="77777777" w:rsidR="00937721" w:rsidRPr="00924A72" w:rsidRDefault="00937721" w:rsidP="00E67C95">
      <w:pPr>
        <w:widowControl w:val="0"/>
        <w:spacing w:after="120"/>
        <w:ind w:right="57"/>
        <w:jc w:val="both"/>
        <w:rPr>
          <w:rFonts w:asciiTheme="minorHAnsi" w:hAnsiTheme="minorHAnsi" w:cstheme="minorHAnsi"/>
          <w:lang w:val="pt-PT"/>
        </w:rPr>
      </w:pPr>
    </w:p>
    <w:p w14:paraId="7759C979" w14:textId="4A932CB4" w:rsidR="00924A72" w:rsidRPr="00924A72" w:rsidRDefault="00924A72" w:rsidP="00E67C95">
      <w:pPr>
        <w:tabs>
          <w:tab w:val="left" w:pos="567"/>
        </w:tabs>
        <w:spacing w:after="120"/>
        <w:ind w:left="567"/>
        <w:jc w:val="both"/>
        <w:rPr>
          <w:rFonts w:asciiTheme="minorHAnsi" w:hAnsiTheme="minorHAnsi" w:cstheme="minorHAnsi"/>
          <w:b/>
        </w:rPr>
      </w:pPr>
      <w:r w:rsidRPr="00924A72">
        <w:rPr>
          <w:rFonts w:asciiTheme="minorHAnsi" w:hAnsiTheme="minorHAnsi" w:cstheme="minorHAnsi"/>
          <w:b/>
        </w:rPr>
        <w:t>Data da Vigência</w:t>
      </w:r>
    </w:p>
    <w:p w14:paraId="274E978A" w14:textId="6016A512" w:rsidR="00937721" w:rsidRPr="00924A72" w:rsidRDefault="00320160" w:rsidP="00E67C95">
      <w:pPr>
        <w:numPr>
          <w:ilvl w:val="0"/>
          <w:numId w:val="1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</w:rPr>
      </w:pPr>
      <w:r w:rsidRPr="00924A72">
        <w:rPr>
          <w:rFonts w:asciiTheme="minorHAnsi" w:hAnsiTheme="minorHAnsi" w:cstheme="minorHAnsi"/>
          <w:lang w:eastAsia="x-none"/>
        </w:rPr>
        <w:t xml:space="preserve">Esta </w:t>
      </w:r>
      <w:r w:rsidRPr="00924A72">
        <w:rPr>
          <w:rFonts w:asciiTheme="minorHAnsi" w:hAnsiTheme="minorHAnsi" w:cstheme="minorHAnsi"/>
          <w:bCs/>
        </w:rPr>
        <w:t>Norma</w:t>
      </w:r>
      <w:r w:rsidRPr="00924A72">
        <w:rPr>
          <w:rFonts w:asciiTheme="minorHAnsi" w:hAnsiTheme="minorHAnsi" w:cstheme="minorHAnsi"/>
          <w:lang w:eastAsia="x-none"/>
        </w:rPr>
        <w:t xml:space="preserve"> aplica-se às demonstrações contábeis para períodos iniciados em, ou após, 1º de janeiro de 2024 e revoga a ITG 2003, aprovada pela Resolução CFC n.º 1.429</w:t>
      </w:r>
      <w:r w:rsidR="00E67C95">
        <w:rPr>
          <w:rFonts w:asciiTheme="minorHAnsi" w:hAnsiTheme="minorHAnsi" w:cstheme="minorHAnsi"/>
          <w:lang w:eastAsia="x-none"/>
        </w:rPr>
        <w:t xml:space="preserve">, de 25 de janeiro de </w:t>
      </w:r>
      <w:r w:rsidRPr="00924A72">
        <w:rPr>
          <w:rFonts w:asciiTheme="minorHAnsi" w:hAnsiTheme="minorHAnsi" w:cstheme="minorHAnsi"/>
          <w:lang w:eastAsia="x-none"/>
        </w:rPr>
        <w:t>2013, e sua alteração (R1), publicadas no D</w:t>
      </w:r>
      <w:r w:rsidR="00E67C95">
        <w:rPr>
          <w:rFonts w:asciiTheme="minorHAnsi" w:hAnsiTheme="minorHAnsi" w:cstheme="minorHAnsi"/>
          <w:lang w:eastAsia="x-none"/>
        </w:rPr>
        <w:t xml:space="preserve">iário </w:t>
      </w:r>
      <w:r w:rsidRPr="00924A72">
        <w:rPr>
          <w:rFonts w:asciiTheme="minorHAnsi" w:hAnsiTheme="minorHAnsi" w:cstheme="minorHAnsi"/>
          <w:lang w:eastAsia="x-none"/>
        </w:rPr>
        <w:t>O</w:t>
      </w:r>
      <w:r w:rsidR="00E67C95">
        <w:rPr>
          <w:rFonts w:asciiTheme="minorHAnsi" w:hAnsiTheme="minorHAnsi" w:cstheme="minorHAnsi"/>
          <w:lang w:eastAsia="x-none"/>
        </w:rPr>
        <w:t xml:space="preserve">ficial da </w:t>
      </w:r>
      <w:r w:rsidRPr="00924A72">
        <w:rPr>
          <w:rFonts w:asciiTheme="minorHAnsi" w:hAnsiTheme="minorHAnsi" w:cstheme="minorHAnsi"/>
          <w:lang w:eastAsia="x-none"/>
        </w:rPr>
        <w:t>U</w:t>
      </w:r>
      <w:r w:rsidR="00E67C95">
        <w:rPr>
          <w:rFonts w:asciiTheme="minorHAnsi" w:hAnsiTheme="minorHAnsi" w:cstheme="minorHAnsi"/>
          <w:lang w:eastAsia="x-none"/>
        </w:rPr>
        <w:t>nião</w:t>
      </w:r>
      <w:r w:rsidRPr="00924A72">
        <w:rPr>
          <w:rFonts w:asciiTheme="minorHAnsi" w:hAnsiTheme="minorHAnsi" w:cstheme="minorHAnsi"/>
          <w:lang w:eastAsia="x-none"/>
        </w:rPr>
        <w:t>, Seção 1, de 30/1/2013 e 7/12/2017, respectivamente, e a OTG 2003, aprovada em 5/12/2019.</w:t>
      </w:r>
    </w:p>
    <w:p w14:paraId="507EDBB6" w14:textId="77777777" w:rsidR="00BB32C4" w:rsidRPr="00924A72" w:rsidRDefault="00BB32C4" w:rsidP="00E67C95">
      <w:pPr>
        <w:spacing w:after="120"/>
        <w:rPr>
          <w:rFonts w:asciiTheme="minorHAnsi" w:hAnsiTheme="minorHAnsi" w:cstheme="minorHAnsi"/>
        </w:rPr>
      </w:pPr>
    </w:p>
    <w:p w14:paraId="5E2AC1E8" w14:textId="444E806D" w:rsidR="00023B34" w:rsidRPr="00924A72" w:rsidRDefault="00023B34" w:rsidP="00E67C95">
      <w:pPr>
        <w:spacing w:after="120"/>
        <w:jc w:val="right"/>
        <w:rPr>
          <w:rFonts w:asciiTheme="minorHAnsi" w:hAnsiTheme="minorHAnsi" w:cstheme="minorHAnsi"/>
        </w:rPr>
      </w:pPr>
      <w:r w:rsidRPr="00924A72">
        <w:rPr>
          <w:rFonts w:asciiTheme="minorHAnsi" w:hAnsiTheme="minorHAnsi" w:cstheme="minorHAnsi"/>
        </w:rPr>
        <w:t>Brasília, xx de xxx de 2023.</w:t>
      </w:r>
    </w:p>
    <w:p w14:paraId="295DCD2E" w14:textId="77777777" w:rsidR="00023B34" w:rsidRPr="00924A72" w:rsidRDefault="00023B34" w:rsidP="00E67C95">
      <w:pPr>
        <w:spacing w:after="120"/>
        <w:jc w:val="right"/>
        <w:rPr>
          <w:rFonts w:asciiTheme="minorHAnsi" w:hAnsiTheme="minorHAnsi" w:cstheme="minorHAnsi"/>
        </w:rPr>
      </w:pPr>
    </w:p>
    <w:p w14:paraId="0E9526C5" w14:textId="77777777" w:rsidR="00023B34" w:rsidRPr="00924A72" w:rsidRDefault="00023B34" w:rsidP="00E67C95">
      <w:pPr>
        <w:spacing w:after="120"/>
        <w:jc w:val="center"/>
        <w:rPr>
          <w:rFonts w:asciiTheme="minorHAnsi" w:hAnsiTheme="minorHAnsi" w:cstheme="minorHAnsi"/>
        </w:rPr>
      </w:pPr>
      <w:r w:rsidRPr="00924A72">
        <w:rPr>
          <w:rFonts w:asciiTheme="minorHAnsi" w:hAnsiTheme="minorHAnsi" w:cstheme="minorHAnsi"/>
        </w:rPr>
        <w:t>CONTADOR AÉCIO PRADO DANTAS JÚNIOR</w:t>
      </w:r>
    </w:p>
    <w:p w14:paraId="0AFD0ADE" w14:textId="77777777" w:rsidR="00023B34" w:rsidRPr="00924A72" w:rsidRDefault="00023B34" w:rsidP="00E67C95">
      <w:pPr>
        <w:spacing w:after="120"/>
        <w:jc w:val="center"/>
        <w:rPr>
          <w:rFonts w:asciiTheme="minorHAnsi" w:hAnsiTheme="minorHAnsi" w:cstheme="minorHAnsi"/>
        </w:rPr>
      </w:pPr>
      <w:r w:rsidRPr="00924A72">
        <w:rPr>
          <w:rFonts w:asciiTheme="minorHAnsi" w:hAnsiTheme="minorHAnsi" w:cstheme="minorHAnsi"/>
        </w:rPr>
        <w:t>Presidente</w:t>
      </w:r>
    </w:p>
    <w:p w14:paraId="28969C13" w14:textId="77777777" w:rsidR="00023B34" w:rsidRPr="00924A72" w:rsidRDefault="00023B34" w:rsidP="00E67C95">
      <w:pPr>
        <w:spacing w:after="120"/>
        <w:jc w:val="center"/>
        <w:rPr>
          <w:rFonts w:asciiTheme="minorHAnsi" w:hAnsiTheme="minorHAnsi" w:cstheme="minorHAnsi"/>
        </w:rPr>
      </w:pPr>
    </w:p>
    <w:p w14:paraId="37EFE936" w14:textId="2721C2D3" w:rsidR="00023B34" w:rsidRPr="00924A72" w:rsidRDefault="00023B34" w:rsidP="00E67C95">
      <w:pPr>
        <w:spacing w:after="120"/>
        <w:rPr>
          <w:rFonts w:asciiTheme="minorHAnsi" w:hAnsiTheme="minorHAnsi" w:cstheme="minorHAnsi"/>
        </w:rPr>
      </w:pPr>
      <w:r w:rsidRPr="00924A72">
        <w:rPr>
          <w:rFonts w:asciiTheme="minorHAnsi" w:hAnsiTheme="minorHAnsi" w:cstheme="minorHAnsi"/>
        </w:rPr>
        <w:t>Ata CFC nº 1.0xx.</w:t>
      </w:r>
    </w:p>
    <w:sectPr w:rsidR="00023B34" w:rsidRPr="00924A72" w:rsidSect="00E67C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17A9" w14:textId="77777777" w:rsidR="00F9327D" w:rsidRDefault="00F9327D" w:rsidP="00F9327D">
      <w:r>
        <w:separator/>
      </w:r>
    </w:p>
  </w:endnote>
  <w:endnote w:type="continuationSeparator" w:id="0">
    <w:p w14:paraId="6F669F6D" w14:textId="77777777" w:rsidR="00F9327D" w:rsidRDefault="00F9327D" w:rsidP="00F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37FD" w14:textId="77777777" w:rsidR="00F9327D" w:rsidRDefault="00F932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D576" w14:textId="77777777" w:rsidR="00F9327D" w:rsidRDefault="00F9327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4ED8" w14:textId="77777777" w:rsidR="00F9327D" w:rsidRDefault="00F932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B41A" w14:textId="77777777" w:rsidR="00F9327D" w:rsidRDefault="00F9327D" w:rsidP="00F9327D">
      <w:r>
        <w:separator/>
      </w:r>
    </w:p>
  </w:footnote>
  <w:footnote w:type="continuationSeparator" w:id="0">
    <w:p w14:paraId="3F2BBC94" w14:textId="77777777" w:rsidR="00F9327D" w:rsidRDefault="00F9327D" w:rsidP="00F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9628" w14:textId="4980DCA7" w:rsidR="00F9327D" w:rsidRDefault="0002578D">
    <w:pPr>
      <w:pStyle w:val="Cabealho"/>
    </w:pPr>
    <w:r>
      <w:rPr>
        <w:noProof/>
      </w:rPr>
      <w:pict w14:anchorId="530031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737235" o:spid="_x0000_s2050" type="#_x0000_t136" style="position:absolute;margin-left:0;margin-top:0;width:503.55pt;height:215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1213" w14:textId="02BC7FA8" w:rsidR="00F9327D" w:rsidRDefault="0002578D">
    <w:pPr>
      <w:pStyle w:val="Cabealho"/>
    </w:pPr>
    <w:r>
      <w:rPr>
        <w:noProof/>
      </w:rPr>
      <w:pict w14:anchorId="0BF2F5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737236" o:spid="_x0000_s2051" type="#_x0000_t136" style="position:absolute;margin-left:0;margin-top:0;width:503.55pt;height:215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C401" w14:textId="2D27EFB6" w:rsidR="00F9327D" w:rsidRDefault="0002578D">
    <w:pPr>
      <w:pStyle w:val="Cabealho"/>
    </w:pPr>
    <w:r>
      <w:rPr>
        <w:noProof/>
      </w:rPr>
      <w:pict w14:anchorId="5C4063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4737234" o:spid="_x0000_s2049" type="#_x0000_t136" style="position:absolute;margin-left:0;margin-top:0;width:503.55pt;height:215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7934"/>
    <w:multiLevelType w:val="hybridMultilevel"/>
    <w:tmpl w:val="18303230"/>
    <w:lvl w:ilvl="0" w:tplc="AD6464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2348" w:hanging="360"/>
      </w:pPr>
    </w:lvl>
    <w:lvl w:ilvl="2" w:tplc="0416001B" w:tentative="1">
      <w:start w:val="1"/>
      <w:numFmt w:val="lowerRoman"/>
      <w:lvlText w:val="%3."/>
      <w:lvlJc w:val="right"/>
      <w:pPr>
        <w:ind w:left="3068" w:hanging="180"/>
      </w:pPr>
    </w:lvl>
    <w:lvl w:ilvl="3" w:tplc="0416000F" w:tentative="1">
      <w:start w:val="1"/>
      <w:numFmt w:val="decimal"/>
      <w:lvlText w:val="%4."/>
      <w:lvlJc w:val="left"/>
      <w:pPr>
        <w:ind w:left="3788" w:hanging="360"/>
      </w:pPr>
    </w:lvl>
    <w:lvl w:ilvl="4" w:tplc="04160019" w:tentative="1">
      <w:start w:val="1"/>
      <w:numFmt w:val="lowerLetter"/>
      <w:lvlText w:val="%5."/>
      <w:lvlJc w:val="left"/>
      <w:pPr>
        <w:ind w:left="4508" w:hanging="360"/>
      </w:pPr>
    </w:lvl>
    <w:lvl w:ilvl="5" w:tplc="0416001B" w:tentative="1">
      <w:start w:val="1"/>
      <w:numFmt w:val="lowerRoman"/>
      <w:lvlText w:val="%6."/>
      <w:lvlJc w:val="right"/>
      <w:pPr>
        <w:ind w:left="5228" w:hanging="180"/>
      </w:pPr>
    </w:lvl>
    <w:lvl w:ilvl="6" w:tplc="0416000F" w:tentative="1">
      <w:start w:val="1"/>
      <w:numFmt w:val="decimal"/>
      <w:lvlText w:val="%7."/>
      <w:lvlJc w:val="left"/>
      <w:pPr>
        <w:ind w:left="5948" w:hanging="360"/>
      </w:pPr>
    </w:lvl>
    <w:lvl w:ilvl="7" w:tplc="04160019" w:tentative="1">
      <w:start w:val="1"/>
      <w:numFmt w:val="lowerLetter"/>
      <w:lvlText w:val="%8."/>
      <w:lvlJc w:val="left"/>
      <w:pPr>
        <w:ind w:left="6668" w:hanging="360"/>
      </w:pPr>
    </w:lvl>
    <w:lvl w:ilvl="8" w:tplc="0416001B" w:tentative="1">
      <w:start w:val="1"/>
      <w:numFmt w:val="lowerRoman"/>
      <w:lvlText w:val="%9."/>
      <w:lvlJc w:val="right"/>
      <w:pPr>
        <w:ind w:left="7388" w:hanging="180"/>
      </w:pPr>
    </w:lvl>
  </w:abstractNum>
  <w:num w:numId="1" w16cid:durableId="2142111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721"/>
    <w:rsid w:val="00000D54"/>
    <w:rsid w:val="00007050"/>
    <w:rsid w:val="00023B34"/>
    <w:rsid w:val="0002578D"/>
    <w:rsid w:val="000629AC"/>
    <w:rsid w:val="00077B0F"/>
    <w:rsid w:val="000D0C2C"/>
    <w:rsid w:val="000E181A"/>
    <w:rsid w:val="000F25C2"/>
    <w:rsid w:val="001347DF"/>
    <w:rsid w:val="001415B2"/>
    <w:rsid w:val="00181548"/>
    <w:rsid w:val="00181E9D"/>
    <w:rsid w:val="001C14B2"/>
    <w:rsid w:val="001D6917"/>
    <w:rsid w:val="001E5FD5"/>
    <w:rsid w:val="001F0587"/>
    <w:rsid w:val="00212012"/>
    <w:rsid w:val="00215B0A"/>
    <w:rsid w:val="00224CBE"/>
    <w:rsid w:val="00227D57"/>
    <w:rsid w:val="00233A50"/>
    <w:rsid w:val="00241FA5"/>
    <w:rsid w:val="0024326E"/>
    <w:rsid w:val="00250B5C"/>
    <w:rsid w:val="002535D9"/>
    <w:rsid w:val="00292E27"/>
    <w:rsid w:val="002A1F6F"/>
    <w:rsid w:val="002B69DD"/>
    <w:rsid w:val="002C3D73"/>
    <w:rsid w:val="002D1DE2"/>
    <w:rsid w:val="002F5BFE"/>
    <w:rsid w:val="00320160"/>
    <w:rsid w:val="003473D5"/>
    <w:rsid w:val="00354448"/>
    <w:rsid w:val="003807EE"/>
    <w:rsid w:val="00387968"/>
    <w:rsid w:val="00394B05"/>
    <w:rsid w:val="003B08EC"/>
    <w:rsid w:val="003B4215"/>
    <w:rsid w:val="003C65A6"/>
    <w:rsid w:val="003E085F"/>
    <w:rsid w:val="003F1D6B"/>
    <w:rsid w:val="00404E8E"/>
    <w:rsid w:val="00413BD4"/>
    <w:rsid w:val="00427048"/>
    <w:rsid w:val="0043583C"/>
    <w:rsid w:val="00441D85"/>
    <w:rsid w:val="00445BC8"/>
    <w:rsid w:val="00474909"/>
    <w:rsid w:val="0048700C"/>
    <w:rsid w:val="004C57DE"/>
    <w:rsid w:val="004D0EE2"/>
    <w:rsid w:val="00510ABE"/>
    <w:rsid w:val="0051161C"/>
    <w:rsid w:val="005309D3"/>
    <w:rsid w:val="005321D8"/>
    <w:rsid w:val="0053515C"/>
    <w:rsid w:val="00544248"/>
    <w:rsid w:val="00564375"/>
    <w:rsid w:val="00582ECC"/>
    <w:rsid w:val="00591A82"/>
    <w:rsid w:val="005B4FF9"/>
    <w:rsid w:val="005B6FE9"/>
    <w:rsid w:val="005C0EB4"/>
    <w:rsid w:val="005D0DA1"/>
    <w:rsid w:val="005D6FF8"/>
    <w:rsid w:val="005E6190"/>
    <w:rsid w:val="005F1D6A"/>
    <w:rsid w:val="005F60AE"/>
    <w:rsid w:val="00614CDD"/>
    <w:rsid w:val="00616A44"/>
    <w:rsid w:val="00627506"/>
    <w:rsid w:val="006428C4"/>
    <w:rsid w:val="00687ED1"/>
    <w:rsid w:val="00693942"/>
    <w:rsid w:val="00693E46"/>
    <w:rsid w:val="00696F23"/>
    <w:rsid w:val="006A0052"/>
    <w:rsid w:val="006A05DB"/>
    <w:rsid w:val="006A694A"/>
    <w:rsid w:val="006B1C50"/>
    <w:rsid w:val="006B695B"/>
    <w:rsid w:val="006D14E4"/>
    <w:rsid w:val="006E0AE8"/>
    <w:rsid w:val="006F02ED"/>
    <w:rsid w:val="006F0EC7"/>
    <w:rsid w:val="0070426C"/>
    <w:rsid w:val="00707ED3"/>
    <w:rsid w:val="0074016B"/>
    <w:rsid w:val="00740CF2"/>
    <w:rsid w:val="00750036"/>
    <w:rsid w:val="00763A11"/>
    <w:rsid w:val="00770AB2"/>
    <w:rsid w:val="00770EC9"/>
    <w:rsid w:val="00774E3E"/>
    <w:rsid w:val="00782AE1"/>
    <w:rsid w:val="00785ED6"/>
    <w:rsid w:val="007929D8"/>
    <w:rsid w:val="0079534A"/>
    <w:rsid w:val="007955AC"/>
    <w:rsid w:val="00796610"/>
    <w:rsid w:val="007C3EC2"/>
    <w:rsid w:val="007D3051"/>
    <w:rsid w:val="007E3AFB"/>
    <w:rsid w:val="00863348"/>
    <w:rsid w:val="00865FB4"/>
    <w:rsid w:val="008A25D2"/>
    <w:rsid w:val="008A2AD4"/>
    <w:rsid w:val="008D5479"/>
    <w:rsid w:val="008E0200"/>
    <w:rsid w:val="008F21F1"/>
    <w:rsid w:val="008F538D"/>
    <w:rsid w:val="00901FDC"/>
    <w:rsid w:val="00903C0A"/>
    <w:rsid w:val="00905EB5"/>
    <w:rsid w:val="0091074E"/>
    <w:rsid w:val="0091236A"/>
    <w:rsid w:val="009157A3"/>
    <w:rsid w:val="00916BD3"/>
    <w:rsid w:val="00924A72"/>
    <w:rsid w:val="00926876"/>
    <w:rsid w:val="0093243E"/>
    <w:rsid w:val="00933E1D"/>
    <w:rsid w:val="00936ED1"/>
    <w:rsid w:val="00937721"/>
    <w:rsid w:val="00937844"/>
    <w:rsid w:val="00943DB2"/>
    <w:rsid w:val="00962478"/>
    <w:rsid w:val="00965BFC"/>
    <w:rsid w:val="00990FB3"/>
    <w:rsid w:val="009A0A12"/>
    <w:rsid w:val="009A15E5"/>
    <w:rsid w:val="009B0D6B"/>
    <w:rsid w:val="009C2856"/>
    <w:rsid w:val="009C4882"/>
    <w:rsid w:val="009D40C6"/>
    <w:rsid w:val="009E27E9"/>
    <w:rsid w:val="009E3CA5"/>
    <w:rsid w:val="00A1075E"/>
    <w:rsid w:val="00A15128"/>
    <w:rsid w:val="00A26FD1"/>
    <w:rsid w:val="00A36222"/>
    <w:rsid w:val="00A51E4B"/>
    <w:rsid w:val="00A52DA9"/>
    <w:rsid w:val="00A75017"/>
    <w:rsid w:val="00A94F85"/>
    <w:rsid w:val="00A9755C"/>
    <w:rsid w:val="00A97B42"/>
    <w:rsid w:val="00AB29E0"/>
    <w:rsid w:val="00AC1184"/>
    <w:rsid w:val="00AD145E"/>
    <w:rsid w:val="00AE63E2"/>
    <w:rsid w:val="00B11F32"/>
    <w:rsid w:val="00B12C56"/>
    <w:rsid w:val="00B20386"/>
    <w:rsid w:val="00B20889"/>
    <w:rsid w:val="00B3011F"/>
    <w:rsid w:val="00B30DB0"/>
    <w:rsid w:val="00B621BE"/>
    <w:rsid w:val="00B709F6"/>
    <w:rsid w:val="00B71E8B"/>
    <w:rsid w:val="00B8227E"/>
    <w:rsid w:val="00B87257"/>
    <w:rsid w:val="00BA5AED"/>
    <w:rsid w:val="00BB32C4"/>
    <w:rsid w:val="00BB5F7A"/>
    <w:rsid w:val="00BD2AFB"/>
    <w:rsid w:val="00BF51D8"/>
    <w:rsid w:val="00BF590A"/>
    <w:rsid w:val="00C03DA2"/>
    <w:rsid w:val="00C2369F"/>
    <w:rsid w:val="00C25A1A"/>
    <w:rsid w:val="00C340FB"/>
    <w:rsid w:val="00C37455"/>
    <w:rsid w:val="00C42EAA"/>
    <w:rsid w:val="00C50759"/>
    <w:rsid w:val="00C60080"/>
    <w:rsid w:val="00C66B99"/>
    <w:rsid w:val="00C66FD9"/>
    <w:rsid w:val="00C70B22"/>
    <w:rsid w:val="00C70DB8"/>
    <w:rsid w:val="00C75DD3"/>
    <w:rsid w:val="00C80A1A"/>
    <w:rsid w:val="00CA5C5D"/>
    <w:rsid w:val="00CA6339"/>
    <w:rsid w:val="00CB29F3"/>
    <w:rsid w:val="00CC3A52"/>
    <w:rsid w:val="00D06E78"/>
    <w:rsid w:val="00D148E0"/>
    <w:rsid w:val="00D25DEF"/>
    <w:rsid w:val="00D302F1"/>
    <w:rsid w:val="00D327A2"/>
    <w:rsid w:val="00D404F4"/>
    <w:rsid w:val="00D740AF"/>
    <w:rsid w:val="00D7633E"/>
    <w:rsid w:val="00D83383"/>
    <w:rsid w:val="00DA10B4"/>
    <w:rsid w:val="00DC3223"/>
    <w:rsid w:val="00DD0CD9"/>
    <w:rsid w:val="00DD31CC"/>
    <w:rsid w:val="00DD7066"/>
    <w:rsid w:val="00E15727"/>
    <w:rsid w:val="00E20D4A"/>
    <w:rsid w:val="00E34B9B"/>
    <w:rsid w:val="00E352AE"/>
    <w:rsid w:val="00E42386"/>
    <w:rsid w:val="00E507F7"/>
    <w:rsid w:val="00E547E8"/>
    <w:rsid w:val="00E54C1C"/>
    <w:rsid w:val="00E6026D"/>
    <w:rsid w:val="00E63894"/>
    <w:rsid w:val="00E63F4E"/>
    <w:rsid w:val="00E67C95"/>
    <w:rsid w:val="00E952A1"/>
    <w:rsid w:val="00EA31C0"/>
    <w:rsid w:val="00EB0DFD"/>
    <w:rsid w:val="00EC365B"/>
    <w:rsid w:val="00EC3FBA"/>
    <w:rsid w:val="00ED2417"/>
    <w:rsid w:val="00EE1415"/>
    <w:rsid w:val="00EE3AFE"/>
    <w:rsid w:val="00EF2480"/>
    <w:rsid w:val="00EF7AA1"/>
    <w:rsid w:val="00F01A95"/>
    <w:rsid w:val="00F06940"/>
    <w:rsid w:val="00F2448F"/>
    <w:rsid w:val="00F32EB5"/>
    <w:rsid w:val="00F346D8"/>
    <w:rsid w:val="00F57609"/>
    <w:rsid w:val="00F728B1"/>
    <w:rsid w:val="00F83FF6"/>
    <w:rsid w:val="00F9327D"/>
    <w:rsid w:val="00FA5DA0"/>
    <w:rsid w:val="00FA776D"/>
    <w:rsid w:val="00FB67A7"/>
    <w:rsid w:val="00FC70D1"/>
    <w:rsid w:val="00FC79A0"/>
    <w:rsid w:val="00FD0B7C"/>
    <w:rsid w:val="00FE4900"/>
    <w:rsid w:val="00FE4C74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FB22BA"/>
  <w15:docId w15:val="{FC1E4B10-3C64-477D-A321-5B66FD05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37721"/>
    <w:pPr>
      <w:keepNext/>
      <w:tabs>
        <w:tab w:val="left" w:pos="2552"/>
      </w:tabs>
      <w:ind w:left="2552" w:hanging="2552"/>
      <w:jc w:val="both"/>
      <w:outlineLvl w:val="0"/>
    </w:pPr>
    <w:rPr>
      <w:rFonts w:eastAsia="Arial Unicode MS"/>
      <w:b/>
      <w:szCs w:val="20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3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37721"/>
    <w:rPr>
      <w:rFonts w:ascii="Times New Roman" w:eastAsia="Arial Unicode MS" w:hAnsi="Times New Roman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7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7A7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1D6917"/>
    <w:pPr>
      <w:widowControl w:val="0"/>
      <w:autoSpaceDE w:val="0"/>
      <w:autoSpaceDN w:val="0"/>
      <w:adjustRightInd w:val="0"/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1D691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extoembloco">
    <w:name w:val="Block Text"/>
    <w:basedOn w:val="Normal"/>
    <w:rsid w:val="001D6917"/>
    <w:pPr>
      <w:widowControl w:val="0"/>
      <w:tabs>
        <w:tab w:val="left" w:pos="6804"/>
      </w:tabs>
      <w:spacing w:before="2" w:after="2" w:line="250" w:lineRule="auto"/>
      <w:ind w:left="336" w:right="57" w:hanging="279"/>
    </w:pPr>
    <w:rPr>
      <w:rFonts w:ascii="Arial" w:hAnsi="Arial" w:cs="Arial"/>
      <w:sz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642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28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28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2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28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23B3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23B34"/>
    <w:pPr>
      <w:widowControl w:val="0"/>
      <w:autoSpaceDE w:val="0"/>
      <w:autoSpaceDN w:val="0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23B34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23B34"/>
    <w:pPr>
      <w:widowControl w:val="0"/>
      <w:autoSpaceDE w:val="0"/>
      <w:autoSpaceDN w:val="0"/>
      <w:spacing w:before="59"/>
      <w:ind w:left="110"/>
    </w:pPr>
    <w:rPr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932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32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32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32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F9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F6F7A1F7AD74BB1E0EDAE676CD3F3" ma:contentTypeVersion="12" ma:contentTypeDescription="Create a new document." ma:contentTypeScope="" ma:versionID="1df8172470fdf9e2ac623ad4cd87d993">
  <xsd:schema xmlns:xsd="http://www.w3.org/2001/XMLSchema" xmlns:xs="http://www.w3.org/2001/XMLSchema" xmlns:p="http://schemas.microsoft.com/office/2006/metadata/properties" xmlns:ns3="e7dfadf4-09bc-43b4-8de3-b0064dd4456d" xmlns:ns4="68d4bd37-0112-4532-a454-e7a954670da2" targetNamespace="http://schemas.microsoft.com/office/2006/metadata/properties" ma:root="true" ma:fieldsID="f6de2372c7761bf87c57fe215fc00690" ns3:_="" ns4:_="">
    <xsd:import namespace="e7dfadf4-09bc-43b4-8de3-b0064dd4456d"/>
    <xsd:import namespace="68d4bd37-0112-4532-a454-e7a954670d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fadf4-09bc-43b4-8de3-b0064dd44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4bd37-0112-4532-a454-e7a954670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E5CDE-0E71-4927-9875-B9489F9EC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52881-5F2A-40E1-8897-1145DB85C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fadf4-09bc-43b4-8de3-b0064dd4456d"/>
    <ds:schemaRef ds:uri="68d4bd37-0112-4532-a454-e7a954670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EE440-4C83-489C-A876-209EBD0EF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Bastos</cp:lastModifiedBy>
  <cp:revision>6</cp:revision>
  <dcterms:created xsi:type="dcterms:W3CDTF">2023-05-19T18:47:00Z</dcterms:created>
  <dcterms:modified xsi:type="dcterms:W3CDTF">2023-05-19T18:50:00Z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0x0101007F7F6F7A1F7AD74BB1E0EDAE676CD3F3</vt:lpwstr>
  </property>
</Properties>
</file>